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right="858.0708661417316" w:firstLine="0"/>
        <w:contextualSpacing w:val="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color w:val="333333"/>
                <w:sz w:val="20"/>
                <w:szCs w:val="20"/>
              </w:rPr>
            </w:pPr>
            <w:r w:rsidDel="00000000" w:rsidR="00000000" w:rsidRPr="00000000">
              <w:rPr>
                <w:color w:val="333333"/>
                <w:sz w:val="20"/>
                <w:szCs w:val="20"/>
                <w:rtl w:val="0"/>
              </w:rPr>
              <w:t xml:space="preserve">Mateřská škola U Vysočanského pivovaru</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right="-273.0708661417316" w:firstLine="0"/>
              <w:contextualSpacing w:val="0"/>
              <w:jc w:val="both"/>
              <w:rPr>
                <w:color w:val="333333"/>
                <w:sz w:val="20"/>
                <w:szCs w:val="20"/>
              </w:rPr>
            </w:pPr>
            <w:r w:rsidDel="00000000" w:rsidR="00000000" w:rsidRPr="00000000">
              <w:rPr>
                <w:color w:val="333333"/>
                <w:sz w:val="20"/>
                <w:szCs w:val="20"/>
                <w:rtl w:val="0"/>
              </w:rPr>
              <w:t xml:space="preserve">Praha 9, U Vysočanského pivovaru 261</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color w:val="333333"/>
                <w:sz w:val="20"/>
                <w:szCs w:val="20"/>
              </w:rPr>
            </w:pPr>
            <w:r w:rsidDel="00000000" w:rsidR="00000000" w:rsidRPr="00000000">
              <w:rPr>
                <w:color w:val="333333"/>
                <w:sz w:val="20"/>
                <w:szCs w:val="20"/>
                <w:rtl w:val="0"/>
              </w:rPr>
              <w:t xml:space="preserve">70919526</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sz w:val="20"/>
                <w:szCs w:val="20"/>
              </w:rPr>
            </w:pPr>
            <w:r w:rsidDel="00000000" w:rsidR="00000000" w:rsidRPr="00000000">
              <w:rPr>
                <w:sz w:val="20"/>
                <w:szCs w:val="20"/>
                <w:rtl w:val="0"/>
              </w:rPr>
              <w:t xml:space="preserve">MARIE LEDEREROVÁ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333333"/>
                <w:sz w:val="20"/>
                <w:szCs w:val="20"/>
              </w:rPr>
            </w:pPr>
            <w:r w:rsidDel="00000000" w:rsidR="00000000" w:rsidRPr="00000000">
              <w:rPr>
                <w:color w:val="333333"/>
                <w:sz w:val="20"/>
                <w:szCs w:val="20"/>
                <w:rtl w:val="0"/>
              </w:rPr>
              <w:t xml:space="preserve">Pr 130 vedená u Městského soudu v Praze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sz w:val="12"/>
          <w:szCs w:val="12"/>
        </w:rPr>
      </w:pPr>
      <w:r w:rsidDel="00000000" w:rsidR="00000000" w:rsidRPr="00000000">
        <w:rPr>
          <w:rtl w:val="0"/>
        </w:rPr>
      </w:r>
    </w:p>
    <w:tbl>
      <w:tblPr>
        <w:tblStyle w:val="Table6"/>
        <w:tblW w:w="9465.0" w:type="dxa"/>
        <w:jc w:val="left"/>
        <w:tblInd w:w="820.0" w:type="dxa"/>
        <w:tblLayout w:type="fixed"/>
        <w:tblLook w:val="0600"/>
      </w:tblPr>
      <w:tblGrid>
        <w:gridCol w:w="1245"/>
        <w:gridCol w:w="8220"/>
        <w:tblGridChange w:id="0">
          <w:tblGrid>
            <w:gridCol w:w="1245"/>
            <w:gridCol w:w="822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sz w:val="20"/>
                <w:szCs w:val="20"/>
              </w:rPr>
            </w:pPr>
            <w:r w:rsidDel="00000000" w:rsidR="00000000" w:rsidRPr="00000000">
              <w:rPr>
                <w:sz w:val="20"/>
                <w:szCs w:val="20"/>
                <w:rtl w:val="0"/>
              </w:rPr>
              <w:t xml:space="preserve">Číslo účtu:</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4.60629921259738" w:firstLine="0"/>
              <w:contextualSpacing w:val="0"/>
              <w:jc w:val="left"/>
              <w:rPr>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tuto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124.60629921259908"/>
              <w:contextualSpacing w:val="0"/>
              <w:jc w:val="both"/>
              <w:rPr>
                <w:sz w:val="20"/>
                <w:szCs w:val="20"/>
              </w:rPr>
            </w:pPr>
            <w:r w:rsidDel="00000000" w:rsidR="00000000" w:rsidRPr="00000000">
              <w:rPr>
                <w:sz w:val="20"/>
                <w:szCs w:val="20"/>
                <w:rtl w:val="0"/>
              </w:rPr>
              <w:t xml:space="preserve">MultiBoard 140 cm | Barvínek -  Vzdělávací sestava pro mateřské školy s příslušenstvím (2 ks)</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(dále jen „Předmět koupě“). Předmět koupě je položkově specifikován v objednávce, která jako Příloha č. 1 tvoří nedílnou součást této Smlouvy.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8"/>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109.60629921259908"/>
              <w:contextualSpacing w:val="0"/>
              <w:jc w:val="both"/>
              <w:rPr>
                <w:sz w:val="20"/>
                <w:szCs w:val="20"/>
              </w:rPr>
            </w:pPr>
            <w:r w:rsidDel="00000000" w:rsidR="00000000" w:rsidRPr="00000000">
              <w:rPr>
                <w:sz w:val="20"/>
                <w:szCs w:val="20"/>
                <w:rtl w:val="0"/>
              </w:rPr>
              <w:t xml:space="preserve">238.000 Kč (dvě stě třicet osm tisíc korun českých)</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Kupní cena bude Kupujícím zaplacena nejpozději do 60 dnů od podpisu této smlouvy na číslo účtu Prodávajícího vedené v záhlaví této Smlouvy.</w:t>
        <w:br w:type="textWrapp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4.606299212599083"/>
        <w:contextualSpacing w:val="0"/>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V ................................. dne ......................</w:t>
        <w:tab/>
        <w:tab/>
        <w:t xml:space="preserve">Prodávající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V ................................. dne ......................</w:t>
        <w:tab/>
        <w:tab/>
        <w:t xml:space="preserve">Kupující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pgMar w:bottom="566.9291338582677" w:top="566.9291338582677" w:left="850.3937007874016" w:right="850.393700787401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c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