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2C2" w:rsidRPr="004038E0" w:rsidRDefault="00C612C2" w:rsidP="00C612C2">
      <w:pPr>
        <w:jc w:val="center"/>
        <w:outlineLvl w:val="0"/>
        <w:rPr>
          <w:rFonts w:ascii="Tahoma" w:hAnsi="Tahoma" w:cs="Tahoma"/>
          <w:b/>
          <w:noProof/>
        </w:rPr>
      </w:pPr>
      <w:bookmarkStart w:id="0" w:name="_GoBack"/>
      <w:bookmarkEnd w:id="0"/>
      <w:r w:rsidRPr="004038E0">
        <w:rPr>
          <w:rFonts w:ascii="Tahoma" w:hAnsi="Tahoma" w:cs="Tahoma"/>
          <w:b/>
          <w:noProof/>
        </w:rPr>
        <w:t>SMLOUVA O SPOLUPRÁCI</w:t>
      </w:r>
    </w:p>
    <w:p w:rsidR="00255B62" w:rsidRPr="004038E0" w:rsidRDefault="00255B62" w:rsidP="00C612C2">
      <w:pPr>
        <w:jc w:val="center"/>
        <w:outlineLvl w:val="0"/>
        <w:rPr>
          <w:rFonts w:ascii="Tahoma" w:hAnsi="Tahoma" w:cs="Tahoma"/>
          <w:b/>
          <w:noProof/>
        </w:rPr>
      </w:pPr>
      <w:r w:rsidRPr="004038E0">
        <w:rPr>
          <w:rFonts w:ascii="Tahoma" w:hAnsi="Tahoma" w:cs="Tahoma"/>
          <w:b/>
          <w:noProof/>
        </w:rPr>
        <w:t>Poskytování služeb DPO</w:t>
      </w:r>
    </w:p>
    <w:p w:rsidR="00C612C2" w:rsidRDefault="004F4F92" w:rsidP="004F4F92">
      <w:pPr>
        <w:jc w:val="center"/>
        <w:outlineLvl w:val="0"/>
        <w:rPr>
          <w:rFonts w:ascii="Tahoma" w:hAnsi="Tahoma" w:cs="Tahoma"/>
          <w:noProof/>
        </w:rPr>
      </w:pPr>
      <w:r w:rsidRPr="004038E0">
        <w:rPr>
          <w:rFonts w:ascii="Tahoma" w:hAnsi="Tahoma" w:cs="Tahoma"/>
          <w:noProof/>
        </w:rPr>
        <w:t>uzavřená níže uvedeného dne, měsíce a roku mezi:</w:t>
      </w:r>
    </w:p>
    <w:p w:rsidR="004038E0" w:rsidRPr="004038E0" w:rsidRDefault="004038E0" w:rsidP="004F4F92">
      <w:pPr>
        <w:jc w:val="center"/>
        <w:outlineLvl w:val="0"/>
        <w:rPr>
          <w:rFonts w:ascii="Tahoma" w:hAnsi="Tahoma" w:cs="Tahoma"/>
          <w:noProof/>
        </w:rPr>
      </w:pPr>
    </w:p>
    <w:p w:rsidR="004038E0" w:rsidRPr="004038E0" w:rsidRDefault="004038E0" w:rsidP="004038E0">
      <w:pPr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Consult4all s.r.o.</w:t>
      </w:r>
    </w:p>
    <w:p w:rsidR="004038E0" w:rsidRPr="004038E0" w:rsidRDefault="004038E0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se sídlem Blatenská 2169/13, Praha 4, 148 00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IČ: 06591540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Bankovní </w:t>
      </w:r>
      <w:r w:rsidRPr="004038E0">
        <w:rPr>
          <w:rFonts w:ascii="Tahoma" w:hAnsi="Tahoma" w:cs="Tahoma"/>
          <w:sz w:val="20"/>
          <w:szCs w:val="20"/>
          <w:shd w:val="clear" w:color="auto" w:fill="FFFFFF"/>
        </w:rPr>
        <w:t>spojení: 2001326036/2010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společnost zapsaná v obchodním rejstříku vedeném Městským soudem v Praze, oddíl C, vložka 284993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za společnost jedná: Ing. Radek Kutnohorský, jednatel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(dále jen </w:t>
      </w:r>
      <w:r w:rsidRPr="004038E0">
        <w:rPr>
          <w:rFonts w:ascii="Tahoma" w:hAnsi="Tahoma" w:cs="Tahoma"/>
          <w:b/>
          <w:noProof/>
          <w:sz w:val="20"/>
          <w:szCs w:val="20"/>
        </w:rPr>
        <w:t>„Poskytovatel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a</w:t>
      </w:r>
    </w:p>
    <w:p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</w:p>
    <w:p w:rsidR="004038E0" w:rsidRPr="004038E0" w:rsidRDefault="004038E0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Domov pro seniory </w:t>
      </w:r>
      <w:r w:rsidR="00CF7C97">
        <w:rPr>
          <w:rFonts w:ascii="Tahoma" w:hAnsi="Tahoma" w:cs="Tahoma"/>
          <w:b/>
          <w:sz w:val="20"/>
          <w:szCs w:val="20"/>
          <w:shd w:val="clear" w:color="auto" w:fill="FFFFFF"/>
        </w:rPr>
        <w:t>Ďáblice</w:t>
      </w:r>
      <w:r w:rsidRPr="004038E0">
        <w:rPr>
          <w:rFonts w:ascii="Tahoma" w:hAnsi="Tahoma" w:cs="Tahoma"/>
          <w:b/>
          <w:sz w:val="20"/>
          <w:szCs w:val="20"/>
        </w:rPr>
        <w:br/>
      </w:r>
      <w:r w:rsidRPr="004038E0">
        <w:rPr>
          <w:rFonts w:ascii="Tahoma" w:hAnsi="Tahoma" w:cs="Tahoma"/>
          <w:sz w:val="20"/>
          <w:szCs w:val="20"/>
          <w:shd w:val="clear" w:color="auto" w:fill="FFFFFF"/>
        </w:rPr>
        <w:t>Zřizovatel: Hlavní město Praha</w:t>
      </w:r>
      <w:r w:rsidRPr="004038E0">
        <w:rPr>
          <w:rFonts w:ascii="Tahoma" w:hAnsi="Tahoma" w:cs="Tahoma"/>
          <w:sz w:val="20"/>
          <w:szCs w:val="20"/>
        </w:rPr>
        <w:br/>
      </w:r>
      <w:r w:rsidRPr="004038E0">
        <w:rPr>
          <w:rFonts w:ascii="Tahoma" w:hAnsi="Tahoma" w:cs="Tahoma"/>
          <w:noProof/>
          <w:sz w:val="20"/>
          <w:szCs w:val="20"/>
        </w:rPr>
        <w:t xml:space="preserve">se sídlem </w:t>
      </w:r>
      <w:r w:rsidR="00CF7C97" w:rsidRPr="00CF7C97">
        <w:rPr>
          <w:rFonts w:ascii="Tahoma" w:hAnsi="Tahoma" w:cs="Tahoma"/>
          <w:noProof/>
          <w:sz w:val="20"/>
          <w:szCs w:val="20"/>
        </w:rPr>
        <w:t>Kubíkova 1698/11</w:t>
      </w:r>
      <w:r w:rsidRPr="00CF7C97">
        <w:rPr>
          <w:rFonts w:ascii="Tahoma" w:hAnsi="Tahoma" w:cs="Tahoma"/>
          <w:noProof/>
          <w:sz w:val="20"/>
          <w:szCs w:val="20"/>
        </w:rPr>
        <w:t xml:space="preserve">, 182 00 Praha </w:t>
      </w:r>
      <w:r w:rsidR="00CF7C97" w:rsidRPr="00CF7C97">
        <w:rPr>
          <w:rFonts w:ascii="Tahoma" w:hAnsi="Tahoma" w:cs="Tahoma"/>
          <w:noProof/>
          <w:sz w:val="20"/>
          <w:szCs w:val="20"/>
        </w:rPr>
        <w:t>8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IČ: </w:t>
      </w:r>
      <w:r w:rsidR="00CF7C97" w:rsidRPr="00CF7C97">
        <w:rPr>
          <w:rFonts w:ascii="Tahoma" w:hAnsi="Tahoma" w:cs="Tahoma"/>
          <w:noProof/>
          <w:sz w:val="20"/>
          <w:szCs w:val="20"/>
        </w:rPr>
        <w:t>70875839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zastoupený:</w:t>
      </w:r>
      <w:r w:rsidRPr="004038E0">
        <w:rPr>
          <w:rFonts w:ascii="Tahoma" w:hAnsi="Tahoma" w:cs="Tahoma"/>
          <w:sz w:val="20"/>
          <w:szCs w:val="20"/>
        </w:rPr>
        <w:t xml:space="preserve"> </w:t>
      </w:r>
      <w:r w:rsidR="00CF7C97">
        <w:rPr>
          <w:rFonts w:ascii="Tahoma" w:hAnsi="Tahoma" w:cs="Tahoma"/>
          <w:sz w:val="20"/>
          <w:szCs w:val="20"/>
        </w:rPr>
        <w:t>paní Jana Valinčičová</w:t>
      </w:r>
      <w:r w:rsidRPr="004038E0">
        <w:rPr>
          <w:rStyle w:val="Siln"/>
          <w:rFonts w:ascii="Tahoma" w:hAnsi="Tahoma" w:cs="Tahoma"/>
          <w:b w:val="0"/>
          <w:sz w:val="20"/>
          <w:szCs w:val="20"/>
          <w:shd w:val="clear" w:color="auto" w:fill="FFFFFF"/>
        </w:rPr>
        <w:t>, ředitelka</w:t>
      </w:r>
    </w:p>
    <w:p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(dále jen  „</w:t>
      </w:r>
      <w:r w:rsidRPr="004038E0">
        <w:rPr>
          <w:rFonts w:ascii="Tahoma" w:hAnsi="Tahoma" w:cs="Tahoma"/>
          <w:b/>
          <w:noProof/>
          <w:sz w:val="20"/>
          <w:szCs w:val="20"/>
        </w:rPr>
        <w:t>Klient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:rsidR="00113694" w:rsidRPr="004038E0" w:rsidRDefault="00113694">
      <w:pPr>
        <w:rPr>
          <w:rFonts w:ascii="Tahoma" w:hAnsi="Tahoma" w:cs="Tahoma"/>
          <w:noProof/>
          <w:sz w:val="20"/>
          <w:szCs w:val="20"/>
        </w:rPr>
      </w:pPr>
    </w:p>
    <w:p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I.</w:t>
      </w:r>
    </w:p>
    <w:p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Předmět smlouvy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113694" w:rsidRPr="004038E0" w:rsidRDefault="00113694" w:rsidP="00255B62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Předmětem této smlouvy je úprava </w:t>
      </w:r>
      <w:r w:rsidR="00540E11" w:rsidRPr="004038E0">
        <w:rPr>
          <w:rFonts w:ascii="Tahoma" w:hAnsi="Tahoma" w:cs="Tahoma"/>
          <w:noProof/>
          <w:sz w:val="20"/>
          <w:szCs w:val="20"/>
        </w:rPr>
        <w:t xml:space="preserve">vzájemných </w:t>
      </w:r>
      <w:r w:rsidRPr="004038E0">
        <w:rPr>
          <w:rFonts w:ascii="Tahoma" w:hAnsi="Tahoma" w:cs="Tahoma"/>
          <w:noProof/>
          <w:sz w:val="20"/>
          <w:szCs w:val="20"/>
        </w:rPr>
        <w:t xml:space="preserve">práv a povinností </w:t>
      </w:r>
      <w:r w:rsidR="00540E11" w:rsidRPr="004038E0">
        <w:rPr>
          <w:rFonts w:ascii="Tahoma" w:hAnsi="Tahoma" w:cs="Tahoma"/>
          <w:noProof/>
          <w:sz w:val="20"/>
          <w:szCs w:val="20"/>
        </w:rPr>
        <w:t>při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255B62" w:rsidRPr="004038E0">
        <w:rPr>
          <w:rFonts w:ascii="Tahoma" w:hAnsi="Tahoma" w:cs="Tahoma"/>
          <w:sz w:val="20"/>
          <w:szCs w:val="20"/>
        </w:rPr>
        <w:t xml:space="preserve">poskytování služeb </w:t>
      </w:r>
      <w:r w:rsidR="00255B62" w:rsidRPr="004038E0">
        <w:rPr>
          <w:rFonts w:ascii="Tahoma" w:hAnsi="Tahoma" w:cs="Tahoma"/>
          <w:b/>
          <w:sz w:val="20"/>
          <w:szCs w:val="20"/>
        </w:rPr>
        <w:t>Pověřence pro ochranu osobních údajů</w:t>
      </w:r>
      <w:r w:rsidR="00255B62" w:rsidRPr="004038E0">
        <w:rPr>
          <w:rFonts w:ascii="Tahoma" w:hAnsi="Tahoma" w:cs="Tahoma"/>
          <w:sz w:val="20"/>
          <w:szCs w:val="20"/>
        </w:rPr>
        <w:t xml:space="preserve"> (</w:t>
      </w:r>
      <w:r w:rsidR="00255B62" w:rsidRPr="004038E0">
        <w:rPr>
          <w:rFonts w:ascii="Tahoma" w:hAnsi="Tahoma" w:cs="Tahoma"/>
          <w:b/>
          <w:sz w:val="20"/>
          <w:szCs w:val="20"/>
        </w:rPr>
        <w:t>DPO</w:t>
      </w:r>
      <w:r w:rsidR="00255B62" w:rsidRPr="004038E0">
        <w:rPr>
          <w:rFonts w:ascii="Tahoma" w:hAnsi="Tahoma" w:cs="Tahoma"/>
          <w:sz w:val="20"/>
          <w:szCs w:val="20"/>
        </w:rPr>
        <w:t xml:space="preserve"> – Data Protection Officer) v</w:t>
      </w:r>
      <w:r w:rsidR="00982568">
        <w:rPr>
          <w:rFonts w:ascii="Tahoma" w:hAnsi="Tahoma" w:cs="Tahoma"/>
          <w:sz w:val="20"/>
          <w:szCs w:val="20"/>
        </w:rPr>
        <w:t> </w:t>
      </w:r>
      <w:r w:rsidR="00255B62" w:rsidRPr="004038E0">
        <w:rPr>
          <w:rFonts w:ascii="Tahoma" w:hAnsi="Tahoma" w:cs="Tahoma"/>
          <w:sz w:val="20"/>
          <w:szCs w:val="20"/>
        </w:rPr>
        <w:t>souladu</w:t>
      </w:r>
      <w:r w:rsidR="00982568">
        <w:rPr>
          <w:rFonts w:ascii="Tahoma" w:hAnsi="Tahoma" w:cs="Tahoma"/>
          <w:sz w:val="20"/>
          <w:szCs w:val="20"/>
        </w:rPr>
        <w:br/>
      </w:r>
      <w:r w:rsidR="00255B62" w:rsidRPr="004038E0">
        <w:rPr>
          <w:rFonts w:ascii="Tahoma" w:hAnsi="Tahoma" w:cs="Tahoma"/>
          <w:sz w:val="20"/>
          <w:szCs w:val="20"/>
        </w:rPr>
        <w:t>s Nařízením Evropského parlamentu a Rady (EU) 2016/679 ze dne 27. dubna 2016 o ochraně fyzických osob v souvislosti se zpracováním osobních údajů a o volném pohybu těchto údajů</w:t>
      </w:r>
      <w:r w:rsidR="00982568">
        <w:rPr>
          <w:rFonts w:ascii="Tahoma" w:hAnsi="Tahoma" w:cs="Tahoma"/>
          <w:sz w:val="20"/>
          <w:szCs w:val="20"/>
        </w:rPr>
        <w:br/>
      </w:r>
      <w:r w:rsidR="00255B62" w:rsidRPr="004038E0">
        <w:rPr>
          <w:rFonts w:ascii="Tahoma" w:hAnsi="Tahoma" w:cs="Tahoma"/>
          <w:sz w:val="20"/>
          <w:szCs w:val="20"/>
        </w:rPr>
        <w:t xml:space="preserve">a o zrušení směrnice 95/46/ES (obecné nařízení o ochraně osobních údajů; 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dále </w:t>
      </w:r>
      <w:r w:rsidR="000F126C" w:rsidRPr="004038E0">
        <w:rPr>
          <w:rFonts w:ascii="Tahoma" w:hAnsi="Tahoma" w:cs="Tahoma"/>
          <w:noProof/>
          <w:sz w:val="20"/>
          <w:szCs w:val="20"/>
        </w:rPr>
        <w:t>také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 „Nařízení“)</w:t>
      </w:r>
      <w:r w:rsidR="00255B62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08353E" w:rsidRPr="004038E0">
        <w:rPr>
          <w:rFonts w:ascii="Tahoma" w:hAnsi="Tahoma" w:cs="Tahoma"/>
          <w:noProof/>
          <w:sz w:val="20"/>
          <w:szCs w:val="20"/>
        </w:rPr>
        <w:t>ze strany P</w:t>
      </w:r>
      <w:r w:rsidR="00540E11" w:rsidRPr="004038E0">
        <w:rPr>
          <w:rFonts w:ascii="Tahoma" w:hAnsi="Tahoma" w:cs="Tahoma"/>
          <w:noProof/>
          <w:sz w:val="20"/>
          <w:szCs w:val="20"/>
        </w:rPr>
        <w:t>oskytovatele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C90188" w:rsidRPr="004038E0">
        <w:rPr>
          <w:rFonts w:ascii="Tahoma" w:hAnsi="Tahoma" w:cs="Tahoma"/>
          <w:noProof/>
          <w:sz w:val="20"/>
          <w:szCs w:val="20"/>
        </w:rPr>
        <w:t>pro Klienta</w:t>
      </w:r>
      <w:r w:rsidR="004C0429" w:rsidRPr="004038E0">
        <w:rPr>
          <w:rFonts w:ascii="Tahoma" w:hAnsi="Tahoma" w:cs="Tahoma"/>
          <w:noProof/>
          <w:sz w:val="20"/>
          <w:szCs w:val="20"/>
        </w:rPr>
        <w:t>.</w:t>
      </w:r>
    </w:p>
    <w:p w:rsidR="00C90188" w:rsidRPr="004038E0" w:rsidRDefault="00C90188" w:rsidP="00540E11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rámci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činnosti DPO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F90797" w:rsidRPr="004038E0">
        <w:rPr>
          <w:rFonts w:ascii="Tahoma" w:hAnsi="Tahoma" w:cs="Tahoma"/>
          <w:noProof/>
          <w:sz w:val="20"/>
          <w:szCs w:val="20"/>
        </w:rPr>
        <w:t>bude</w:t>
      </w:r>
      <w:r w:rsidRPr="004038E0">
        <w:rPr>
          <w:rFonts w:ascii="Tahoma" w:hAnsi="Tahoma" w:cs="Tahoma"/>
          <w:noProof/>
          <w:sz w:val="20"/>
          <w:szCs w:val="20"/>
        </w:rPr>
        <w:t xml:space="preserve"> Poskytovatel 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Pr="004038E0">
        <w:rPr>
          <w:rFonts w:ascii="Tahoma" w:hAnsi="Tahoma" w:cs="Tahoma"/>
          <w:noProof/>
          <w:sz w:val="20"/>
          <w:szCs w:val="20"/>
        </w:rPr>
        <w:t>zejména:</w:t>
      </w:r>
    </w:p>
    <w:p w:rsidR="004C0429" w:rsidRPr="004038E0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Monitorování souladu GDPR a dalších předpisů v oblasti ochrany osobních údajů s vnitřními předpisy a postupy Klienta;</w:t>
      </w:r>
    </w:p>
    <w:p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Sledování vývoje související legislativy v oblasti ochrany osobních údajů</w:t>
      </w:r>
      <w:r>
        <w:rPr>
          <w:rFonts w:ascii="Tahoma" w:hAnsi="Tahoma" w:cs="Tahoma"/>
          <w:sz w:val="20"/>
          <w:szCs w:val="20"/>
        </w:rPr>
        <w:t>;</w:t>
      </w:r>
    </w:p>
    <w:p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Vyhodnocování rizik v oblasti ochrany osobních údajů</w:t>
      </w:r>
      <w:r>
        <w:rPr>
          <w:rFonts w:ascii="Tahoma" w:hAnsi="Tahoma" w:cs="Tahoma"/>
          <w:sz w:val="20"/>
          <w:szCs w:val="20"/>
        </w:rPr>
        <w:t>;</w:t>
      </w:r>
      <w:r w:rsidRPr="004038E0">
        <w:rPr>
          <w:rFonts w:ascii="Tahoma" w:hAnsi="Tahoma" w:cs="Tahoma"/>
          <w:sz w:val="20"/>
          <w:szCs w:val="20"/>
        </w:rPr>
        <w:t xml:space="preserve"> </w:t>
      </w:r>
    </w:p>
    <w:p w:rsidR="004038E0" w:rsidRP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Činnost kontaktní osoby vůči regulačním úřadům v oblasti ochrany osobních údaj</w:t>
      </w:r>
      <w:r w:rsidR="00982568">
        <w:rPr>
          <w:rFonts w:ascii="Tahoma" w:hAnsi="Tahoma" w:cs="Tahoma"/>
          <w:sz w:val="20"/>
          <w:szCs w:val="20"/>
        </w:rPr>
        <w:t>ů</w:t>
      </w:r>
      <w:r w:rsidRPr="004038E0">
        <w:rPr>
          <w:rFonts w:ascii="Tahoma" w:hAnsi="Tahoma" w:cs="Tahoma"/>
          <w:sz w:val="20"/>
          <w:szCs w:val="20"/>
        </w:rPr>
        <w:t>.</w:t>
      </w:r>
    </w:p>
    <w:p w:rsidR="004038E0" w:rsidRDefault="004038E0" w:rsidP="004038E0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Činnost DPO bude poskytována </w:t>
      </w:r>
      <w:r w:rsidR="00DF7E89">
        <w:rPr>
          <w:rFonts w:ascii="Tahoma" w:hAnsi="Tahoma" w:cs="Tahoma"/>
          <w:sz w:val="20"/>
          <w:szCs w:val="20"/>
        </w:rPr>
        <w:t>následovně</w:t>
      </w:r>
      <w:r>
        <w:rPr>
          <w:rFonts w:ascii="Tahoma" w:hAnsi="Tahoma" w:cs="Tahoma"/>
          <w:sz w:val="20"/>
          <w:szCs w:val="20"/>
        </w:rPr>
        <w:t>:</w:t>
      </w:r>
    </w:p>
    <w:p w:rsidR="004038E0" w:rsidRPr="000A1B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rozsahu </w:t>
      </w:r>
      <w:r w:rsidRPr="000A1BE0">
        <w:rPr>
          <w:rFonts w:ascii="Tahoma" w:hAnsi="Tahoma" w:cs="Tahoma"/>
          <w:sz w:val="20"/>
          <w:szCs w:val="20"/>
        </w:rPr>
        <w:t>6-8 hodin</w:t>
      </w:r>
      <w:r>
        <w:rPr>
          <w:rFonts w:ascii="Tahoma" w:hAnsi="Tahoma" w:cs="Tahoma"/>
          <w:sz w:val="20"/>
          <w:szCs w:val="20"/>
        </w:rPr>
        <w:t xml:space="preserve"> v rámci</w:t>
      </w:r>
      <w:r w:rsidR="004038E0" w:rsidRPr="00A87D89">
        <w:rPr>
          <w:rFonts w:ascii="Tahoma" w:hAnsi="Tahoma" w:cs="Tahoma"/>
          <w:sz w:val="20"/>
          <w:szCs w:val="20"/>
        </w:rPr>
        <w:t xml:space="preserve"> kalendářní</w:t>
      </w:r>
      <w:r>
        <w:rPr>
          <w:rFonts w:ascii="Tahoma" w:hAnsi="Tahoma" w:cs="Tahoma"/>
          <w:sz w:val="20"/>
          <w:szCs w:val="20"/>
        </w:rPr>
        <w:t>ho</w:t>
      </w:r>
      <w:r w:rsidR="004038E0" w:rsidRPr="00A87D89">
        <w:rPr>
          <w:rFonts w:ascii="Tahoma" w:hAnsi="Tahoma" w:cs="Tahoma"/>
          <w:sz w:val="20"/>
          <w:szCs w:val="20"/>
        </w:rPr>
        <w:t xml:space="preserve"> čtvrtletí</w:t>
      </w:r>
      <w:r w:rsidR="004038E0" w:rsidRPr="000A1BE0">
        <w:rPr>
          <w:rFonts w:ascii="Tahoma" w:hAnsi="Tahoma" w:cs="Tahoma"/>
          <w:sz w:val="20"/>
          <w:szCs w:val="20"/>
        </w:rPr>
        <w:t>;</w:t>
      </w:r>
    </w:p>
    <w:p w:rsidR="004038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14 dnů po skončení každého kalendářního čtvrtletí</w:t>
      </w:r>
      <w:r w:rsidR="004038E0">
        <w:rPr>
          <w:rFonts w:ascii="Tahoma" w:hAnsi="Tahoma" w:cs="Tahoma"/>
          <w:sz w:val="20"/>
          <w:szCs w:val="20"/>
        </w:rPr>
        <w:t xml:space="preserve"> vyhodnocení a zpracování zprávy o kontrole.</w:t>
      </w:r>
    </w:p>
    <w:p w:rsidR="004038E0" w:rsidRPr="004038E0" w:rsidRDefault="004038E0" w:rsidP="004038E0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zájmu Klienta bude Poskytovatel provádět i následující činnosti, kter</w:t>
      </w:r>
      <w:r w:rsidR="00982568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bud</w:t>
      </w:r>
      <w:r w:rsidR="00C103B8"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z w:val="20"/>
          <w:szCs w:val="20"/>
        </w:rPr>
        <w:t xml:space="preserve"> hrazeny zvlášť dle níže uvedené hodinové sazby:</w:t>
      </w:r>
    </w:p>
    <w:p w:rsidR="004C0429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Poskytování konzultací a poradenství v oblasti ochrany osobních údajů;</w:t>
      </w:r>
    </w:p>
    <w:p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Spolupráce při řešení problémů se zabezpečením osobních údajů;</w:t>
      </w:r>
    </w:p>
    <w:p w:rsidR="004038E0" w:rsidRP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Spolupráce při řešení požadavků subjektů;</w:t>
      </w:r>
    </w:p>
    <w:p w:rsidR="004C0429" w:rsidRDefault="004C0429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Spolupráce a komunikace s Úřadem pro ochranu osobních údajů</w:t>
      </w:r>
      <w:r w:rsidR="004038E0">
        <w:rPr>
          <w:rFonts w:ascii="Tahoma" w:hAnsi="Tahoma" w:cs="Tahoma"/>
          <w:sz w:val="20"/>
          <w:szCs w:val="20"/>
        </w:rPr>
        <w:t>.</w:t>
      </w:r>
    </w:p>
    <w:p w:rsidR="00A803CA" w:rsidRPr="004038E0" w:rsidRDefault="00A803CA" w:rsidP="00A803CA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počátku činnosti Pověřence pro ochranu osobních údajů je stanoveno na 25.05.2018.</w:t>
      </w:r>
    </w:p>
    <w:p w:rsidR="00A803CA" w:rsidRPr="004038E0" w:rsidRDefault="00A803CA" w:rsidP="00A803CA">
      <w:pPr>
        <w:jc w:val="both"/>
        <w:rPr>
          <w:rFonts w:ascii="Tahoma" w:hAnsi="Tahoma" w:cs="Tahoma"/>
          <w:sz w:val="20"/>
          <w:szCs w:val="20"/>
        </w:rPr>
      </w:pPr>
    </w:p>
    <w:p w:rsidR="004038E0" w:rsidRDefault="004038E0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II.</w:t>
      </w:r>
    </w:p>
    <w:p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Povinnosti smluvních stran</w:t>
      </w:r>
    </w:p>
    <w:p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</w:p>
    <w:p w:rsidR="00C7228B" w:rsidRPr="004038E0" w:rsidRDefault="00C7228B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se zavazuje:</w:t>
      </w:r>
    </w:p>
    <w:p w:rsidR="002152BF" w:rsidRPr="004038E0" w:rsidRDefault="002152BF" w:rsidP="004A7CA8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umožnit </w:t>
      </w:r>
      <w:r w:rsidR="00C90188" w:rsidRPr="004038E0">
        <w:rPr>
          <w:rFonts w:ascii="Tahoma" w:hAnsi="Tahoma" w:cs="Tahoma"/>
          <w:noProof/>
          <w:sz w:val="20"/>
          <w:szCs w:val="20"/>
        </w:rPr>
        <w:t>Poskytovateli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 nerušený výkon provádění č</w:t>
      </w:r>
      <w:r w:rsidRPr="004038E0">
        <w:rPr>
          <w:rFonts w:ascii="Tahoma" w:hAnsi="Tahoma" w:cs="Tahoma"/>
          <w:noProof/>
          <w:sz w:val="20"/>
          <w:szCs w:val="20"/>
        </w:rPr>
        <w:t>inností;</w:t>
      </w:r>
    </w:p>
    <w:p w:rsidR="00C7228B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umožnit Poskytovateli přístup ke všem</w:t>
      </w:r>
      <w:r w:rsidR="00C7228B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, ať už v písemné či elektronické podobě, zejména </w:t>
      </w:r>
      <w:r w:rsidRPr="004038E0">
        <w:rPr>
          <w:rFonts w:ascii="Tahoma" w:hAnsi="Tahoma" w:cs="Tahoma"/>
          <w:noProof/>
          <w:sz w:val="20"/>
          <w:szCs w:val="20"/>
        </w:rPr>
        <w:t>ke všem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směrnicím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a vnitřním</w:t>
      </w:r>
      <w:r w:rsidRPr="004038E0">
        <w:rPr>
          <w:rFonts w:ascii="Tahoma" w:hAnsi="Tahoma" w:cs="Tahoma"/>
          <w:noProof/>
          <w:sz w:val="20"/>
          <w:szCs w:val="20"/>
        </w:rPr>
        <w:t xml:space="preserve"> předpisům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Klienta, </w:t>
      </w:r>
      <w:r w:rsidRPr="004038E0">
        <w:rPr>
          <w:rFonts w:ascii="Tahoma" w:hAnsi="Tahoma" w:cs="Tahoma"/>
          <w:noProof/>
          <w:sz w:val="20"/>
          <w:szCs w:val="20"/>
        </w:rPr>
        <w:t>ke všem smlouvám a jiným 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>, jejichž součástí jsou nebo by mohly být osobní údaje</w:t>
      </w:r>
      <w:r w:rsidRPr="004038E0">
        <w:rPr>
          <w:rFonts w:ascii="Tahoma" w:hAnsi="Tahoma" w:cs="Tahoma"/>
          <w:noProof/>
          <w:sz w:val="20"/>
          <w:szCs w:val="20"/>
        </w:rPr>
        <w:t>; smlouvám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či doho</w:t>
      </w:r>
      <w:r w:rsidRPr="004038E0">
        <w:rPr>
          <w:rFonts w:ascii="Tahoma" w:hAnsi="Tahoma" w:cs="Tahoma"/>
          <w:noProof/>
          <w:sz w:val="20"/>
          <w:szCs w:val="20"/>
        </w:rPr>
        <w:t>dám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týkající</w:t>
      </w:r>
      <w:r w:rsidRPr="004038E0">
        <w:rPr>
          <w:rFonts w:ascii="Tahoma" w:hAnsi="Tahoma" w:cs="Tahoma"/>
          <w:noProof/>
          <w:sz w:val="20"/>
          <w:szCs w:val="20"/>
        </w:rPr>
        <w:t>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se zpracování o</w:t>
      </w:r>
      <w:r w:rsidRPr="004038E0">
        <w:rPr>
          <w:rFonts w:ascii="Tahoma" w:hAnsi="Tahoma" w:cs="Tahoma"/>
          <w:noProof/>
          <w:sz w:val="20"/>
          <w:szCs w:val="20"/>
        </w:rPr>
        <w:t>sobních údajů tře</w:t>
      </w:r>
      <w:r w:rsidR="00797005">
        <w:rPr>
          <w:rFonts w:ascii="Tahoma" w:hAnsi="Tahoma" w:cs="Tahoma"/>
          <w:noProof/>
          <w:sz w:val="20"/>
          <w:szCs w:val="20"/>
        </w:rPr>
        <w:t>t</w:t>
      </w:r>
      <w:r w:rsidRPr="004038E0">
        <w:rPr>
          <w:rFonts w:ascii="Tahoma" w:hAnsi="Tahoma" w:cs="Tahoma"/>
          <w:noProof/>
          <w:sz w:val="20"/>
          <w:szCs w:val="20"/>
        </w:rPr>
        <w:t>ími osobami; informačním systémům a technickým prostředkům</w:t>
      </w:r>
      <w:r w:rsidR="009C3EA7" w:rsidRPr="004038E0">
        <w:rPr>
          <w:rFonts w:ascii="Tahoma" w:hAnsi="Tahoma" w:cs="Tahoma"/>
          <w:noProof/>
          <w:sz w:val="20"/>
          <w:szCs w:val="20"/>
        </w:rPr>
        <w:t>, prostředn</w:t>
      </w:r>
      <w:r w:rsidR="00797005">
        <w:rPr>
          <w:rFonts w:ascii="Tahoma" w:hAnsi="Tahoma" w:cs="Tahoma"/>
          <w:noProof/>
          <w:sz w:val="20"/>
          <w:szCs w:val="20"/>
        </w:rPr>
        <w:t>i</w:t>
      </w:r>
      <w:r w:rsidR="009C3EA7" w:rsidRPr="004038E0">
        <w:rPr>
          <w:rFonts w:ascii="Tahoma" w:hAnsi="Tahoma" w:cs="Tahoma"/>
          <w:noProof/>
          <w:sz w:val="20"/>
          <w:szCs w:val="20"/>
        </w:rPr>
        <w:t>ctvím kterých je nakládáno s osobními údaji apod.</w:t>
      </w:r>
      <w:r w:rsidR="00C90188" w:rsidRPr="004038E0">
        <w:rPr>
          <w:rFonts w:ascii="Tahoma" w:hAnsi="Tahoma" w:cs="Tahoma"/>
          <w:noProof/>
          <w:sz w:val="20"/>
          <w:szCs w:val="20"/>
        </w:rPr>
        <w:t>;</w:t>
      </w:r>
    </w:p>
    <w:p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lastRenderedPageBreak/>
        <w:t>reagovat na podněty Poskytovatele a odpovídat  na vzájemnou komunikaci tak, aby při dosažení účelu této smlouvy nedocházelo ke zbytečným průtahům.</w:t>
      </w:r>
    </w:p>
    <w:p w:rsidR="00113694" w:rsidRPr="004038E0" w:rsidRDefault="004C32E4" w:rsidP="000C4CFB">
      <w:pPr>
        <w:numPr>
          <w:ilvl w:val="1"/>
          <w:numId w:val="18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Poskytovatel</w:t>
      </w:r>
      <w:r w:rsidR="00113694" w:rsidRPr="004038E0">
        <w:rPr>
          <w:rFonts w:ascii="Tahoma" w:hAnsi="Tahoma" w:cs="Tahoma"/>
          <w:noProof/>
          <w:sz w:val="20"/>
          <w:szCs w:val="20"/>
        </w:rPr>
        <w:t xml:space="preserve"> se zavazuje:</w:t>
      </w:r>
    </w:p>
    <w:p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 DPO</w:t>
      </w:r>
      <w:r w:rsidRPr="004038E0">
        <w:rPr>
          <w:rFonts w:ascii="Tahoma" w:hAnsi="Tahoma" w:cs="Tahoma"/>
          <w:noProof/>
          <w:sz w:val="20"/>
          <w:szCs w:val="20"/>
        </w:rPr>
        <w:t xml:space="preserve"> s náležitou péčí, řádně a včas,</w:t>
      </w:r>
    </w:p>
    <w:p w:rsidR="004A7CA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poučit Klienta o všech rizicích souvisejících s Nařízením, s jeho povinnostmi dle Nařízení a s</w:t>
      </w:r>
      <w:r w:rsidR="004C0429" w:rsidRPr="004038E0">
        <w:rPr>
          <w:rFonts w:ascii="Tahoma" w:hAnsi="Tahoma" w:cs="Tahoma"/>
          <w:noProof/>
          <w:sz w:val="20"/>
          <w:szCs w:val="20"/>
        </w:rPr>
        <w:t> možnými důsledky jeho porušení,</w:t>
      </w:r>
    </w:p>
    <w:p w:rsidR="004C0429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reagovat v co nejkratší době na podněty a žádosti Klienta v oblasti </w:t>
      </w:r>
      <w:r w:rsidR="00A87D89">
        <w:rPr>
          <w:rFonts w:ascii="Tahoma" w:hAnsi="Tahoma" w:cs="Tahoma"/>
          <w:noProof/>
          <w:sz w:val="20"/>
          <w:szCs w:val="20"/>
        </w:rPr>
        <w:t>ochrany osobních údajů.</w:t>
      </w:r>
    </w:p>
    <w:p w:rsidR="00B77A0A" w:rsidRPr="004038E0" w:rsidRDefault="0008353E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odpovídá K</w:t>
      </w:r>
      <w:r w:rsidR="00B77A0A" w:rsidRPr="004038E0">
        <w:rPr>
          <w:rFonts w:ascii="Tahoma" w:hAnsi="Tahoma" w:cs="Tahoma"/>
          <w:sz w:val="20"/>
          <w:szCs w:val="20"/>
        </w:rPr>
        <w:t>lientovi za škodu, která mu vznikne v důsledku prokazatelného zaviněného porušení povinno</w:t>
      </w:r>
      <w:r w:rsidR="00C90188" w:rsidRPr="004038E0">
        <w:rPr>
          <w:rFonts w:ascii="Tahoma" w:hAnsi="Tahoma" w:cs="Tahoma"/>
          <w:sz w:val="20"/>
          <w:szCs w:val="20"/>
        </w:rPr>
        <w:t>stí uložených mu touto smlouvou</w:t>
      </w:r>
      <w:r w:rsidR="00B77A0A" w:rsidRPr="004038E0">
        <w:rPr>
          <w:rFonts w:ascii="Tahoma" w:hAnsi="Tahoma" w:cs="Tahoma"/>
          <w:sz w:val="20"/>
          <w:szCs w:val="20"/>
        </w:rPr>
        <w:t>.</w:t>
      </w:r>
    </w:p>
    <w:p w:rsidR="004A7CA8" w:rsidRPr="004038E0" w:rsidRDefault="004A7CA8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neodpovídá za nezavedení doporučení ze strany Klienta. Poskytovatel neodpovídá Klientovi za škodu, která mu vznikne v důsledku porušení povinností Klienta, přestože byl s těmito povinnostmi seznámen. Poskytovatel dále neodpovídá za škodu vzniklou Klientovi v důsledku nesdělení Poskytovateli jakýchkoli informací, které jso</w:t>
      </w:r>
      <w:r w:rsidR="004437A2">
        <w:rPr>
          <w:rFonts w:ascii="Tahoma" w:hAnsi="Tahoma" w:cs="Tahoma"/>
          <w:sz w:val="20"/>
          <w:szCs w:val="20"/>
        </w:rPr>
        <w:t>u nebo by mohly být považovány z</w:t>
      </w:r>
      <w:r w:rsidRPr="004038E0">
        <w:rPr>
          <w:rFonts w:ascii="Tahoma" w:hAnsi="Tahoma" w:cs="Tahoma"/>
          <w:sz w:val="20"/>
          <w:szCs w:val="20"/>
        </w:rPr>
        <w:t>a podstatné.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C90188" w:rsidRPr="004038E0">
        <w:rPr>
          <w:rFonts w:ascii="Tahoma" w:hAnsi="Tahoma" w:cs="Tahoma"/>
          <w:b/>
          <w:noProof/>
          <w:sz w:val="20"/>
          <w:szCs w:val="20"/>
        </w:rPr>
        <w:t>II</w:t>
      </w:r>
      <w:r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Mlčenlivost</w:t>
      </w:r>
    </w:p>
    <w:p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4A7CA8" w:rsidRPr="004038E0" w:rsidRDefault="004A7CA8" w:rsidP="004A7CA8">
      <w:pPr>
        <w:numPr>
          <w:ilvl w:val="1"/>
          <w:numId w:val="9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Smluvní strany jsou povinny zachovávat mlčenlivost o všech skutečnostech, o kterých se v průběhu smluvního vztahu dozví, a které jsou nebo by mohly být považované</w:t>
      </w:r>
      <w:r w:rsidR="00BA41EB" w:rsidRPr="004038E0">
        <w:rPr>
          <w:rFonts w:ascii="Tahoma" w:hAnsi="Tahoma" w:cs="Tahoma"/>
          <w:sz w:val="20"/>
          <w:szCs w:val="20"/>
        </w:rPr>
        <w:br/>
      </w:r>
      <w:r w:rsidRPr="004038E0">
        <w:rPr>
          <w:rFonts w:ascii="Tahoma" w:hAnsi="Tahoma" w:cs="Tahoma"/>
          <w:sz w:val="20"/>
          <w:szCs w:val="20"/>
        </w:rPr>
        <w:t xml:space="preserve">za důvěrné (zejm. pokud jde o skutečnosti či informace, jež nejsou běžně veřejně dostupné). </w:t>
      </w:r>
    </w:p>
    <w:p w:rsidR="004A7CA8" w:rsidRPr="004038E0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Poskytovatel je zejména povinen zachovávat mlčenlivost o důvěrných informacích Klienta, čímž se rozumí zejména nezpřístupnit tyto informace třetím osobám, chránit je před zpřístupněním třetím osobám a užívat je pouze v souladu s oprávněnými zájmy Klienta. Důvěrnými informacemi Klienta jsou veškeré informace, jež nejsou běžně veřejně dostupné, přičemž za důvěrné informace se považují zejména veškeré informace o Klientovi a veškeré jeho činnosti, jeho zaměstnancích a obchodních partnerech, mzdové politice, obchodním tajemství, know-how, technických řešeních, výrobních postupech, technických podkladech, technické a obchodní dokumentaci, dokumentaci a o výrobním a vývojovém programu a výrobcích, apod.; za důvěrné informace jsou dále považovány veškeré informace, které Klient za důvěrné označí,</w:t>
      </w:r>
      <w:r w:rsidR="00DF7E89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 xml:space="preserve">a to bez ohledu na jejich povahu (dále také „důvěrné informace“). </w:t>
      </w:r>
    </w:p>
    <w:p w:rsidR="00A55051" w:rsidRPr="004038E0" w:rsidRDefault="00A55051" w:rsidP="00A55051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bere na vědomí, že jakékoli výstupy či jakákoli komunikace související s touto smlouvou a jejím předmětem je považována za obchodní tajemství Poskytovatele a tudíž Klient není oprávněn sdělovat žádné informace z tohoto pocházející třetím stranám a jiným neoprávněným osobám. To neplatí pro informace, které js</w:t>
      </w:r>
      <w:r w:rsidR="004437A2">
        <w:rPr>
          <w:rFonts w:ascii="Tahoma" w:hAnsi="Tahoma" w:cs="Tahoma"/>
          <w:noProof/>
          <w:sz w:val="20"/>
          <w:szCs w:val="20"/>
        </w:rPr>
        <w:t>o</w:t>
      </w:r>
      <w:r w:rsidRPr="004038E0">
        <w:rPr>
          <w:rFonts w:ascii="Tahoma" w:hAnsi="Tahoma" w:cs="Tahoma"/>
          <w:noProof/>
          <w:sz w:val="20"/>
          <w:szCs w:val="20"/>
        </w:rPr>
        <w:t>u považovány za veřejné či zveřejnitelné nebo informace, které musí s ohledem na jiné právní přepisy být zveřejněny (zejména zpracované vnitřní předpisy, znění této smlouvy apod.)</w:t>
      </w:r>
    </w:p>
    <w:p w:rsidR="004A7CA8" w:rsidRPr="004038E0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Za každé jednotlivé porušení povinnosti zachovávat mlčenlivost je smluvní strana, která svou povinnost porušila, povinna uhradit druhé straně smluvní pokutu ve výši 50.000,- Kč (slovy: padesáttisíc korun českých). Nárok na náhradu případné škody tím není dotčen.</w:t>
      </w:r>
    </w:p>
    <w:p w:rsidR="000C4CFB" w:rsidRPr="004038E0" w:rsidRDefault="000C4CFB" w:rsidP="000C4CFB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</w:p>
    <w:p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IV.</w:t>
      </w:r>
    </w:p>
    <w:p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Úplata a platební podmínky</w:t>
      </w:r>
    </w:p>
    <w:p w:rsidR="00293B2B" w:rsidRPr="004038E0" w:rsidRDefault="00293B2B" w:rsidP="00293B2B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A87D89" w:rsidRDefault="00A87D8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Za č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innosti dle </w:t>
      </w:r>
      <w:r>
        <w:rPr>
          <w:rFonts w:ascii="Tahoma" w:hAnsi="Tahoma" w:cs="Tahoma"/>
          <w:noProof/>
          <w:sz w:val="20"/>
          <w:szCs w:val="20"/>
        </w:rPr>
        <w:t xml:space="preserve">odstavce 1.2 a 1.3 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této smlouvy náleží Poskytovateli úplata ve výši </w:t>
      </w:r>
      <w:r w:rsidR="000A1BE0">
        <w:rPr>
          <w:rFonts w:ascii="Tahoma" w:hAnsi="Tahoma" w:cs="Tahoma"/>
          <w:noProof/>
          <w:sz w:val="20"/>
          <w:szCs w:val="20"/>
        </w:rPr>
        <w:t>8.000,-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 Kč (slovy: </w:t>
      </w:r>
      <w:r w:rsidR="000A1BE0">
        <w:rPr>
          <w:rFonts w:ascii="Tahoma" w:hAnsi="Tahoma" w:cs="Tahoma"/>
          <w:noProof/>
          <w:sz w:val="20"/>
          <w:szCs w:val="20"/>
        </w:rPr>
        <w:t>osmtisíc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1A2B7F" w:rsidRPr="00A87D89">
        <w:rPr>
          <w:rFonts w:ascii="Tahoma" w:hAnsi="Tahoma" w:cs="Tahoma"/>
          <w:noProof/>
          <w:sz w:val="20"/>
          <w:szCs w:val="20"/>
        </w:rPr>
        <w:t>korun českých)</w:t>
      </w:r>
      <w:r w:rsidR="00A55051" w:rsidRPr="00A87D89">
        <w:rPr>
          <w:rFonts w:ascii="Tahoma" w:hAnsi="Tahoma" w:cs="Tahoma"/>
          <w:noProof/>
          <w:sz w:val="20"/>
          <w:szCs w:val="20"/>
        </w:rPr>
        <w:t xml:space="preserve"> kvartálně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. </w:t>
      </w:r>
    </w:p>
    <w:p w:rsidR="00A87D89" w:rsidRDefault="00A87D8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Za činnosti dle odst. 1.4. této smlouvy náleží Poskytovateli úplata ve výši </w:t>
      </w:r>
      <w:r w:rsidR="000A1BE0">
        <w:rPr>
          <w:rFonts w:ascii="Tahoma" w:hAnsi="Tahoma" w:cs="Tahoma"/>
          <w:noProof/>
          <w:sz w:val="20"/>
          <w:szCs w:val="20"/>
        </w:rPr>
        <w:t>1.000,-</w:t>
      </w:r>
      <w:r w:rsidRPr="00A87D89">
        <w:rPr>
          <w:rFonts w:ascii="Tahoma" w:hAnsi="Tahoma" w:cs="Tahoma"/>
          <w:noProof/>
          <w:sz w:val="20"/>
          <w:szCs w:val="20"/>
        </w:rPr>
        <w:t xml:space="preserve"> Kč (slovy: </w:t>
      </w:r>
      <w:r w:rsidR="000A1BE0">
        <w:rPr>
          <w:rFonts w:ascii="Tahoma" w:hAnsi="Tahoma" w:cs="Tahoma"/>
          <w:noProof/>
          <w:sz w:val="20"/>
          <w:szCs w:val="20"/>
        </w:rPr>
        <w:t>jedenti</w:t>
      </w:r>
      <w:r w:rsidR="00F95867">
        <w:rPr>
          <w:rFonts w:ascii="Tahoma" w:hAnsi="Tahoma" w:cs="Tahoma"/>
          <w:noProof/>
          <w:sz w:val="20"/>
          <w:szCs w:val="20"/>
        </w:rPr>
        <w:t>s</w:t>
      </w:r>
      <w:r w:rsidR="000A1BE0">
        <w:rPr>
          <w:rFonts w:ascii="Tahoma" w:hAnsi="Tahoma" w:cs="Tahoma"/>
          <w:noProof/>
          <w:sz w:val="20"/>
          <w:szCs w:val="20"/>
        </w:rPr>
        <w:t>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87D89">
        <w:rPr>
          <w:rFonts w:ascii="Tahoma" w:hAnsi="Tahoma" w:cs="Tahoma"/>
          <w:noProof/>
          <w:sz w:val="20"/>
          <w:szCs w:val="20"/>
        </w:rPr>
        <w:t>korun českých)</w:t>
      </w:r>
      <w:r>
        <w:rPr>
          <w:rFonts w:ascii="Tahoma" w:hAnsi="Tahoma" w:cs="Tahoma"/>
          <w:noProof/>
          <w:sz w:val="20"/>
          <w:szCs w:val="20"/>
        </w:rPr>
        <w:t xml:space="preserve"> za hodinu. </w:t>
      </w:r>
    </w:p>
    <w:p w:rsidR="00293B2B" w:rsidRPr="00A87D89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 xml:space="preserve">Poskytovatel prohlašuje, že </w:t>
      </w:r>
      <w:r w:rsidR="00A87D89" w:rsidRPr="00A87D89">
        <w:rPr>
          <w:rFonts w:ascii="Tahoma" w:hAnsi="Tahoma" w:cs="Tahoma"/>
          <w:noProof/>
          <w:sz w:val="20"/>
          <w:szCs w:val="20"/>
        </w:rPr>
        <w:t>není</w:t>
      </w:r>
      <w:r w:rsidRPr="00A87D89">
        <w:rPr>
          <w:rFonts w:ascii="Tahoma" w:hAnsi="Tahoma" w:cs="Tahoma"/>
          <w:noProof/>
          <w:sz w:val="20"/>
          <w:szCs w:val="20"/>
        </w:rPr>
        <w:t xml:space="preserve"> plátcem DPH.</w:t>
      </w:r>
    </w:p>
    <w:p w:rsidR="00AA3E5A" w:rsidRPr="004038E0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>Úplata Poskytovatele zahrnuje náklady vynalož</w:t>
      </w:r>
      <w:r w:rsidR="00F428ED">
        <w:rPr>
          <w:rFonts w:ascii="Tahoma" w:hAnsi="Tahoma" w:cs="Tahoma"/>
          <w:noProof/>
          <w:sz w:val="20"/>
          <w:szCs w:val="20"/>
        </w:rPr>
        <w:t>ené v souvislosti s prováděním č</w:t>
      </w:r>
      <w:r w:rsidRPr="00A87D89">
        <w:rPr>
          <w:rFonts w:ascii="Tahoma" w:hAnsi="Tahoma" w:cs="Tahoma"/>
          <w:noProof/>
          <w:sz w:val="20"/>
          <w:szCs w:val="20"/>
        </w:rPr>
        <w:t>inností</w:t>
      </w:r>
      <w:r w:rsidR="00F428ED">
        <w:rPr>
          <w:rFonts w:ascii="Tahoma" w:hAnsi="Tahoma" w:cs="Tahoma"/>
          <w:noProof/>
          <w:sz w:val="20"/>
          <w:szCs w:val="20"/>
        </w:rPr>
        <w:t xml:space="preserve"> dle této smlouvy</w:t>
      </w:r>
      <w:r w:rsidRPr="00A87D89">
        <w:rPr>
          <w:rFonts w:ascii="Tahoma" w:hAnsi="Tahoma" w:cs="Tahoma"/>
          <w:noProof/>
          <w:sz w:val="20"/>
          <w:szCs w:val="20"/>
        </w:rPr>
        <w:t>.</w:t>
      </w:r>
      <w:r w:rsidRPr="004038E0">
        <w:rPr>
          <w:rFonts w:ascii="Tahoma" w:hAnsi="Tahoma" w:cs="Tahoma"/>
          <w:noProof/>
          <w:sz w:val="20"/>
          <w:szCs w:val="20"/>
        </w:rPr>
        <w:t xml:space="preserve"> Náklady nad rámec běžné činnosti, které bude třeba uhradit, strany vzájemně dopředu odsouhlasí.</w:t>
      </w:r>
    </w:p>
    <w:p w:rsidR="00293B2B" w:rsidRPr="004038E0" w:rsidRDefault="00134604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  <w:lang w:eastAsia="ja-JP"/>
        </w:rPr>
        <w:t>Úplata bude hrazená na základě faktury vystavené Poskytovatelem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vždy </w:t>
      </w:r>
      <w:r w:rsidR="00F95867">
        <w:rPr>
          <w:rFonts w:ascii="Tahoma" w:hAnsi="Tahoma" w:cs="Tahoma"/>
          <w:sz w:val="20"/>
          <w:szCs w:val="20"/>
          <w:lang w:eastAsia="ja-JP"/>
        </w:rPr>
        <w:t>k 1. k</w:t>
      </w:r>
      <w:r w:rsidR="00C1711A">
        <w:rPr>
          <w:rFonts w:ascii="Tahoma" w:hAnsi="Tahoma" w:cs="Tahoma"/>
          <w:sz w:val="20"/>
          <w:szCs w:val="20"/>
          <w:lang w:eastAsia="ja-JP"/>
        </w:rPr>
        <w:t>alendářnímu dni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daného</w:t>
      </w:r>
      <w:r w:rsidR="00C1711A">
        <w:rPr>
          <w:rFonts w:ascii="Tahoma" w:hAnsi="Tahoma" w:cs="Tahoma"/>
          <w:sz w:val="20"/>
          <w:szCs w:val="20"/>
          <w:lang w:eastAsia="ja-JP"/>
        </w:rPr>
        <w:t xml:space="preserve"> </w:t>
      </w:r>
      <w:r w:rsidR="00A55051" w:rsidRPr="00A87D89">
        <w:rPr>
          <w:rFonts w:ascii="Tahoma" w:hAnsi="Tahoma" w:cs="Tahoma"/>
          <w:sz w:val="20"/>
          <w:szCs w:val="20"/>
          <w:lang w:eastAsia="ja-JP"/>
        </w:rPr>
        <w:t>čtvrtletí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. </w:t>
      </w:r>
      <w:r w:rsidR="00CA2936" w:rsidRPr="004038E0">
        <w:rPr>
          <w:rFonts w:ascii="Tahoma" w:hAnsi="Tahoma" w:cs="Tahoma"/>
          <w:sz w:val="20"/>
          <w:szCs w:val="20"/>
          <w:lang w:eastAsia="ja-JP"/>
        </w:rPr>
        <w:t>Splatnost faktury je 15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 dnů.</w:t>
      </w:r>
    </w:p>
    <w:p w:rsidR="00CA2936" w:rsidRPr="004038E0" w:rsidRDefault="00140F41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 xml:space="preserve">V případě prodlení Klienta s úhradou faktury je Klient povinen uhradit </w:t>
      </w:r>
      <w:r w:rsidR="009727DD" w:rsidRPr="004038E0">
        <w:rPr>
          <w:rFonts w:ascii="Tahoma" w:hAnsi="Tahoma" w:cs="Tahoma"/>
          <w:sz w:val="20"/>
          <w:szCs w:val="20"/>
        </w:rPr>
        <w:t>Poskytovateli</w:t>
      </w:r>
      <w:r w:rsidRPr="004038E0">
        <w:rPr>
          <w:rFonts w:ascii="Tahoma" w:hAnsi="Tahoma" w:cs="Tahoma"/>
          <w:sz w:val="20"/>
          <w:szCs w:val="20"/>
        </w:rPr>
        <w:t xml:space="preserve"> úrok z prodlení ve výši 0,1% denně z dlužné částky za každý i započatý den prodlení. </w:t>
      </w:r>
    </w:p>
    <w:p w:rsidR="00F41079" w:rsidRPr="004038E0" w:rsidRDefault="00F4107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Klient není oprávněn jednostranně postoupit jakékoli pohledávky za Poskytovatelem na třetí subjekt.</w:t>
      </w:r>
    </w:p>
    <w:p w:rsidR="00293B2B" w:rsidRPr="004038E0" w:rsidRDefault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113694" w:rsidRPr="004038E0" w:rsidRDefault="00113694" w:rsidP="00CF7C97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lastRenderedPageBreak/>
        <w:t>V.</w:t>
      </w:r>
    </w:p>
    <w:p w:rsidR="00113694" w:rsidRPr="004038E0" w:rsidRDefault="00293B2B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Trvání smlouvy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466BF3" w:rsidRPr="00466BF3" w:rsidRDefault="00466BF3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Smlouva nabývá platnosti dnem podpisu obou smluvních stran a účinnosti uveřejněním v registru smluv. Objednatel má povinnost podle ustanovení § 219 zákona č. 134/2016 Sb., zveřejnit smlouvu (plný text) se zhotovitelem vč. jejich změn a dodatků na svém profilu zadavatele a uveřejnit skutečně uhrazenou cenu plnění a uveřejnit smlouvu v registru smluv. Smlouva bude v registru smluv uveřejněna objednatelem. Zhotovitel je povinen poskytnout objednateli potřebnou součinnost podle ustanovení § 219 odst. 5 zákona č. 134/2016 Sb.</w:t>
      </w:r>
      <w:r w:rsidR="0035028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 podle zákona č. 340/2015 Sb., 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 zvláštních podmínkách účinnosti některých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smluv, uveřejňování těchto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 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registru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(zákon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registru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smluv). Zhotovitel je seznámen se skutečností, že poskytnutí těchto informací se dle citovaných zákonů nepovažuje</w:t>
      </w:r>
      <w:r w:rsidR="0035028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za porušení obchodního tajemství a s jejich zveřejněním tímto vyslovuje svůj souhlas.</w:t>
      </w:r>
    </w:p>
    <w:p w:rsidR="00113694" w:rsidRPr="004038E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Ta</w:t>
      </w:r>
      <w:r w:rsidR="00F90797" w:rsidRPr="004038E0">
        <w:rPr>
          <w:rFonts w:ascii="Tahoma" w:hAnsi="Tahoma" w:cs="Tahoma"/>
          <w:noProof/>
          <w:sz w:val="20"/>
          <w:szCs w:val="20"/>
        </w:rPr>
        <w:t xml:space="preserve">to smlouva se uzavírá na dobu </w:t>
      </w:r>
      <w:r w:rsidR="003921D4" w:rsidRPr="004038E0">
        <w:rPr>
          <w:rFonts w:ascii="Tahoma" w:hAnsi="Tahoma" w:cs="Tahoma"/>
          <w:noProof/>
          <w:sz w:val="20"/>
          <w:szCs w:val="20"/>
        </w:rPr>
        <w:t>ne</w:t>
      </w:r>
      <w:r w:rsidRPr="004038E0">
        <w:rPr>
          <w:rFonts w:ascii="Tahoma" w:hAnsi="Tahoma" w:cs="Tahoma"/>
          <w:noProof/>
          <w:sz w:val="20"/>
          <w:szCs w:val="20"/>
        </w:rPr>
        <w:t>určitou</w:t>
      </w:r>
      <w:r w:rsidR="003921D4" w:rsidRPr="004038E0">
        <w:rPr>
          <w:rFonts w:ascii="Tahoma" w:hAnsi="Tahoma" w:cs="Tahoma"/>
          <w:noProof/>
          <w:sz w:val="20"/>
          <w:szCs w:val="20"/>
        </w:rPr>
        <w:t>.</w:t>
      </w:r>
    </w:p>
    <w:p w:rsidR="00293B2B" w:rsidRPr="004038E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Smluvní strany jsou oprávněny tuto smlouvu písemně vypovědět</w:t>
      </w:r>
      <w:r w:rsidR="00F90797" w:rsidRPr="004038E0">
        <w:rPr>
          <w:rFonts w:ascii="Tahoma" w:hAnsi="Tahoma" w:cs="Tahoma"/>
          <w:noProof/>
          <w:sz w:val="20"/>
          <w:szCs w:val="20"/>
        </w:rPr>
        <w:t>, pokud druhá smluvní strana porušuje své povinnosti</w:t>
      </w:r>
      <w:r w:rsidRPr="004038E0">
        <w:rPr>
          <w:rFonts w:ascii="Tahoma" w:hAnsi="Tahoma" w:cs="Tahoma"/>
          <w:noProof/>
          <w:sz w:val="20"/>
          <w:szCs w:val="20"/>
        </w:rPr>
        <w:t>. Výpovědní doba činí jeden měsíc a začíná běžet od prvního dne měsíce následujícího po měsíci, v němž byla výpověď doručena druhé smluvní straně.</w:t>
      </w:r>
    </w:p>
    <w:p w:rsidR="00134604" w:rsidRPr="004038E0" w:rsidRDefault="009727DD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Kterákoli smlu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vní strana může od této </w:t>
      </w:r>
      <w:r w:rsidRPr="004038E0">
        <w:rPr>
          <w:rFonts w:ascii="Tahoma" w:hAnsi="Tahoma" w:cs="Tahoma"/>
          <w:noProof/>
          <w:sz w:val="20"/>
          <w:szCs w:val="20"/>
        </w:rPr>
        <w:t>smlouvy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 odst</w:t>
      </w:r>
      <w:r w:rsidR="00434644">
        <w:rPr>
          <w:rFonts w:ascii="Tahoma" w:hAnsi="Tahoma" w:cs="Tahoma"/>
          <w:noProof/>
          <w:sz w:val="20"/>
          <w:szCs w:val="20"/>
        </w:rPr>
        <w:t>o</w:t>
      </w:r>
      <w:r w:rsidR="00134604" w:rsidRPr="004038E0">
        <w:rPr>
          <w:rFonts w:ascii="Tahoma" w:hAnsi="Tahoma" w:cs="Tahoma"/>
          <w:noProof/>
          <w:sz w:val="20"/>
          <w:szCs w:val="20"/>
        </w:rPr>
        <w:t>upit s okamžitou platností, a to v případě hrubého porušení povinností druhé smluvní strany.</w:t>
      </w:r>
    </w:p>
    <w:p w:rsidR="00F90797" w:rsidRPr="004038E0" w:rsidRDefault="00F90797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případech uvedených v předchozích dvou odstavcích má Poskytovatel nárok na část úplaty </w:t>
      </w:r>
      <w:r w:rsidR="003921D4" w:rsidRPr="004038E0">
        <w:rPr>
          <w:rFonts w:ascii="Tahoma" w:hAnsi="Tahoma" w:cs="Tahoma"/>
          <w:noProof/>
          <w:sz w:val="20"/>
          <w:szCs w:val="20"/>
        </w:rPr>
        <w:t>v poměrné výši k délce trvnání smluvního vztahu</w:t>
      </w:r>
      <w:r w:rsidRPr="004038E0">
        <w:rPr>
          <w:rFonts w:ascii="Tahoma" w:hAnsi="Tahoma" w:cs="Tahoma"/>
          <w:noProof/>
          <w:sz w:val="20"/>
          <w:szCs w:val="20"/>
        </w:rPr>
        <w:t>.</w:t>
      </w:r>
    </w:p>
    <w:p w:rsidR="00113694" w:rsidRPr="004038E0" w:rsidRDefault="00113694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113694" w:rsidRPr="004038E0" w:rsidRDefault="00C90188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V</w:t>
      </w:r>
      <w:r w:rsidR="000C4CFB"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113694"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Závěrečná ustanovení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6908A3" w:rsidRPr="004038E0" w:rsidRDefault="00113694" w:rsidP="006908A3">
      <w:pPr>
        <w:keepNext/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Tuto smlouvu lze měnit pouze písemným</w:t>
      </w:r>
      <w:r w:rsidR="00134604" w:rsidRPr="004038E0">
        <w:rPr>
          <w:rFonts w:ascii="Tahoma" w:hAnsi="Tahoma" w:cs="Tahoma"/>
          <w:noProof/>
          <w:sz w:val="20"/>
          <w:szCs w:val="20"/>
        </w:rPr>
        <w:t>i číslovanými dodatky podepsanými oběma smluvními stranami.</w:t>
      </w:r>
    </w:p>
    <w:p w:rsidR="00113694" w:rsidRPr="004038E0" w:rsidRDefault="006908A3" w:rsidP="006908A3">
      <w:pPr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Smlouva je sepsána ve dvou stejnopisech, z nichž každá smluvní strana obdrží po jednom.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113694" w:rsidRPr="004038E0" w:rsidRDefault="00113694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V </w:t>
      </w:r>
      <w:r w:rsidR="00F90797" w:rsidRPr="004038E0">
        <w:rPr>
          <w:rFonts w:ascii="Tahoma" w:hAnsi="Tahoma" w:cs="Tahoma"/>
          <w:noProof/>
          <w:sz w:val="20"/>
          <w:szCs w:val="20"/>
        </w:rPr>
        <w:t>Praze</w:t>
      </w:r>
      <w:r w:rsidRPr="004038E0">
        <w:rPr>
          <w:rFonts w:ascii="Tahoma" w:hAnsi="Tahoma" w:cs="Tahoma"/>
          <w:noProof/>
          <w:sz w:val="20"/>
          <w:szCs w:val="20"/>
        </w:rPr>
        <w:t xml:space="preserve"> dne</w:t>
      </w:r>
      <w:r w:rsidR="00F01F04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466BF3">
        <w:rPr>
          <w:rFonts w:ascii="Tahoma" w:hAnsi="Tahoma" w:cs="Tahoma"/>
          <w:noProof/>
          <w:sz w:val="20"/>
          <w:szCs w:val="20"/>
        </w:rPr>
        <w:t>14</w:t>
      </w:r>
      <w:r w:rsidR="00A803CA">
        <w:rPr>
          <w:rFonts w:ascii="Tahoma" w:hAnsi="Tahoma" w:cs="Tahoma"/>
          <w:noProof/>
          <w:sz w:val="20"/>
          <w:szCs w:val="20"/>
        </w:rPr>
        <w:t>.12.2017</w:t>
      </w:r>
    </w:p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AE1F4A" w:rsidRPr="004038E0" w:rsidRDefault="00AE1F4A">
      <w:pPr>
        <w:jc w:val="both"/>
        <w:rPr>
          <w:rFonts w:ascii="Tahoma" w:hAnsi="Tahoma" w:cs="Tahoma"/>
          <w:noProof/>
          <w:sz w:val="20"/>
          <w:szCs w:val="20"/>
        </w:rPr>
      </w:pPr>
    </w:p>
    <w:p w:rsidR="00113694" w:rsidRPr="004038E0" w:rsidRDefault="00113694" w:rsidP="00F01F04">
      <w:pPr>
        <w:jc w:val="right"/>
        <w:rPr>
          <w:rFonts w:ascii="Tahoma" w:hAnsi="Tahoma" w:cs="Tahoma"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1057" w:rsidRPr="004038E0" w:rsidTr="00994768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D1057" w:rsidRPr="004038E0" w:rsidTr="00994768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Poskytovatele</w:t>
            </w:r>
          </w:p>
        </w:tc>
        <w:tc>
          <w:tcPr>
            <w:tcW w:w="3071" w:type="dxa"/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Klienta</w:t>
            </w:r>
          </w:p>
        </w:tc>
      </w:tr>
      <w:tr w:rsidR="008D1057" w:rsidRPr="004038E0" w:rsidTr="00994768">
        <w:tc>
          <w:tcPr>
            <w:tcW w:w="3070" w:type="dxa"/>
            <w:shd w:val="clear" w:color="auto" w:fill="auto"/>
          </w:tcPr>
          <w:p w:rsidR="008D1057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Radek Kutnohorský</w:t>
            </w:r>
          </w:p>
          <w:p w:rsidR="008D1057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jednatel</w:t>
            </w:r>
          </w:p>
        </w:tc>
        <w:tc>
          <w:tcPr>
            <w:tcW w:w="3071" w:type="dxa"/>
            <w:shd w:val="clear" w:color="auto" w:fill="auto"/>
          </w:tcPr>
          <w:p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8D1057" w:rsidRDefault="009433CB" w:rsidP="00994768">
            <w:pPr>
              <w:jc w:val="center"/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Jana Valinčičová</w:t>
            </w:r>
          </w:p>
          <w:p w:rsidR="002D499B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ředitelka</w:t>
            </w:r>
          </w:p>
        </w:tc>
      </w:tr>
    </w:tbl>
    <w:p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:rsidR="003E426D" w:rsidRPr="004038E0" w:rsidRDefault="00F90797" w:rsidP="003E426D">
      <w:pPr>
        <w:jc w:val="both"/>
        <w:rPr>
          <w:rStyle w:val="platne1"/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</w:p>
    <w:sectPr w:rsidR="003E426D" w:rsidRPr="004038E0">
      <w:footerReference w:type="default" r:id="rId7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D5A" w:rsidRDefault="00FB0D5A">
      <w:r>
        <w:separator/>
      </w:r>
    </w:p>
  </w:endnote>
  <w:endnote w:type="continuationSeparator" w:id="0">
    <w:p w:rsidR="00FB0D5A" w:rsidRDefault="00F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FF5" w:rsidRDefault="00071FF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234A8">
      <w:rPr>
        <w:noProof/>
      </w:rPr>
      <w:t>2</w:t>
    </w:r>
    <w:r>
      <w:fldChar w:fldCharType="end"/>
    </w:r>
  </w:p>
  <w:p w:rsidR="00071FF5" w:rsidRDefault="00071F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D5A" w:rsidRDefault="00FB0D5A">
      <w:r>
        <w:separator/>
      </w:r>
    </w:p>
  </w:footnote>
  <w:footnote w:type="continuationSeparator" w:id="0">
    <w:p w:rsidR="00FB0D5A" w:rsidRDefault="00FB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158"/>
    <w:multiLevelType w:val="hybridMultilevel"/>
    <w:tmpl w:val="82D81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BB5"/>
    <w:multiLevelType w:val="multilevel"/>
    <w:tmpl w:val="78BAD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7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B1958"/>
    <w:multiLevelType w:val="hybridMultilevel"/>
    <w:tmpl w:val="15362A8E"/>
    <w:lvl w:ilvl="0" w:tplc="6D086B1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7F99"/>
    <w:multiLevelType w:val="multilevel"/>
    <w:tmpl w:val="DDF251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26983"/>
    <w:multiLevelType w:val="multilevel"/>
    <w:tmpl w:val="2A2660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4EB2763"/>
    <w:multiLevelType w:val="multilevel"/>
    <w:tmpl w:val="55DA27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F81CB2"/>
    <w:multiLevelType w:val="multilevel"/>
    <w:tmpl w:val="202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48F1"/>
    <w:multiLevelType w:val="hybridMultilevel"/>
    <w:tmpl w:val="EFBEE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3A8F"/>
    <w:multiLevelType w:val="multilevel"/>
    <w:tmpl w:val="9AC4F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0" w15:restartNumberingAfterBreak="0">
    <w:nsid w:val="230063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160D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7649D9"/>
    <w:multiLevelType w:val="multilevel"/>
    <w:tmpl w:val="770096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F31D23"/>
    <w:multiLevelType w:val="multilevel"/>
    <w:tmpl w:val="BABEB3E0"/>
    <w:lvl w:ilvl="0">
      <w:start w:val="1"/>
      <w:numFmt w:val="upperRoman"/>
      <w:pStyle w:val="Polozka1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pStyle w:val="Polozka2"/>
      <w:lvlText w:val="%2."/>
      <w:lvlJc w:val="left"/>
      <w:pPr>
        <w:ind w:left="425" w:hanging="425"/>
      </w:pPr>
      <w:rPr>
        <w:rFonts w:cs="Times New Roman" w:hint="default"/>
      </w:rPr>
    </w:lvl>
    <w:lvl w:ilvl="2">
      <w:start w:val="1"/>
      <w:numFmt w:val="decimal"/>
      <w:pStyle w:val="Polozka3"/>
      <w:lvlText w:val="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pStyle w:val="Polozka4"/>
      <w:lvlText w:val="%4)"/>
      <w:lvlJc w:val="left"/>
      <w:pPr>
        <w:ind w:left="992" w:hanging="28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408F5D38"/>
    <w:multiLevelType w:val="hybridMultilevel"/>
    <w:tmpl w:val="BB60EC74"/>
    <w:lvl w:ilvl="0" w:tplc="72EC52F4">
      <w:start w:val="1"/>
      <w:numFmt w:val="bullet"/>
      <w:lvlText w:val="-"/>
      <w:lvlJc w:val="left"/>
      <w:pPr>
        <w:ind w:left="112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47EA1AF1"/>
    <w:multiLevelType w:val="hybridMultilevel"/>
    <w:tmpl w:val="6EF4EF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0145"/>
    <w:multiLevelType w:val="hybridMultilevel"/>
    <w:tmpl w:val="2220941A"/>
    <w:lvl w:ilvl="0" w:tplc="403E0B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259A2"/>
    <w:multiLevelType w:val="multilevel"/>
    <w:tmpl w:val="BA7A4C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1A4CDF"/>
    <w:multiLevelType w:val="multilevel"/>
    <w:tmpl w:val="9886D1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59074AC"/>
    <w:multiLevelType w:val="hybridMultilevel"/>
    <w:tmpl w:val="6C7E88EA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3"/>
  </w:num>
  <w:num w:numId="5">
    <w:abstractNumId w:val="9"/>
  </w:num>
  <w:num w:numId="6">
    <w:abstractNumId w:val="2"/>
  </w:num>
  <w:num w:numId="7">
    <w:abstractNumId w:val="17"/>
  </w:num>
  <w:num w:numId="8">
    <w:abstractNumId w:val="0"/>
  </w:num>
  <w:num w:numId="9">
    <w:abstractNumId w:val="4"/>
  </w:num>
  <w:num w:numId="10">
    <w:abstractNumId w:val="11"/>
  </w:num>
  <w:num w:numId="11">
    <w:abstractNumId w:val="16"/>
  </w:num>
  <w:num w:numId="12">
    <w:abstractNumId w:val="12"/>
  </w:num>
  <w:num w:numId="13">
    <w:abstractNumId w:val="18"/>
  </w:num>
  <w:num w:numId="14">
    <w:abstractNumId w:val="10"/>
  </w:num>
  <w:num w:numId="15">
    <w:abstractNumId w:val="5"/>
  </w:num>
  <w:num w:numId="16">
    <w:abstractNumId w:val="6"/>
  </w:num>
  <w:num w:numId="17">
    <w:abstractNumId w:val="3"/>
  </w:num>
  <w:num w:numId="18">
    <w:abstractNumId w:val="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04"/>
    <w:rsid w:val="00003EA2"/>
    <w:rsid w:val="00011A99"/>
    <w:rsid w:val="00071FF5"/>
    <w:rsid w:val="0008353E"/>
    <w:rsid w:val="000A1BE0"/>
    <w:rsid w:val="000A4E58"/>
    <w:rsid w:val="000A6148"/>
    <w:rsid w:val="000B0A47"/>
    <w:rsid w:val="000C4CFB"/>
    <w:rsid w:val="000F126C"/>
    <w:rsid w:val="00107444"/>
    <w:rsid w:val="00107A5A"/>
    <w:rsid w:val="00113694"/>
    <w:rsid w:val="001215E7"/>
    <w:rsid w:val="00134604"/>
    <w:rsid w:val="00140F41"/>
    <w:rsid w:val="0014333B"/>
    <w:rsid w:val="00147301"/>
    <w:rsid w:val="00167BCC"/>
    <w:rsid w:val="001A2B7F"/>
    <w:rsid w:val="001C0D38"/>
    <w:rsid w:val="001D1681"/>
    <w:rsid w:val="001D2847"/>
    <w:rsid w:val="001E33BE"/>
    <w:rsid w:val="002152BF"/>
    <w:rsid w:val="00245DFC"/>
    <w:rsid w:val="00255B62"/>
    <w:rsid w:val="00283B4F"/>
    <w:rsid w:val="00293B2B"/>
    <w:rsid w:val="002A6801"/>
    <w:rsid w:val="002B7364"/>
    <w:rsid w:val="002C005F"/>
    <w:rsid w:val="002D499B"/>
    <w:rsid w:val="00307062"/>
    <w:rsid w:val="003411A7"/>
    <w:rsid w:val="00350288"/>
    <w:rsid w:val="003507E5"/>
    <w:rsid w:val="0035496E"/>
    <w:rsid w:val="00356B03"/>
    <w:rsid w:val="0037716A"/>
    <w:rsid w:val="003921D4"/>
    <w:rsid w:val="003C534F"/>
    <w:rsid w:val="003E426D"/>
    <w:rsid w:val="004038E0"/>
    <w:rsid w:val="004061A4"/>
    <w:rsid w:val="00413A4E"/>
    <w:rsid w:val="004202D7"/>
    <w:rsid w:val="00434644"/>
    <w:rsid w:val="004437A2"/>
    <w:rsid w:val="00462155"/>
    <w:rsid w:val="00466BF3"/>
    <w:rsid w:val="004846F8"/>
    <w:rsid w:val="0049323E"/>
    <w:rsid w:val="004A7CA8"/>
    <w:rsid w:val="004B16EF"/>
    <w:rsid w:val="004B46CE"/>
    <w:rsid w:val="004C0429"/>
    <w:rsid w:val="004C32E4"/>
    <w:rsid w:val="004F32F4"/>
    <w:rsid w:val="004F4F92"/>
    <w:rsid w:val="00501B51"/>
    <w:rsid w:val="0050788E"/>
    <w:rsid w:val="00507CEF"/>
    <w:rsid w:val="0051512C"/>
    <w:rsid w:val="00522D4B"/>
    <w:rsid w:val="00540E11"/>
    <w:rsid w:val="005D775B"/>
    <w:rsid w:val="005F3698"/>
    <w:rsid w:val="006123A6"/>
    <w:rsid w:val="00633A36"/>
    <w:rsid w:val="00660DE9"/>
    <w:rsid w:val="006908A3"/>
    <w:rsid w:val="0069502D"/>
    <w:rsid w:val="006B6E62"/>
    <w:rsid w:val="006E1696"/>
    <w:rsid w:val="006F038C"/>
    <w:rsid w:val="00714F8E"/>
    <w:rsid w:val="00751F45"/>
    <w:rsid w:val="00790240"/>
    <w:rsid w:val="00797005"/>
    <w:rsid w:val="007B3E05"/>
    <w:rsid w:val="007C469F"/>
    <w:rsid w:val="007C7EAA"/>
    <w:rsid w:val="00820117"/>
    <w:rsid w:val="008234A8"/>
    <w:rsid w:val="00826E55"/>
    <w:rsid w:val="008917A9"/>
    <w:rsid w:val="008958F5"/>
    <w:rsid w:val="008A0D49"/>
    <w:rsid w:val="008A1446"/>
    <w:rsid w:val="008A7AA1"/>
    <w:rsid w:val="008D1057"/>
    <w:rsid w:val="008D4498"/>
    <w:rsid w:val="00927045"/>
    <w:rsid w:val="009277D0"/>
    <w:rsid w:val="009433CB"/>
    <w:rsid w:val="0096285C"/>
    <w:rsid w:val="009727DD"/>
    <w:rsid w:val="00982568"/>
    <w:rsid w:val="00994768"/>
    <w:rsid w:val="009A09EF"/>
    <w:rsid w:val="009B5E77"/>
    <w:rsid w:val="009C146F"/>
    <w:rsid w:val="009C3EA7"/>
    <w:rsid w:val="00A02E35"/>
    <w:rsid w:val="00A24D2D"/>
    <w:rsid w:val="00A40C59"/>
    <w:rsid w:val="00A45E6F"/>
    <w:rsid w:val="00A55051"/>
    <w:rsid w:val="00A75BC3"/>
    <w:rsid w:val="00A803CA"/>
    <w:rsid w:val="00A87D89"/>
    <w:rsid w:val="00A91910"/>
    <w:rsid w:val="00A94CD1"/>
    <w:rsid w:val="00AA3E5A"/>
    <w:rsid w:val="00AA5A2A"/>
    <w:rsid w:val="00AD3E49"/>
    <w:rsid w:val="00AE1F4A"/>
    <w:rsid w:val="00B07575"/>
    <w:rsid w:val="00B22C4B"/>
    <w:rsid w:val="00B27670"/>
    <w:rsid w:val="00B77A0A"/>
    <w:rsid w:val="00B90FFC"/>
    <w:rsid w:val="00BA41EB"/>
    <w:rsid w:val="00BA7676"/>
    <w:rsid w:val="00BC022D"/>
    <w:rsid w:val="00BE64F8"/>
    <w:rsid w:val="00BF2D55"/>
    <w:rsid w:val="00C103B8"/>
    <w:rsid w:val="00C1711A"/>
    <w:rsid w:val="00C27277"/>
    <w:rsid w:val="00C6115E"/>
    <w:rsid w:val="00C612C2"/>
    <w:rsid w:val="00C6333B"/>
    <w:rsid w:val="00C7228B"/>
    <w:rsid w:val="00C826A0"/>
    <w:rsid w:val="00C828FF"/>
    <w:rsid w:val="00C90188"/>
    <w:rsid w:val="00C9283A"/>
    <w:rsid w:val="00C928BC"/>
    <w:rsid w:val="00C93ECC"/>
    <w:rsid w:val="00CA2936"/>
    <w:rsid w:val="00CC3896"/>
    <w:rsid w:val="00CF7C97"/>
    <w:rsid w:val="00D02826"/>
    <w:rsid w:val="00D516E0"/>
    <w:rsid w:val="00D85649"/>
    <w:rsid w:val="00DE506C"/>
    <w:rsid w:val="00DF62CC"/>
    <w:rsid w:val="00DF7E89"/>
    <w:rsid w:val="00E27968"/>
    <w:rsid w:val="00E40404"/>
    <w:rsid w:val="00E61945"/>
    <w:rsid w:val="00E87778"/>
    <w:rsid w:val="00E96137"/>
    <w:rsid w:val="00EC535F"/>
    <w:rsid w:val="00ED036C"/>
    <w:rsid w:val="00ED65A4"/>
    <w:rsid w:val="00EE30F2"/>
    <w:rsid w:val="00F01F04"/>
    <w:rsid w:val="00F41079"/>
    <w:rsid w:val="00F428ED"/>
    <w:rsid w:val="00F821BC"/>
    <w:rsid w:val="00F90797"/>
    <w:rsid w:val="00F95867"/>
    <w:rsid w:val="00F97698"/>
    <w:rsid w:val="00F97B5E"/>
    <w:rsid w:val="00FA7DFA"/>
    <w:rsid w:val="00FB0D5A"/>
    <w:rsid w:val="00FC2BA5"/>
    <w:rsid w:val="00FF065C"/>
    <w:rsid w:val="00FF5B83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48F07-E33C-4745-8B54-7DA8576B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  <w:lang w:val="cs-CZ" w:eastAsia="cs-CZ" w:bidi="ar-SA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  <w:lang w:val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TextkomenteChar">
    <w:name w:val="Text komentáře Char"/>
    <w:link w:val="Textkomente"/>
    <w:semiHidden/>
    <w:rPr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C826A0"/>
    <w:pPr>
      <w:ind w:left="708"/>
    </w:pPr>
  </w:style>
  <w:style w:type="paragraph" w:customStyle="1" w:styleId="Polozka1">
    <w:name w:val="Polozka1"/>
    <w:basedOn w:val="Normln"/>
    <w:uiPriority w:val="99"/>
    <w:rsid w:val="005D775B"/>
    <w:pPr>
      <w:numPr>
        <w:numId w:val="4"/>
      </w:numPr>
      <w:spacing w:after="160" w:line="259" w:lineRule="auto"/>
      <w:jc w:val="center"/>
    </w:pPr>
    <w:rPr>
      <w:rFonts w:ascii="Arial" w:eastAsia="Arial" w:hAnsi="Arial"/>
      <w:b/>
      <w:szCs w:val="20"/>
    </w:rPr>
  </w:style>
  <w:style w:type="paragraph" w:customStyle="1" w:styleId="Polozka2">
    <w:name w:val="Polozka2"/>
    <w:basedOn w:val="Polozka1"/>
    <w:uiPriority w:val="99"/>
    <w:rsid w:val="005D775B"/>
    <w:pPr>
      <w:numPr>
        <w:ilvl w:val="1"/>
      </w:numPr>
      <w:spacing w:before="240"/>
      <w:jc w:val="both"/>
    </w:pPr>
    <w:rPr>
      <w:sz w:val="22"/>
    </w:rPr>
  </w:style>
  <w:style w:type="paragraph" w:customStyle="1" w:styleId="Polozka3">
    <w:name w:val="Polozka3"/>
    <w:basedOn w:val="Polozka2"/>
    <w:link w:val="Polozka3Char"/>
    <w:uiPriority w:val="99"/>
    <w:rsid w:val="005D775B"/>
    <w:pPr>
      <w:numPr>
        <w:ilvl w:val="2"/>
      </w:numPr>
    </w:pPr>
    <w:rPr>
      <w:b w:val="0"/>
      <w:lang w:val="x-none" w:eastAsia="x-none"/>
    </w:rPr>
  </w:style>
  <w:style w:type="paragraph" w:customStyle="1" w:styleId="Polozka4">
    <w:name w:val="Polozka4"/>
    <w:basedOn w:val="Polozka3"/>
    <w:uiPriority w:val="99"/>
    <w:rsid w:val="005D775B"/>
    <w:pPr>
      <w:numPr>
        <w:ilvl w:val="3"/>
      </w:numPr>
      <w:tabs>
        <w:tab w:val="num" w:pos="360"/>
      </w:tabs>
      <w:ind w:left="2880" w:hanging="360"/>
    </w:pPr>
  </w:style>
  <w:style w:type="character" w:customStyle="1" w:styleId="Polozka3Char">
    <w:name w:val="Polozka3 Char"/>
    <w:link w:val="Polozka3"/>
    <w:uiPriority w:val="99"/>
    <w:locked/>
    <w:rsid w:val="005D775B"/>
    <w:rPr>
      <w:rFonts w:ascii="Arial" w:eastAsia="Arial" w:hAnsi="Arial"/>
      <w:sz w:val="22"/>
    </w:rPr>
  </w:style>
  <w:style w:type="character" w:styleId="Hypertextovodkaz">
    <w:name w:val="Hyperlink"/>
    <w:uiPriority w:val="99"/>
    <w:rsid w:val="005D775B"/>
    <w:rPr>
      <w:rFonts w:cs="Times New Roman"/>
      <w:color w:val="0000FF"/>
      <w:u w:val="single"/>
    </w:rPr>
  </w:style>
  <w:style w:type="character" w:customStyle="1" w:styleId="tsubjname">
    <w:name w:val="tsubjname"/>
    <w:basedOn w:val="Standardnpsmoodstavce"/>
    <w:rsid w:val="00B27670"/>
  </w:style>
  <w:style w:type="table" w:styleId="Mkatabulky">
    <w:name w:val="Table Grid"/>
    <w:basedOn w:val="Normlntabulka"/>
    <w:uiPriority w:val="59"/>
    <w:rsid w:val="008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4038E0"/>
    <w:rPr>
      <w:b/>
      <w:bCs/>
    </w:rPr>
  </w:style>
  <w:style w:type="character" w:customStyle="1" w:styleId="apple-converted-space">
    <w:name w:val="apple-converted-space"/>
    <w:basedOn w:val="Standardnpsmoodstavce"/>
    <w:rsid w:val="0046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7075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EK</dc:creator>
  <cp:lastModifiedBy>Valinčicová Jana - Domov pro seniory Ďáblice</cp:lastModifiedBy>
  <cp:revision>2</cp:revision>
  <dcterms:created xsi:type="dcterms:W3CDTF">2018-01-10T10:20:00Z</dcterms:created>
  <dcterms:modified xsi:type="dcterms:W3CDTF">2018-01-10T10:20:00Z</dcterms:modified>
</cp:coreProperties>
</file>