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C8C" w:rsidRPr="00BE62CE" w:rsidRDefault="00BE62CE" w:rsidP="00BE62CE">
      <w:pPr>
        <w:jc w:val="center"/>
        <w:rPr>
          <w:rFonts w:ascii="Arial" w:hAnsi="Arial" w:cs="Arial"/>
          <w:b/>
        </w:rPr>
      </w:pPr>
      <w:bookmarkStart w:id="0" w:name="_GoBack"/>
      <w:bookmarkEnd w:id="0"/>
      <w:r w:rsidRPr="00BE62CE">
        <w:rPr>
          <w:rFonts w:ascii="Arial" w:hAnsi="Arial" w:cs="Arial"/>
          <w:b/>
        </w:rPr>
        <w:t xml:space="preserve">TABULKA </w:t>
      </w:r>
      <w:r w:rsidR="00F56811">
        <w:rPr>
          <w:rFonts w:ascii="Arial" w:hAnsi="Arial" w:cs="Arial"/>
          <w:b/>
        </w:rPr>
        <w:t>SNÍŽENÝCH ODVODŮ</w:t>
      </w:r>
    </w:p>
    <w:p w:rsidR="00814A27" w:rsidRPr="008149E3" w:rsidRDefault="001D67DB" w:rsidP="003868DF">
      <w:pPr>
        <w:spacing w:before="120"/>
        <w:jc w:val="both"/>
        <w:rPr>
          <w:rFonts w:ascii="Arial" w:hAnsi="Arial" w:cs="Arial"/>
          <w:spacing w:val="-4"/>
          <w:sz w:val="20"/>
          <w:szCs w:val="20"/>
        </w:rPr>
      </w:pPr>
      <w:r w:rsidRPr="008149E3">
        <w:rPr>
          <w:rFonts w:ascii="Arial" w:hAnsi="Arial" w:cs="Arial"/>
          <w:spacing w:val="-4"/>
          <w:sz w:val="20"/>
          <w:szCs w:val="20"/>
        </w:rPr>
        <w:t>V případě porušení rozpočtové kázně u příjemců, se kterými byla Smlouva o p</w:t>
      </w:r>
      <w:r w:rsidR="00C77C01">
        <w:rPr>
          <w:rFonts w:ascii="Arial" w:hAnsi="Arial" w:cs="Arial"/>
          <w:spacing w:val="-4"/>
          <w:sz w:val="20"/>
          <w:szCs w:val="20"/>
        </w:rPr>
        <w:t>oskytnutí dotace uzavřena po 1. 5. </w:t>
      </w:r>
      <w:r w:rsidRPr="008149E3">
        <w:rPr>
          <w:rFonts w:ascii="Arial" w:hAnsi="Arial" w:cs="Arial"/>
          <w:spacing w:val="-4"/>
          <w:sz w:val="20"/>
          <w:szCs w:val="20"/>
        </w:rPr>
        <w:t xml:space="preserve">2012, je příjemci </w:t>
      </w:r>
      <w:r w:rsidR="0042645E" w:rsidRPr="008149E3">
        <w:rPr>
          <w:rFonts w:ascii="Arial" w:hAnsi="Arial" w:cs="Arial"/>
          <w:spacing w:val="-4"/>
          <w:sz w:val="20"/>
          <w:szCs w:val="20"/>
        </w:rPr>
        <w:t>uložen</w:t>
      </w:r>
      <w:r w:rsidRPr="008149E3">
        <w:rPr>
          <w:rFonts w:ascii="Arial" w:hAnsi="Arial" w:cs="Arial"/>
          <w:spacing w:val="-4"/>
          <w:sz w:val="20"/>
          <w:szCs w:val="20"/>
        </w:rPr>
        <w:t xml:space="preserve"> snížený odvod za porušení rozpočtové kázně (dále j</w:t>
      </w:r>
      <w:r w:rsidR="00C77C01">
        <w:rPr>
          <w:rFonts w:ascii="Arial" w:hAnsi="Arial" w:cs="Arial"/>
          <w:spacing w:val="-4"/>
          <w:sz w:val="20"/>
          <w:szCs w:val="20"/>
        </w:rPr>
        <w:t>en „snížený odvod“) v souladu s </w:t>
      </w:r>
      <w:r w:rsidRPr="008149E3">
        <w:rPr>
          <w:rFonts w:ascii="Arial" w:hAnsi="Arial" w:cs="Arial"/>
          <w:spacing w:val="-4"/>
          <w:sz w:val="20"/>
          <w:szCs w:val="20"/>
        </w:rPr>
        <w:t xml:space="preserve">§ 22 odst. 5 zákona č. 250/2000 Sb., o rozpočtových pravidlech územních rozpočtů v platném znění. </w:t>
      </w:r>
    </w:p>
    <w:p w:rsidR="001D67DB" w:rsidRPr="008149E3" w:rsidRDefault="001D67DB" w:rsidP="003868DF">
      <w:pPr>
        <w:spacing w:before="120"/>
        <w:jc w:val="both"/>
        <w:rPr>
          <w:rFonts w:ascii="Arial" w:hAnsi="Arial" w:cs="Arial"/>
          <w:sz w:val="20"/>
          <w:szCs w:val="20"/>
        </w:rPr>
      </w:pPr>
      <w:r w:rsidRPr="008149E3">
        <w:rPr>
          <w:rFonts w:ascii="Arial" w:hAnsi="Arial" w:cs="Arial"/>
          <w:sz w:val="20"/>
          <w:szCs w:val="20"/>
        </w:rPr>
        <w:t>Snížený odvod se uloží v hranicích p</w:t>
      </w:r>
      <w:r w:rsidR="0042645E" w:rsidRPr="008149E3">
        <w:rPr>
          <w:rFonts w:ascii="Arial" w:hAnsi="Arial" w:cs="Arial"/>
          <w:sz w:val="20"/>
          <w:szCs w:val="20"/>
        </w:rPr>
        <w:t xml:space="preserve">rocentního rozmezí, které jsou stanoveny u jednotlivých typů porušení pravidel. Při stanovení výše sníženého odvodu se přihlédne k závažnosti zjištěného pochybení a jeho vlivu na dodržení účelu dotace. </w:t>
      </w:r>
    </w:p>
    <w:p w:rsidR="00E54C26" w:rsidRPr="008149E3" w:rsidRDefault="0042645E" w:rsidP="00E54C26">
      <w:pPr>
        <w:widowControl/>
        <w:suppressAutoHyphens w:val="0"/>
        <w:autoSpaceDE w:val="0"/>
        <w:adjustRightInd w:val="0"/>
        <w:spacing w:before="120"/>
        <w:jc w:val="both"/>
        <w:textAlignment w:val="auto"/>
        <w:rPr>
          <w:rFonts w:ascii="Arial" w:hAnsi="Arial" w:cs="Arial"/>
          <w:sz w:val="20"/>
          <w:szCs w:val="20"/>
        </w:rPr>
      </w:pPr>
      <w:r w:rsidRPr="008149E3">
        <w:rPr>
          <w:rFonts w:ascii="Arial" w:hAnsi="Arial" w:cs="Arial"/>
          <w:sz w:val="20"/>
          <w:szCs w:val="20"/>
        </w:rPr>
        <w:t xml:space="preserve">Sazby snížených odvodů – ČÁST I </w:t>
      </w:r>
      <w:r w:rsidR="00E54C26" w:rsidRPr="008149E3">
        <w:rPr>
          <w:rFonts w:ascii="Arial" w:hAnsi="Arial" w:cs="Arial"/>
          <w:sz w:val="20"/>
          <w:szCs w:val="20"/>
        </w:rPr>
        <w:t>vycházejí</w:t>
      </w:r>
      <w:r w:rsidR="00C77C01">
        <w:rPr>
          <w:rFonts w:ascii="Arial" w:hAnsi="Arial" w:cs="Arial"/>
          <w:sz w:val="20"/>
          <w:szCs w:val="20"/>
        </w:rPr>
        <w:t xml:space="preserve"> z Rozhodnutí Komise ze dne 19. 12. </w:t>
      </w:r>
      <w:r w:rsidR="00E54C26" w:rsidRPr="008149E3">
        <w:rPr>
          <w:rFonts w:ascii="Arial" w:hAnsi="Arial" w:cs="Arial"/>
          <w:sz w:val="20"/>
          <w:szCs w:val="20"/>
        </w:rPr>
        <w:t xml:space="preserve">2013 C(2013) 9527, </w:t>
      </w:r>
      <w:r w:rsidR="00E54C26" w:rsidRPr="008149E3">
        <w:rPr>
          <w:rFonts w:ascii="Arial" w:hAnsi="Arial" w:cs="Arial"/>
          <w:bCs/>
          <w:kern w:val="0"/>
          <w:sz w:val="20"/>
          <w:szCs w:val="20"/>
        </w:rPr>
        <w:t>kt</w:t>
      </w:r>
      <w:r w:rsidR="00E54C26" w:rsidRPr="008149E3">
        <w:rPr>
          <w:rFonts w:ascii="Arial" w:hAnsi="Arial" w:cs="Arial"/>
          <w:bCs/>
          <w:kern w:val="0"/>
          <w:sz w:val="20"/>
          <w:szCs w:val="20"/>
        </w:rPr>
        <w:t>e</w:t>
      </w:r>
      <w:r w:rsidR="00E54C26" w:rsidRPr="008149E3">
        <w:rPr>
          <w:rFonts w:ascii="Arial" w:hAnsi="Arial" w:cs="Arial"/>
          <w:bCs/>
          <w:kern w:val="0"/>
          <w:sz w:val="20"/>
          <w:szCs w:val="20"/>
        </w:rPr>
        <w:t>rým se stanoví a schvalují pokyny ke stanovení finančních oprav, jež má Komise provést u výdajů financ</w:t>
      </w:r>
      <w:r w:rsidR="00E54C26" w:rsidRPr="008149E3">
        <w:rPr>
          <w:rFonts w:ascii="Arial" w:hAnsi="Arial" w:cs="Arial"/>
          <w:bCs/>
          <w:kern w:val="0"/>
          <w:sz w:val="20"/>
          <w:szCs w:val="20"/>
        </w:rPr>
        <w:t>o</w:t>
      </w:r>
      <w:r w:rsidR="00E54C26" w:rsidRPr="008149E3">
        <w:rPr>
          <w:rFonts w:ascii="Arial" w:hAnsi="Arial" w:cs="Arial"/>
          <w:bCs/>
          <w:kern w:val="0"/>
          <w:sz w:val="20"/>
          <w:szCs w:val="20"/>
        </w:rPr>
        <w:t>vaných Unií v rámci sdíleného řízení v případě nedodržení pravidel pro zadávání veřejných zakázek.</w:t>
      </w:r>
      <w:r w:rsidR="00E54C26" w:rsidRPr="008149E3">
        <w:rPr>
          <w:rFonts w:ascii="Arial" w:hAnsi="Arial" w:cs="Arial"/>
          <w:sz w:val="20"/>
          <w:szCs w:val="20"/>
        </w:rPr>
        <w:t xml:space="preserve"> </w:t>
      </w:r>
    </w:p>
    <w:p w:rsidR="0042645E" w:rsidRPr="008149E3" w:rsidRDefault="0042645E" w:rsidP="003868DF">
      <w:pPr>
        <w:spacing w:before="120"/>
        <w:jc w:val="both"/>
        <w:rPr>
          <w:rFonts w:ascii="Arial" w:hAnsi="Arial" w:cs="Arial"/>
          <w:sz w:val="20"/>
          <w:szCs w:val="20"/>
        </w:rPr>
      </w:pPr>
      <w:r w:rsidRPr="008149E3">
        <w:rPr>
          <w:rFonts w:ascii="Arial" w:hAnsi="Arial" w:cs="Arial"/>
          <w:sz w:val="20"/>
          <w:szCs w:val="20"/>
        </w:rPr>
        <w:t>Procentní rozmezí pro výpočet sazby sníženého odvodu – ČÁST II dále vycházejí ze Závazných postupů NOK pro zadávání zakázek spolufinancovaných ze zdrojů EU, nes</w:t>
      </w:r>
      <w:r w:rsidR="00C77C01">
        <w:rPr>
          <w:rFonts w:ascii="Arial" w:hAnsi="Arial" w:cs="Arial"/>
          <w:sz w:val="20"/>
          <w:szCs w:val="20"/>
        </w:rPr>
        <w:t>padající pod aplikaci zákona č. 137/2006 </w:t>
      </w:r>
      <w:r w:rsidRPr="008149E3">
        <w:rPr>
          <w:rFonts w:ascii="Arial" w:hAnsi="Arial" w:cs="Arial"/>
          <w:sz w:val="20"/>
          <w:szCs w:val="20"/>
        </w:rPr>
        <w:t xml:space="preserve">Sb., o veřejných zakázkách, v programovém období 2007 – 2013 v platném znění. </w:t>
      </w:r>
    </w:p>
    <w:p w:rsidR="00B7024B" w:rsidRDefault="0042645E" w:rsidP="00B7024B">
      <w:pPr>
        <w:spacing w:after="120"/>
        <w:jc w:val="both"/>
        <w:rPr>
          <w:rFonts w:ascii="Arial" w:hAnsi="Arial" w:cs="Arial"/>
          <w:sz w:val="20"/>
          <w:szCs w:val="20"/>
        </w:rPr>
      </w:pPr>
      <w:r w:rsidRPr="008149E3">
        <w:rPr>
          <w:rFonts w:ascii="Arial" w:hAnsi="Arial" w:cs="Arial"/>
          <w:spacing w:val="-4"/>
          <w:sz w:val="20"/>
          <w:szCs w:val="20"/>
        </w:rPr>
        <w:t xml:space="preserve">Výpočet sníženého odvodu se provede z částky, která byla příjemci dotace poskytnuta v souvislosti s výběrovým řízením, u kterého bylo identifikováno porušení pravidla. </w:t>
      </w:r>
      <w:r w:rsidR="00B7024B" w:rsidRPr="00EC6B64">
        <w:rPr>
          <w:rFonts w:ascii="Arial" w:hAnsi="Arial" w:cs="Arial"/>
          <w:sz w:val="20"/>
          <w:szCs w:val="20"/>
        </w:rPr>
        <w:t>Pokud je v jednom výběrovém řízení zjištěno více porušení</w:t>
      </w:r>
      <w:r w:rsidR="00D830EC">
        <w:rPr>
          <w:rFonts w:ascii="Arial" w:hAnsi="Arial" w:cs="Arial"/>
          <w:sz w:val="20"/>
          <w:szCs w:val="20"/>
        </w:rPr>
        <w:t>,</w:t>
      </w:r>
      <w:r w:rsidR="00B7024B" w:rsidRPr="00EC6B64">
        <w:rPr>
          <w:rFonts w:ascii="Arial" w:hAnsi="Arial" w:cs="Arial"/>
          <w:sz w:val="20"/>
          <w:szCs w:val="20"/>
        </w:rPr>
        <w:t xml:space="preserve"> při rozhodování o </w:t>
      </w:r>
      <w:r w:rsidR="00B7024B">
        <w:rPr>
          <w:rFonts w:ascii="Arial" w:hAnsi="Arial" w:cs="Arial"/>
          <w:sz w:val="20"/>
          <w:szCs w:val="20"/>
        </w:rPr>
        <w:t>sazbě pro výpočet sníženého odvodu</w:t>
      </w:r>
      <w:r w:rsidR="00B7024B" w:rsidRPr="00EC6B64">
        <w:rPr>
          <w:rFonts w:ascii="Arial" w:hAnsi="Arial" w:cs="Arial"/>
          <w:sz w:val="20"/>
          <w:szCs w:val="20"/>
        </w:rPr>
        <w:t xml:space="preserve"> (5 %, 10 %, 25 % nebo 100 %) se zohlední nejzávažnější porušení.</w:t>
      </w:r>
      <w:r w:rsidR="00B7024B">
        <w:rPr>
          <w:rFonts w:ascii="Arial" w:hAnsi="Arial" w:cs="Arial"/>
          <w:sz w:val="20"/>
          <w:szCs w:val="20"/>
        </w:rPr>
        <w:t xml:space="preserve"> U ostatních případů se sazby pro výpočet snížených odvodů sčítají.</w:t>
      </w:r>
    </w:p>
    <w:p w:rsidR="003868DF" w:rsidRDefault="003868DF" w:rsidP="003868DF">
      <w:pPr>
        <w:spacing w:before="120"/>
        <w:jc w:val="both"/>
        <w:rPr>
          <w:rFonts w:ascii="Arial" w:hAnsi="Arial" w:cs="Arial"/>
          <w:sz w:val="22"/>
          <w:szCs w:val="22"/>
        </w:rPr>
      </w:pPr>
    </w:p>
    <w:tbl>
      <w:tblPr>
        <w:tblStyle w:val="Mkatabulky"/>
        <w:tblW w:w="9781" w:type="dxa"/>
        <w:tblInd w:w="108" w:type="dxa"/>
        <w:shd w:val="clear" w:color="auto" w:fill="8DB3E2" w:themeFill="text2" w:themeFillTint="66"/>
        <w:tblLook w:val="04A0" w:firstRow="1" w:lastRow="0" w:firstColumn="1" w:lastColumn="0" w:noHBand="0" w:noVBand="1"/>
      </w:tblPr>
      <w:tblGrid>
        <w:gridCol w:w="9781"/>
      </w:tblGrid>
      <w:tr w:rsidR="00814A27" w:rsidTr="006449D2">
        <w:trPr>
          <w:trHeight w:val="1325"/>
        </w:trPr>
        <w:tc>
          <w:tcPr>
            <w:tcW w:w="9781" w:type="dxa"/>
            <w:shd w:val="clear" w:color="auto" w:fill="8DB3E2" w:themeFill="text2" w:themeFillTint="66"/>
            <w:vAlign w:val="center"/>
          </w:tcPr>
          <w:p w:rsidR="00814A27" w:rsidRPr="008149E3" w:rsidRDefault="00814A27" w:rsidP="005768BD">
            <w:pPr>
              <w:jc w:val="center"/>
              <w:rPr>
                <w:rFonts w:ascii="Arial" w:hAnsi="Arial" w:cs="Arial"/>
                <w:b/>
                <w:sz w:val="22"/>
                <w:szCs w:val="22"/>
              </w:rPr>
            </w:pPr>
            <w:r w:rsidRPr="008149E3">
              <w:rPr>
                <w:rFonts w:ascii="Arial" w:hAnsi="Arial" w:cs="Arial"/>
                <w:b/>
                <w:sz w:val="22"/>
                <w:szCs w:val="22"/>
              </w:rPr>
              <w:t>ČÁST I</w:t>
            </w:r>
          </w:p>
          <w:p w:rsidR="00145801" w:rsidRPr="008149E3" w:rsidRDefault="00814A27" w:rsidP="005768BD">
            <w:pPr>
              <w:jc w:val="center"/>
              <w:rPr>
                <w:rFonts w:ascii="Arial" w:hAnsi="Arial" w:cs="Arial"/>
                <w:sz w:val="22"/>
                <w:szCs w:val="22"/>
              </w:rPr>
            </w:pPr>
            <w:r w:rsidRPr="008149E3">
              <w:rPr>
                <w:rFonts w:ascii="Arial" w:hAnsi="Arial" w:cs="Arial"/>
                <w:sz w:val="22"/>
                <w:szCs w:val="22"/>
              </w:rPr>
              <w:t xml:space="preserve">Sazby </w:t>
            </w:r>
            <w:r w:rsidR="00F56811" w:rsidRPr="008149E3">
              <w:rPr>
                <w:rFonts w:ascii="Arial" w:hAnsi="Arial" w:cs="Arial"/>
                <w:sz w:val="22"/>
                <w:szCs w:val="22"/>
              </w:rPr>
              <w:t>snížených</w:t>
            </w:r>
            <w:r w:rsidR="00145801" w:rsidRPr="008149E3">
              <w:rPr>
                <w:rFonts w:ascii="Arial" w:hAnsi="Arial" w:cs="Arial"/>
                <w:sz w:val="22"/>
                <w:szCs w:val="22"/>
              </w:rPr>
              <w:t xml:space="preserve"> odvodů</w:t>
            </w:r>
          </w:p>
          <w:p w:rsidR="00145801" w:rsidRPr="008149E3" w:rsidRDefault="00145801" w:rsidP="005768BD">
            <w:pPr>
              <w:jc w:val="center"/>
              <w:rPr>
                <w:rFonts w:ascii="Arial" w:hAnsi="Arial" w:cs="Arial"/>
                <w:sz w:val="22"/>
                <w:szCs w:val="22"/>
              </w:rPr>
            </w:pPr>
            <w:r w:rsidRPr="008149E3">
              <w:rPr>
                <w:rFonts w:ascii="Arial" w:hAnsi="Arial" w:cs="Arial"/>
                <w:sz w:val="22"/>
                <w:szCs w:val="22"/>
              </w:rPr>
              <w:t xml:space="preserve">v případě porušení pravidel pro zadávání </w:t>
            </w:r>
            <w:r w:rsidR="00A372C5" w:rsidRPr="008149E3">
              <w:rPr>
                <w:rFonts w:ascii="Arial" w:hAnsi="Arial" w:cs="Arial"/>
                <w:sz w:val="22"/>
                <w:szCs w:val="22"/>
              </w:rPr>
              <w:t xml:space="preserve">veřejných </w:t>
            </w:r>
            <w:r w:rsidRPr="008149E3">
              <w:rPr>
                <w:rFonts w:ascii="Arial" w:hAnsi="Arial" w:cs="Arial"/>
                <w:sz w:val="22"/>
                <w:szCs w:val="22"/>
              </w:rPr>
              <w:t>zakázek</w:t>
            </w:r>
          </w:p>
          <w:p w:rsidR="00814A27" w:rsidRPr="00814A27" w:rsidRDefault="00145801" w:rsidP="005768BD">
            <w:pPr>
              <w:jc w:val="center"/>
              <w:rPr>
                <w:rFonts w:ascii="Arial" w:hAnsi="Arial" w:cs="Arial"/>
              </w:rPr>
            </w:pPr>
            <w:r w:rsidRPr="008149E3">
              <w:rPr>
                <w:rFonts w:ascii="Arial" w:hAnsi="Arial" w:cs="Arial"/>
                <w:sz w:val="22"/>
                <w:szCs w:val="22"/>
              </w:rPr>
              <w:t>(zakázky v režimu zákona č. 137/2006 Sb., o veřejných zakázkách</w:t>
            </w:r>
            <w:r w:rsidR="00B20FC9" w:rsidRPr="008149E3">
              <w:rPr>
                <w:rFonts w:ascii="Arial" w:hAnsi="Arial" w:cs="Arial"/>
                <w:sz w:val="22"/>
                <w:szCs w:val="22"/>
              </w:rPr>
              <w:t xml:space="preserve"> – „ZVZ“</w:t>
            </w:r>
            <w:r w:rsidRPr="008149E3">
              <w:rPr>
                <w:rFonts w:ascii="Arial" w:hAnsi="Arial" w:cs="Arial"/>
                <w:sz w:val="22"/>
                <w:szCs w:val="22"/>
              </w:rPr>
              <w:t>)</w:t>
            </w:r>
          </w:p>
        </w:tc>
      </w:tr>
    </w:tbl>
    <w:p w:rsidR="00486FD2" w:rsidRDefault="00486FD2" w:rsidP="0066566F"/>
    <w:p w:rsidR="00486FD2" w:rsidRPr="00C86AE2" w:rsidRDefault="00486FD2" w:rsidP="00C30DB3">
      <w:pPr>
        <w:jc w:val="both"/>
        <w:rPr>
          <w:rFonts w:ascii="Arial" w:hAnsi="Arial" w:cs="Arial"/>
          <w:sz w:val="22"/>
          <w:szCs w:val="22"/>
        </w:rPr>
      </w:pPr>
    </w:p>
    <w:tbl>
      <w:tblPr>
        <w:tblStyle w:val="Mkatabulky"/>
        <w:tblW w:w="9809" w:type="dxa"/>
        <w:jc w:val="center"/>
        <w:tblLayout w:type="fixed"/>
        <w:tblCellMar>
          <w:top w:w="28" w:type="dxa"/>
          <w:left w:w="28" w:type="dxa"/>
          <w:bottom w:w="28" w:type="dxa"/>
          <w:right w:w="28" w:type="dxa"/>
        </w:tblCellMar>
        <w:tblLook w:val="04A0" w:firstRow="1" w:lastRow="0" w:firstColumn="1" w:lastColumn="0" w:noHBand="0" w:noVBand="1"/>
      </w:tblPr>
      <w:tblGrid>
        <w:gridCol w:w="693"/>
        <w:gridCol w:w="4355"/>
        <w:gridCol w:w="4761"/>
      </w:tblGrid>
      <w:tr w:rsidR="00F56811" w:rsidTr="00E54C26">
        <w:trPr>
          <w:trHeight w:val="567"/>
          <w:tblHeader/>
          <w:jc w:val="center"/>
        </w:trPr>
        <w:tc>
          <w:tcPr>
            <w:tcW w:w="693" w:type="dxa"/>
            <w:shd w:val="clear" w:color="auto" w:fill="D9D9D9" w:themeFill="background1" w:themeFillShade="D9"/>
            <w:vAlign w:val="center"/>
          </w:tcPr>
          <w:p w:rsidR="00F56811" w:rsidRPr="00954488" w:rsidRDefault="00F56811" w:rsidP="00C91AFD">
            <w:pPr>
              <w:jc w:val="center"/>
              <w:rPr>
                <w:rFonts w:ascii="Arial" w:hAnsi="Arial" w:cs="Arial"/>
                <w:b/>
                <w:sz w:val="20"/>
                <w:szCs w:val="20"/>
              </w:rPr>
            </w:pPr>
            <w:r w:rsidRPr="00954488">
              <w:rPr>
                <w:rFonts w:ascii="Arial" w:hAnsi="Arial" w:cs="Arial"/>
                <w:b/>
                <w:sz w:val="20"/>
                <w:szCs w:val="20"/>
              </w:rPr>
              <w:t>Č.</w:t>
            </w:r>
          </w:p>
        </w:tc>
        <w:tc>
          <w:tcPr>
            <w:tcW w:w="4355" w:type="dxa"/>
            <w:shd w:val="clear" w:color="auto" w:fill="D9D9D9" w:themeFill="background1" w:themeFillShade="D9"/>
            <w:vAlign w:val="center"/>
          </w:tcPr>
          <w:p w:rsidR="00F56811" w:rsidRPr="00954488" w:rsidRDefault="00F56811" w:rsidP="00954488">
            <w:pPr>
              <w:jc w:val="center"/>
              <w:rPr>
                <w:rFonts w:ascii="Arial" w:hAnsi="Arial" w:cs="Arial"/>
                <w:b/>
                <w:sz w:val="20"/>
                <w:szCs w:val="20"/>
              </w:rPr>
            </w:pPr>
            <w:r w:rsidRPr="00954488">
              <w:rPr>
                <w:rFonts w:ascii="Arial" w:hAnsi="Arial" w:cs="Arial"/>
                <w:b/>
                <w:sz w:val="20"/>
                <w:szCs w:val="20"/>
              </w:rPr>
              <w:t>Popis porušení</w:t>
            </w:r>
          </w:p>
        </w:tc>
        <w:tc>
          <w:tcPr>
            <w:tcW w:w="4761" w:type="dxa"/>
            <w:shd w:val="clear" w:color="auto" w:fill="D9D9D9" w:themeFill="background1" w:themeFillShade="D9"/>
            <w:vAlign w:val="center"/>
          </w:tcPr>
          <w:p w:rsidR="00F56811" w:rsidRPr="00954488" w:rsidRDefault="00F56811" w:rsidP="00C35F4F">
            <w:pPr>
              <w:jc w:val="center"/>
              <w:rPr>
                <w:rFonts w:ascii="Arial" w:hAnsi="Arial" w:cs="Arial"/>
                <w:b/>
                <w:sz w:val="20"/>
                <w:szCs w:val="20"/>
              </w:rPr>
            </w:pPr>
            <w:r>
              <w:rPr>
                <w:rFonts w:ascii="Arial" w:hAnsi="Arial" w:cs="Arial"/>
                <w:b/>
                <w:sz w:val="20"/>
                <w:szCs w:val="20"/>
              </w:rPr>
              <w:t>Procentní rozmezí sazby pro výpočet sníženého odvodu</w:t>
            </w:r>
            <w:r w:rsidR="001C087D">
              <w:rPr>
                <w:rStyle w:val="Znakapoznpodarou"/>
                <w:rFonts w:ascii="Arial" w:hAnsi="Arial" w:cs="Arial"/>
                <w:b/>
                <w:sz w:val="20"/>
                <w:szCs w:val="20"/>
              </w:rPr>
              <w:footnoteReference w:id="1"/>
            </w:r>
          </w:p>
        </w:tc>
      </w:tr>
      <w:tr w:rsidR="00E54C26" w:rsidTr="008149E3">
        <w:trPr>
          <w:trHeight w:val="567"/>
          <w:tblHeader/>
          <w:jc w:val="center"/>
        </w:trPr>
        <w:tc>
          <w:tcPr>
            <w:tcW w:w="693" w:type="dxa"/>
            <w:shd w:val="clear" w:color="auto" w:fill="auto"/>
            <w:vAlign w:val="center"/>
          </w:tcPr>
          <w:p w:rsidR="00E54C26" w:rsidRPr="00954488" w:rsidRDefault="00E54C26" w:rsidP="00C91AFD">
            <w:pPr>
              <w:jc w:val="center"/>
              <w:rPr>
                <w:rFonts w:ascii="Arial" w:hAnsi="Arial" w:cs="Arial"/>
                <w:b/>
                <w:sz w:val="20"/>
                <w:szCs w:val="20"/>
              </w:rPr>
            </w:pPr>
            <w:r>
              <w:rPr>
                <w:rFonts w:ascii="Arial" w:hAnsi="Arial" w:cs="Arial"/>
                <w:b/>
                <w:sz w:val="20"/>
                <w:szCs w:val="20"/>
              </w:rPr>
              <w:t>1</w:t>
            </w:r>
          </w:p>
        </w:tc>
        <w:tc>
          <w:tcPr>
            <w:tcW w:w="4355" w:type="dxa"/>
            <w:shd w:val="clear" w:color="auto" w:fill="auto"/>
          </w:tcPr>
          <w:p w:rsidR="00E54C26" w:rsidRDefault="00E54C26" w:rsidP="008149E3">
            <w:pPr>
              <w:jc w:val="both"/>
              <w:rPr>
                <w:rFonts w:ascii="Arial" w:hAnsi="Arial" w:cs="Arial"/>
                <w:b/>
                <w:sz w:val="20"/>
                <w:szCs w:val="20"/>
              </w:rPr>
            </w:pPr>
            <w:r w:rsidRPr="00BE409E">
              <w:rPr>
                <w:rFonts w:ascii="Arial" w:hAnsi="Arial" w:cs="Arial"/>
                <w:b/>
                <w:sz w:val="20"/>
                <w:szCs w:val="20"/>
              </w:rPr>
              <w:t xml:space="preserve">Nezveřejnění oznámení o zakázce </w:t>
            </w:r>
          </w:p>
          <w:p w:rsidR="00E54C26" w:rsidRPr="00954488" w:rsidRDefault="00E54C26" w:rsidP="008149E3">
            <w:pPr>
              <w:jc w:val="both"/>
              <w:rPr>
                <w:rFonts w:ascii="Arial" w:hAnsi="Arial" w:cs="Arial"/>
                <w:b/>
                <w:sz w:val="20"/>
                <w:szCs w:val="20"/>
              </w:rPr>
            </w:pPr>
            <w:r w:rsidRPr="00BE409E">
              <w:rPr>
                <w:rFonts w:ascii="Arial" w:hAnsi="Arial" w:cs="Arial"/>
                <w:sz w:val="20"/>
                <w:szCs w:val="20"/>
              </w:rPr>
              <w:t>Oznámení o zakázce nebylo zveřejněno v souladu s příslušnými právními předpisy (např. zveřejnění v Úředním věstníku Evropské unie (dále jen „Úřední věstník EU“), pokud to směrnice</w:t>
            </w:r>
            <w:r w:rsidR="008149E3">
              <w:rPr>
                <w:rStyle w:val="Znakapoznpodarou"/>
                <w:rFonts w:ascii="Arial" w:hAnsi="Arial" w:cs="Arial"/>
                <w:sz w:val="20"/>
                <w:szCs w:val="20"/>
              </w:rPr>
              <w:footnoteReference w:id="2"/>
            </w:r>
            <w:r w:rsidRPr="00BE409E">
              <w:rPr>
                <w:rFonts w:ascii="Arial" w:hAnsi="Arial" w:cs="Arial"/>
                <w:sz w:val="20"/>
                <w:szCs w:val="20"/>
              </w:rPr>
              <w:t xml:space="preserve"> vyžadují).</w:t>
            </w:r>
          </w:p>
        </w:tc>
        <w:tc>
          <w:tcPr>
            <w:tcW w:w="4761" w:type="dxa"/>
            <w:shd w:val="clear" w:color="auto" w:fill="auto"/>
            <w:vAlign w:val="center"/>
          </w:tcPr>
          <w:p w:rsidR="00E54C26" w:rsidRPr="00BE409E" w:rsidRDefault="00E54C26" w:rsidP="008149E3">
            <w:pPr>
              <w:jc w:val="both"/>
              <w:rPr>
                <w:rFonts w:ascii="Arial" w:hAnsi="Arial" w:cs="Arial"/>
                <w:sz w:val="20"/>
                <w:szCs w:val="20"/>
                <w:lang w:bidi="cs-CZ"/>
              </w:rPr>
            </w:pPr>
            <w:r w:rsidRPr="00BE409E">
              <w:rPr>
                <w:rFonts w:ascii="Arial" w:hAnsi="Arial" w:cs="Arial"/>
                <w:sz w:val="20"/>
                <w:szCs w:val="20"/>
              </w:rPr>
              <w:t xml:space="preserve">100 % </w:t>
            </w:r>
          </w:p>
          <w:p w:rsidR="00E54C26" w:rsidRDefault="00E54C26" w:rsidP="00E54C26">
            <w:pPr>
              <w:jc w:val="both"/>
              <w:rPr>
                <w:rFonts w:ascii="Arial" w:hAnsi="Arial" w:cs="Arial"/>
                <w:b/>
                <w:sz w:val="20"/>
                <w:szCs w:val="20"/>
              </w:rPr>
            </w:pPr>
            <w:r w:rsidRPr="00BE409E">
              <w:rPr>
                <w:rFonts w:ascii="Arial" w:hAnsi="Arial" w:cs="Arial"/>
                <w:sz w:val="20"/>
                <w:szCs w:val="20"/>
              </w:rPr>
              <w:t xml:space="preserve">25 %, pokud zveřejnění oznámení o zakázce vyžadují směrnice a oznámení o zakázce nebylo zveřejněno </w:t>
            </w:r>
            <w:r w:rsidRPr="00916D48">
              <w:rPr>
                <w:rFonts w:ascii="Arial" w:hAnsi="Arial" w:cs="Arial"/>
                <w:sz w:val="20"/>
                <w:szCs w:val="20"/>
              </w:rPr>
              <w:t>v Úředním věstníku EU, ale bylo zveřejněno</w:t>
            </w:r>
            <w:r w:rsidRPr="00BE409E">
              <w:rPr>
                <w:rFonts w:ascii="Arial" w:hAnsi="Arial" w:cs="Arial"/>
                <w:sz w:val="20"/>
                <w:szCs w:val="20"/>
              </w:rPr>
              <w:t xml:space="preserve"> takovým způsobem, aby bylo zajištěno, že podnik nacházející se na území jiného členského státu měl přístup k příslušným informacím týkajícím se zakázky ještě před tím, než byla udělena, tak aby mohl podat nabídku nebo dát najevo svůj zájem o získání této zakázky.</w:t>
            </w:r>
          </w:p>
        </w:tc>
      </w:tr>
      <w:tr w:rsidR="00E54C26" w:rsidTr="008149E3">
        <w:trPr>
          <w:trHeight w:val="567"/>
          <w:tblHeader/>
          <w:jc w:val="center"/>
        </w:trPr>
        <w:tc>
          <w:tcPr>
            <w:tcW w:w="693" w:type="dxa"/>
            <w:shd w:val="clear" w:color="auto" w:fill="auto"/>
            <w:vAlign w:val="center"/>
          </w:tcPr>
          <w:p w:rsidR="00E54C26" w:rsidRPr="00954488" w:rsidRDefault="00E54C26" w:rsidP="00C91AFD">
            <w:pPr>
              <w:jc w:val="center"/>
              <w:rPr>
                <w:rFonts w:ascii="Arial" w:hAnsi="Arial" w:cs="Arial"/>
                <w:b/>
                <w:sz w:val="20"/>
                <w:szCs w:val="20"/>
              </w:rPr>
            </w:pPr>
            <w:r>
              <w:rPr>
                <w:rFonts w:ascii="Arial" w:hAnsi="Arial" w:cs="Arial"/>
                <w:b/>
                <w:sz w:val="20"/>
                <w:szCs w:val="20"/>
              </w:rPr>
              <w:lastRenderedPageBreak/>
              <w:t>2</w:t>
            </w:r>
          </w:p>
        </w:tc>
        <w:tc>
          <w:tcPr>
            <w:tcW w:w="4355" w:type="dxa"/>
            <w:shd w:val="clear" w:color="auto" w:fill="auto"/>
          </w:tcPr>
          <w:p w:rsidR="00E54C26" w:rsidRDefault="00E54C26" w:rsidP="008149E3">
            <w:pPr>
              <w:rPr>
                <w:rFonts w:ascii="Arial" w:hAnsi="Arial" w:cs="Arial"/>
                <w:b/>
                <w:sz w:val="20"/>
                <w:szCs w:val="20"/>
              </w:rPr>
            </w:pPr>
            <w:r w:rsidRPr="007D5805">
              <w:rPr>
                <w:rFonts w:ascii="Arial" w:hAnsi="Arial" w:cs="Arial"/>
                <w:b/>
                <w:sz w:val="20"/>
                <w:szCs w:val="20"/>
              </w:rPr>
              <w:t>Umělé rozdělení zakázek na práce/služby/</w:t>
            </w:r>
            <w:r>
              <w:rPr>
                <w:rFonts w:ascii="Arial" w:hAnsi="Arial" w:cs="Arial"/>
                <w:b/>
                <w:sz w:val="20"/>
                <w:szCs w:val="20"/>
              </w:rPr>
              <w:t>dodávky</w:t>
            </w:r>
          </w:p>
          <w:p w:rsidR="00E54C26" w:rsidRPr="007D5805" w:rsidRDefault="00E54C26" w:rsidP="008149E3">
            <w:pPr>
              <w:jc w:val="both"/>
              <w:rPr>
                <w:rFonts w:ascii="Arial" w:hAnsi="Arial" w:cs="Arial"/>
                <w:b/>
                <w:sz w:val="20"/>
                <w:szCs w:val="20"/>
              </w:rPr>
            </w:pPr>
            <w:r w:rsidRPr="007D5805">
              <w:rPr>
                <w:rFonts w:ascii="Arial" w:hAnsi="Arial" w:cs="Arial"/>
                <w:sz w:val="20"/>
                <w:szCs w:val="20"/>
              </w:rPr>
              <w:t>Projekt prací nebo navrhovaný nákup určitého množství dodávek nebo služeb je dále rozdělen, následkem čehož se dostane mimo oblast působnosti směrnic, takže celý soubor dotčených prací, služeb nebo dodávek není zveřejněn v Úředním věstníku EU.</w:t>
            </w:r>
          </w:p>
        </w:tc>
        <w:tc>
          <w:tcPr>
            <w:tcW w:w="4761" w:type="dxa"/>
            <w:shd w:val="clear" w:color="auto" w:fill="auto"/>
            <w:vAlign w:val="center"/>
          </w:tcPr>
          <w:p w:rsidR="00E54C26" w:rsidRPr="00BE409E" w:rsidRDefault="00E54C26" w:rsidP="008149E3">
            <w:pPr>
              <w:jc w:val="both"/>
              <w:rPr>
                <w:rFonts w:ascii="Arial" w:hAnsi="Arial" w:cs="Arial"/>
                <w:sz w:val="20"/>
                <w:szCs w:val="20"/>
                <w:lang w:bidi="cs-CZ"/>
              </w:rPr>
            </w:pPr>
            <w:r w:rsidRPr="00BE409E">
              <w:rPr>
                <w:rFonts w:ascii="Arial" w:hAnsi="Arial" w:cs="Arial"/>
                <w:sz w:val="20"/>
                <w:szCs w:val="20"/>
              </w:rPr>
              <w:t xml:space="preserve">100 % </w:t>
            </w:r>
          </w:p>
          <w:p w:rsidR="00E54C26" w:rsidRDefault="00E54C26" w:rsidP="00E54C26">
            <w:pPr>
              <w:jc w:val="both"/>
              <w:rPr>
                <w:rFonts w:ascii="Arial" w:hAnsi="Arial" w:cs="Arial"/>
                <w:b/>
                <w:sz w:val="20"/>
                <w:szCs w:val="20"/>
              </w:rPr>
            </w:pPr>
            <w:r w:rsidRPr="00BE409E">
              <w:rPr>
                <w:rFonts w:ascii="Arial" w:hAnsi="Arial" w:cs="Arial"/>
                <w:sz w:val="20"/>
                <w:szCs w:val="20"/>
              </w:rPr>
              <w:t xml:space="preserve">25 %, pokud zveřejnění oznámení o zakázce vyžadují směrnice a oznámení o zakázce nebylo zveřejněno </w:t>
            </w:r>
            <w:r w:rsidRPr="00916D48">
              <w:rPr>
                <w:rFonts w:ascii="Arial" w:hAnsi="Arial" w:cs="Arial"/>
                <w:sz w:val="20"/>
                <w:szCs w:val="20"/>
              </w:rPr>
              <w:t>v Úředním věstníku EU, ale bylo zveřejněno takovým způsobem, aby</w:t>
            </w:r>
            <w:r w:rsidRPr="00BE409E">
              <w:rPr>
                <w:rFonts w:ascii="Arial" w:hAnsi="Arial" w:cs="Arial"/>
                <w:sz w:val="20"/>
                <w:szCs w:val="20"/>
              </w:rPr>
              <w:t xml:space="preserve"> bylo zajištěno, že podnik nacházející se na území jiného členského státu měl přístup k příslušným informacím týkajícím se zakázky ještě před tím, než byla udělena, tak aby mohl podat nabídku nebo dát najevo svůj zájem o získání této zakázky.</w:t>
            </w:r>
          </w:p>
        </w:tc>
      </w:tr>
      <w:tr w:rsidR="00E54C26" w:rsidTr="008149E3">
        <w:trPr>
          <w:trHeight w:val="567"/>
          <w:tblHeader/>
          <w:jc w:val="center"/>
        </w:trPr>
        <w:tc>
          <w:tcPr>
            <w:tcW w:w="693" w:type="dxa"/>
            <w:shd w:val="clear" w:color="auto" w:fill="auto"/>
            <w:vAlign w:val="center"/>
          </w:tcPr>
          <w:p w:rsidR="00E54C26" w:rsidRPr="00954488" w:rsidRDefault="00E54C26" w:rsidP="00C91AFD">
            <w:pPr>
              <w:jc w:val="center"/>
              <w:rPr>
                <w:rFonts w:ascii="Arial" w:hAnsi="Arial" w:cs="Arial"/>
                <w:b/>
                <w:sz w:val="20"/>
                <w:szCs w:val="20"/>
              </w:rPr>
            </w:pPr>
            <w:r>
              <w:rPr>
                <w:rFonts w:ascii="Arial" w:hAnsi="Arial" w:cs="Arial"/>
                <w:b/>
                <w:sz w:val="20"/>
                <w:szCs w:val="20"/>
              </w:rPr>
              <w:t>3</w:t>
            </w:r>
          </w:p>
        </w:tc>
        <w:tc>
          <w:tcPr>
            <w:tcW w:w="4355" w:type="dxa"/>
            <w:shd w:val="clear" w:color="auto" w:fill="auto"/>
          </w:tcPr>
          <w:p w:rsidR="00E54C26" w:rsidRPr="00BE409E" w:rsidRDefault="00E54C26" w:rsidP="008149E3">
            <w:pPr>
              <w:jc w:val="both"/>
              <w:rPr>
                <w:rFonts w:ascii="Arial" w:hAnsi="Arial" w:cs="Arial"/>
                <w:sz w:val="20"/>
                <w:szCs w:val="20"/>
              </w:rPr>
            </w:pPr>
            <w:r w:rsidRPr="00BE409E">
              <w:rPr>
                <w:rFonts w:ascii="Arial" w:hAnsi="Arial" w:cs="Arial"/>
                <w:b/>
                <w:sz w:val="20"/>
                <w:szCs w:val="20"/>
              </w:rPr>
              <w:t>Nedodržení lhůt pro doručení nabídek nebo lhůt pro doručení žádostí o účast</w:t>
            </w:r>
            <w:r w:rsidR="008149E3">
              <w:rPr>
                <w:rStyle w:val="Znakapoznpodarou"/>
                <w:rFonts w:ascii="Arial" w:hAnsi="Arial" w:cs="Arial"/>
                <w:b/>
                <w:sz w:val="20"/>
                <w:szCs w:val="20"/>
              </w:rPr>
              <w:footnoteReference w:id="3"/>
            </w:r>
            <w:r w:rsidRPr="00BE409E">
              <w:rPr>
                <w:rFonts w:ascii="Arial" w:hAnsi="Arial" w:cs="Arial"/>
                <w:sz w:val="20"/>
                <w:szCs w:val="20"/>
              </w:rPr>
              <w:t xml:space="preserve"> </w:t>
            </w:r>
          </w:p>
          <w:p w:rsidR="00E54C26" w:rsidRPr="00954488" w:rsidRDefault="00E54C26" w:rsidP="008149E3">
            <w:pPr>
              <w:jc w:val="both"/>
              <w:rPr>
                <w:rFonts w:ascii="Arial" w:hAnsi="Arial" w:cs="Arial"/>
                <w:b/>
                <w:sz w:val="20"/>
                <w:szCs w:val="20"/>
              </w:rPr>
            </w:pPr>
            <w:r w:rsidRPr="00BE409E">
              <w:rPr>
                <w:rFonts w:ascii="Arial" w:hAnsi="Arial" w:cs="Arial"/>
                <w:sz w:val="20"/>
                <w:szCs w:val="20"/>
              </w:rPr>
              <w:t>Lhůty pro doručení nabídek (nebo doručení žádostí o účast) byly kratší než lhůty stanovené ve směrnicích.</w:t>
            </w:r>
          </w:p>
        </w:tc>
        <w:tc>
          <w:tcPr>
            <w:tcW w:w="4761" w:type="dxa"/>
            <w:shd w:val="clear" w:color="auto" w:fill="auto"/>
            <w:vAlign w:val="center"/>
          </w:tcPr>
          <w:p w:rsidR="00CE5285" w:rsidRPr="00BE409E" w:rsidRDefault="00CE5285" w:rsidP="00CE5285">
            <w:pPr>
              <w:spacing w:after="240"/>
              <w:jc w:val="both"/>
              <w:rPr>
                <w:rFonts w:ascii="Arial" w:hAnsi="Arial" w:cs="Arial"/>
                <w:sz w:val="20"/>
                <w:szCs w:val="20"/>
                <w:lang w:bidi="cs-CZ"/>
              </w:rPr>
            </w:pPr>
            <w:r w:rsidRPr="00BE409E">
              <w:rPr>
                <w:rFonts w:ascii="Arial" w:hAnsi="Arial" w:cs="Arial"/>
                <w:sz w:val="20"/>
                <w:szCs w:val="20"/>
              </w:rPr>
              <w:t xml:space="preserve">25 %, pokud zkrácení lhůt &gt;= 50 % </w:t>
            </w:r>
          </w:p>
          <w:p w:rsidR="00CE5285" w:rsidRPr="00BE409E" w:rsidRDefault="00CE5285" w:rsidP="00CE5285">
            <w:pPr>
              <w:spacing w:after="240"/>
              <w:jc w:val="both"/>
              <w:rPr>
                <w:rFonts w:ascii="Arial" w:hAnsi="Arial" w:cs="Arial"/>
                <w:sz w:val="20"/>
                <w:szCs w:val="20"/>
              </w:rPr>
            </w:pPr>
            <w:r w:rsidRPr="00BE409E">
              <w:rPr>
                <w:rFonts w:ascii="Arial" w:hAnsi="Arial" w:cs="Arial"/>
                <w:sz w:val="20"/>
                <w:szCs w:val="20"/>
              </w:rPr>
              <w:t>10 %, pokud zkrácení lhůt &gt;= 30 %</w:t>
            </w:r>
          </w:p>
          <w:p w:rsidR="00E54C26" w:rsidRDefault="00CE5285" w:rsidP="00CE5285">
            <w:pPr>
              <w:jc w:val="both"/>
              <w:rPr>
                <w:rFonts w:ascii="Arial" w:hAnsi="Arial" w:cs="Arial"/>
                <w:b/>
                <w:sz w:val="20"/>
                <w:szCs w:val="20"/>
              </w:rPr>
            </w:pPr>
            <w:r w:rsidRPr="00BE409E">
              <w:rPr>
                <w:rFonts w:ascii="Arial" w:hAnsi="Arial" w:cs="Arial"/>
                <w:sz w:val="20"/>
                <w:szCs w:val="20"/>
              </w:rPr>
              <w:t>5 % v případě jakéhokoli jiného zkrácení lhůt (tuto sazbu opravy lze snížit na 2 % až 5 %, pokud povaha a závažnost nedostatku neodůvodňuje 5% sazbu opravy).</w:t>
            </w:r>
          </w:p>
        </w:tc>
      </w:tr>
      <w:tr w:rsidR="00E54C26" w:rsidTr="00E54C26">
        <w:trPr>
          <w:trHeight w:val="567"/>
          <w:tblHeader/>
          <w:jc w:val="center"/>
        </w:trPr>
        <w:tc>
          <w:tcPr>
            <w:tcW w:w="693" w:type="dxa"/>
            <w:shd w:val="clear" w:color="auto" w:fill="auto"/>
            <w:vAlign w:val="center"/>
          </w:tcPr>
          <w:p w:rsidR="00E54C26" w:rsidRPr="00954488" w:rsidRDefault="00E54C26" w:rsidP="00C91AFD">
            <w:pPr>
              <w:jc w:val="center"/>
              <w:rPr>
                <w:rFonts w:ascii="Arial" w:hAnsi="Arial" w:cs="Arial"/>
                <w:b/>
                <w:sz w:val="20"/>
                <w:szCs w:val="20"/>
              </w:rPr>
            </w:pPr>
            <w:r>
              <w:rPr>
                <w:rFonts w:ascii="Arial" w:hAnsi="Arial" w:cs="Arial"/>
                <w:b/>
                <w:sz w:val="20"/>
                <w:szCs w:val="20"/>
              </w:rPr>
              <w:t>4</w:t>
            </w:r>
          </w:p>
        </w:tc>
        <w:tc>
          <w:tcPr>
            <w:tcW w:w="4355" w:type="dxa"/>
            <w:shd w:val="clear" w:color="auto" w:fill="auto"/>
            <w:vAlign w:val="center"/>
          </w:tcPr>
          <w:p w:rsidR="00CE5285" w:rsidRPr="00BE409E" w:rsidRDefault="00CE5285" w:rsidP="00576E57">
            <w:pPr>
              <w:jc w:val="both"/>
              <w:rPr>
                <w:rFonts w:ascii="Arial" w:hAnsi="Arial" w:cs="Arial"/>
                <w:b/>
                <w:sz w:val="20"/>
                <w:szCs w:val="20"/>
                <w:lang w:bidi="cs-CZ"/>
              </w:rPr>
            </w:pPr>
            <w:r w:rsidRPr="00BE409E">
              <w:rPr>
                <w:rFonts w:ascii="Arial" w:hAnsi="Arial" w:cs="Arial"/>
                <w:b/>
                <w:sz w:val="20"/>
                <w:szCs w:val="20"/>
              </w:rPr>
              <w:t>Nedostatečná doba k tomu, aby si potenciální uchazeči nebo zájemci opatřili zadávací dokumentaci</w:t>
            </w:r>
          </w:p>
          <w:p w:rsidR="00CE5285" w:rsidRPr="00BE409E" w:rsidRDefault="00CE5285" w:rsidP="00CE5285">
            <w:pPr>
              <w:spacing w:after="120"/>
              <w:jc w:val="both"/>
              <w:rPr>
                <w:rFonts w:ascii="Arial" w:hAnsi="Arial" w:cs="Arial"/>
                <w:sz w:val="20"/>
                <w:szCs w:val="20"/>
                <w:lang w:bidi="cs-CZ"/>
              </w:rPr>
            </w:pPr>
            <w:r w:rsidRPr="00BE409E">
              <w:rPr>
                <w:rFonts w:ascii="Arial" w:hAnsi="Arial" w:cs="Arial"/>
                <w:sz w:val="20"/>
                <w:szCs w:val="20"/>
              </w:rPr>
              <w:t>Doba k tomu, aby si potenciální uchazeči nebo zájemci opatřili zadávací dokumentaci, je příliš krátká, a vytváří tak neodůvodněnou překážku pro otevření veřejné zakázky hospodářské soutěži.</w:t>
            </w:r>
          </w:p>
          <w:p w:rsidR="00E54C26" w:rsidRPr="00954488" w:rsidRDefault="00CE5285" w:rsidP="00CE5285">
            <w:pPr>
              <w:jc w:val="both"/>
              <w:rPr>
                <w:rFonts w:ascii="Arial" w:hAnsi="Arial" w:cs="Arial"/>
                <w:b/>
                <w:sz w:val="20"/>
                <w:szCs w:val="20"/>
              </w:rPr>
            </w:pPr>
            <w:r w:rsidRPr="00BE409E">
              <w:rPr>
                <w:rFonts w:ascii="Arial" w:hAnsi="Arial" w:cs="Arial"/>
                <w:sz w:val="20"/>
                <w:szCs w:val="20"/>
              </w:rPr>
              <w:t>Opravy se uplatňují na individuálním základě. Při určování výše opravy se zohlední případné polehčující faktory vztahující se k specifičnosti a složitosti zakázky, zejména možná ad</w:t>
            </w:r>
            <w:r>
              <w:rPr>
                <w:rFonts w:ascii="Arial" w:hAnsi="Arial" w:cs="Arial"/>
                <w:sz w:val="20"/>
                <w:szCs w:val="20"/>
              </w:rPr>
              <w:t xml:space="preserve">ministrativní zátěž nebo obtíže </w:t>
            </w:r>
            <w:r w:rsidRPr="00BE409E">
              <w:rPr>
                <w:rFonts w:ascii="Arial" w:hAnsi="Arial" w:cs="Arial"/>
                <w:sz w:val="20"/>
                <w:szCs w:val="20"/>
              </w:rPr>
              <w:t>s poskytováním zadávací dokumentace.</w:t>
            </w:r>
          </w:p>
        </w:tc>
        <w:tc>
          <w:tcPr>
            <w:tcW w:w="4761" w:type="dxa"/>
            <w:shd w:val="clear" w:color="auto" w:fill="auto"/>
            <w:vAlign w:val="center"/>
          </w:tcPr>
          <w:p w:rsidR="00CE5285" w:rsidRPr="00BE409E" w:rsidRDefault="00CE5285" w:rsidP="00CE5285">
            <w:pPr>
              <w:spacing w:after="240"/>
              <w:jc w:val="both"/>
              <w:rPr>
                <w:rFonts w:ascii="Arial" w:hAnsi="Arial" w:cs="Arial"/>
                <w:sz w:val="20"/>
                <w:szCs w:val="20"/>
                <w:lang w:bidi="cs-CZ"/>
              </w:rPr>
            </w:pPr>
            <w:r w:rsidRPr="00BE409E">
              <w:rPr>
                <w:rFonts w:ascii="Arial" w:hAnsi="Arial" w:cs="Arial"/>
                <w:sz w:val="20"/>
                <w:szCs w:val="20"/>
              </w:rPr>
              <w:t>25 %, je-li doba, do kdy si potenciální uchazeči nebo zájemci musí opatřit zadávací dokumentaci, kratší než 50 % lhůt pro doručení nabídek (v souladu s příslušnými předpisy).</w:t>
            </w:r>
          </w:p>
          <w:p w:rsidR="00CE5285" w:rsidRPr="00BE409E" w:rsidRDefault="00CE5285" w:rsidP="00CE5285">
            <w:pPr>
              <w:spacing w:after="240"/>
              <w:jc w:val="both"/>
              <w:rPr>
                <w:rFonts w:ascii="Arial" w:hAnsi="Arial" w:cs="Arial"/>
                <w:sz w:val="20"/>
                <w:szCs w:val="20"/>
              </w:rPr>
            </w:pPr>
            <w:r w:rsidRPr="00BE409E">
              <w:rPr>
                <w:rFonts w:ascii="Arial" w:hAnsi="Arial" w:cs="Arial"/>
                <w:sz w:val="20"/>
                <w:szCs w:val="20"/>
              </w:rPr>
              <w:t>10 %, je-li doba, do kdy si potenciální uchazeči nebo zájemci musí opatřit zadávací dokumentaci, kratší než 60 % lhůt pro doručení nabídek (v souladu s příslušnými předpisy).</w:t>
            </w:r>
          </w:p>
          <w:p w:rsidR="00E54C26" w:rsidRDefault="00CE5285" w:rsidP="00CE5285">
            <w:pPr>
              <w:jc w:val="both"/>
              <w:rPr>
                <w:rFonts w:ascii="Arial" w:hAnsi="Arial" w:cs="Arial"/>
                <w:b/>
                <w:sz w:val="20"/>
                <w:szCs w:val="20"/>
              </w:rPr>
            </w:pPr>
            <w:r w:rsidRPr="00BE409E">
              <w:rPr>
                <w:rFonts w:ascii="Arial" w:hAnsi="Arial" w:cs="Arial"/>
                <w:sz w:val="20"/>
                <w:szCs w:val="20"/>
              </w:rPr>
              <w:t>5 %, je-li doba, do kdy si potenciální uchazeči nebo zájemci musí opatřit zadávací dokumentaci, kratší než 80 % lhůt pro doručení nabídek (v souladu s příslušnými předpisy).</w:t>
            </w:r>
          </w:p>
        </w:tc>
      </w:tr>
      <w:tr w:rsidR="00E54C26" w:rsidTr="00CE5285">
        <w:trPr>
          <w:trHeight w:val="567"/>
          <w:tblHeader/>
          <w:jc w:val="center"/>
        </w:trPr>
        <w:tc>
          <w:tcPr>
            <w:tcW w:w="693" w:type="dxa"/>
            <w:shd w:val="clear" w:color="auto" w:fill="auto"/>
            <w:vAlign w:val="center"/>
          </w:tcPr>
          <w:p w:rsidR="00E54C26" w:rsidRPr="00954488" w:rsidRDefault="00CE5285" w:rsidP="00C91AFD">
            <w:pPr>
              <w:jc w:val="center"/>
              <w:rPr>
                <w:rFonts w:ascii="Arial" w:hAnsi="Arial" w:cs="Arial"/>
                <w:b/>
                <w:sz w:val="20"/>
                <w:szCs w:val="20"/>
              </w:rPr>
            </w:pPr>
            <w:r>
              <w:rPr>
                <w:rFonts w:ascii="Arial" w:hAnsi="Arial" w:cs="Arial"/>
                <w:b/>
                <w:sz w:val="20"/>
                <w:szCs w:val="20"/>
              </w:rPr>
              <w:t>5</w:t>
            </w:r>
          </w:p>
        </w:tc>
        <w:tc>
          <w:tcPr>
            <w:tcW w:w="4355" w:type="dxa"/>
            <w:shd w:val="clear" w:color="auto" w:fill="auto"/>
            <w:vAlign w:val="center"/>
          </w:tcPr>
          <w:p w:rsidR="00CE5285" w:rsidRPr="007D5805" w:rsidRDefault="00CE5285" w:rsidP="00576E57">
            <w:pPr>
              <w:jc w:val="both"/>
              <w:rPr>
                <w:rFonts w:ascii="Arial" w:hAnsi="Arial" w:cs="Arial"/>
                <w:b/>
                <w:sz w:val="20"/>
                <w:szCs w:val="20"/>
              </w:rPr>
            </w:pPr>
            <w:r w:rsidRPr="007D5805">
              <w:rPr>
                <w:rFonts w:ascii="Arial" w:hAnsi="Arial" w:cs="Arial"/>
                <w:b/>
                <w:sz w:val="20"/>
                <w:szCs w:val="20"/>
              </w:rPr>
              <w:t>Nezveřejnění prodloužených lhůt pro doručení nabídek nebo prodloužených lhůt pro doručení žádostí o účast</w:t>
            </w:r>
            <w:r w:rsidR="008149E3">
              <w:rPr>
                <w:rFonts w:ascii="Arial" w:hAnsi="Arial" w:cs="Arial"/>
                <w:b/>
                <w:sz w:val="20"/>
                <w:szCs w:val="20"/>
                <w:vertAlign w:val="superscript"/>
              </w:rPr>
              <w:t>3</w:t>
            </w:r>
          </w:p>
          <w:p w:rsidR="00E54C26" w:rsidRPr="00954488" w:rsidRDefault="00CE5285" w:rsidP="00CE5285">
            <w:pPr>
              <w:jc w:val="both"/>
              <w:rPr>
                <w:rFonts w:ascii="Arial" w:hAnsi="Arial" w:cs="Arial"/>
                <w:b/>
                <w:sz w:val="20"/>
                <w:szCs w:val="20"/>
              </w:rPr>
            </w:pPr>
            <w:r w:rsidRPr="007D5805">
              <w:rPr>
                <w:rFonts w:ascii="Arial" w:hAnsi="Arial" w:cs="Arial"/>
                <w:sz w:val="20"/>
                <w:szCs w:val="20"/>
              </w:rPr>
              <w:t>Lhůty pro doručení nabídek (nebo doručení žádostí o účast) byly prodlouženy bez zveřejnění v souladu s příslušnými právními předpisy (tj. zveřejnění v Úředním věstníku EU, jestliže se na veřejnou zakázku vztahují směrnice).</w:t>
            </w:r>
          </w:p>
        </w:tc>
        <w:tc>
          <w:tcPr>
            <w:tcW w:w="4761" w:type="dxa"/>
            <w:shd w:val="clear" w:color="auto" w:fill="auto"/>
            <w:vAlign w:val="center"/>
          </w:tcPr>
          <w:p w:rsidR="00CE5285" w:rsidRPr="007D5805" w:rsidRDefault="00CE5285" w:rsidP="00CE5285">
            <w:pPr>
              <w:widowControl/>
              <w:autoSpaceDN/>
              <w:spacing w:after="120"/>
              <w:jc w:val="both"/>
              <w:textAlignment w:val="auto"/>
              <w:rPr>
                <w:rFonts w:ascii="Arial" w:eastAsia="Times New Roman" w:hAnsi="Arial" w:cs="Arial"/>
                <w:kern w:val="0"/>
                <w:sz w:val="20"/>
                <w:szCs w:val="20"/>
                <w:lang w:bidi="cs-CZ"/>
              </w:rPr>
            </w:pPr>
            <w:r w:rsidRPr="007D5805">
              <w:rPr>
                <w:rFonts w:ascii="Arial" w:eastAsia="Times New Roman" w:hAnsi="Arial" w:cs="Arial"/>
                <w:kern w:val="0"/>
                <w:sz w:val="20"/>
                <w:szCs w:val="20"/>
                <w:lang w:bidi="cs-CZ"/>
              </w:rPr>
              <w:t>10 %</w:t>
            </w:r>
          </w:p>
          <w:p w:rsidR="00CE5285" w:rsidRPr="007D5805" w:rsidRDefault="00CE5285" w:rsidP="00CE5285">
            <w:pPr>
              <w:widowControl/>
              <w:autoSpaceDN/>
              <w:spacing w:after="240"/>
              <w:jc w:val="both"/>
              <w:textAlignment w:val="auto"/>
              <w:rPr>
                <w:rFonts w:ascii="Arial" w:eastAsia="Times New Roman" w:hAnsi="Arial" w:cs="Arial"/>
                <w:kern w:val="0"/>
                <w:sz w:val="20"/>
                <w:szCs w:val="20"/>
                <w:lang w:bidi="cs-CZ"/>
              </w:rPr>
            </w:pPr>
            <w:r w:rsidRPr="007D5805">
              <w:rPr>
                <w:rFonts w:ascii="Arial" w:eastAsia="Times New Roman" w:hAnsi="Arial" w:cs="Arial"/>
                <w:kern w:val="0"/>
                <w:sz w:val="20"/>
                <w:szCs w:val="20"/>
                <w:lang w:bidi="cs-CZ"/>
              </w:rPr>
              <w:t>Oprava může být snížena na 5 % podle závažnosti dané nesrovnalosti.</w:t>
            </w:r>
          </w:p>
          <w:p w:rsidR="00E54C26" w:rsidRDefault="00E54C26" w:rsidP="00CE5285">
            <w:pPr>
              <w:jc w:val="both"/>
              <w:rPr>
                <w:rFonts w:ascii="Arial" w:hAnsi="Arial" w:cs="Arial"/>
                <w:b/>
                <w:sz w:val="20"/>
                <w:szCs w:val="20"/>
              </w:rPr>
            </w:pPr>
          </w:p>
        </w:tc>
      </w:tr>
      <w:tr w:rsidR="00CE5285" w:rsidTr="00CE5285">
        <w:trPr>
          <w:trHeight w:val="567"/>
          <w:tblHeader/>
          <w:jc w:val="center"/>
        </w:trPr>
        <w:tc>
          <w:tcPr>
            <w:tcW w:w="693" w:type="dxa"/>
            <w:shd w:val="clear" w:color="auto" w:fill="auto"/>
            <w:vAlign w:val="center"/>
          </w:tcPr>
          <w:p w:rsidR="00CE5285" w:rsidRPr="00954488" w:rsidRDefault="00CE5285" w:rsidP="00C91AFD">
            <w:pPr>
              <w:jc w:val="center"/>
              <w:rPr>
                <w:rFonts w:ascii="Arial" w:hAnsi="Arial" w:cs="Arial"/>
                <w:b/>
                <w:sz w:val="20"/>
                <w:szCs w:val="20"/>
              </w:rPr>
            </w:pPr>
            <w:r>
              <w:rPr>
                <w:rFonts w:ascii="Arial" w:hAnsi="Arial" w:cs="Arial"/>
                <w:b/>
                <w:sz w:val="20"/>
                <w:szCs w:val="20"/>
              </w:rPr>
              <w:t>6</w:t>
            </w:r>
          </w:p>
        </w:tc>
        <w:tc>
          <w:tcPr>
            <w:tcW w:w="4355" w:type="dxa"/>
            <w:shd w:val="clear" w:color="auto" w:fill="auto"/>
            <w:vAlign w:val="center"/>
          </w:tcPr>
          <w:p w:rsidR="00CE5285" w:rsidRPr="007D5805" w:rsidRDefault="00CE5285" w:rsidP="00576E57">
            <w:pPr>
              <w:jc w:val="both"/>
              <w:rPr>
                <w:rFonts w:ascii="Arial" w:hAnsi="Arial" w:cs="Arial"/>
                <w:b/>
                <w:sz w:val="20"/>
                <w:szCs w:val="20"/>
              </w:rPr>
            </w:pPr>
            <w:r w:rsidRPr="007D5805">
              <w:rPr>
                <w:rFonts w:ascii="Arial" w:hAnsi="Arial" w:cs="Arial"/>
                <w:b/>
                <w:sz w:val="20"/>
                <w:szCs w:val="20"/>
              </w:rPr>
              <w:t>Případy, které neodůvodňují použití vyjednávacího řízení s předchozím zveřejněním oznámení o zakázce</w:t>
            </w:r>
          </w:p>
          <w:p w:rsidR="00CE5285" w:rsidRPr="00954488" w:rsidRDefault="00CE5285" w:rsidP="00CE5285">
            <w:pPr>
              <w:jc w:val="both"/>
              <w:rPr>
                <w:rFonts w:ascii="Arial" w:hAnsi="Arial" w:cs="Arial"/>
                <w:b/>
                <w:sz w:val="20"/>
                <w:szCs w:val="20"/>
              </w:rPr>
            </w:pPr>
            <w:r w:rsidRPr="007D5805">
              <w:rPr>
                <w:rFonts w:ascii="Arial" w:hAnsi="Arial" w:cs="Arial"/>
                <w:sz w:val="20"/>
                <w:szCs w:val="20"/>
              </w:rPr>
              <w:t>Zadavatel zadává veřejnou zakázku ve vyjednávacím řízení po zveřejnění oznámení o zakázce, ale takový postup není podle příslušných ustanovení odůvodněný.</w:t>
            </w:r>
          </w:p>
        </w:tc>
        <w:tc>
          <w:tcPr>
            <w:tcW w:w="4761" w:type="dxa"/>
            <w:shd w:val="clear" w:color="auto" w:fill="auto"/>
            <w:vAlign w:val="center"/>
          </w:tcPr>
          <w:p w:rsidR="00CE5285" w:rsidRPr="007D5805" w:rsidRDefault="00CE5285" w:rsidP="00CE5285">
            <w:pPr>
              <w:tabs>
                <w:tab w:val="center" w:pos="4153"/>
                <w:tab w:val="right" w:pos="8306"/>
              </w:tabs>
              <w:spacing w:after="120"/>
              <w:jc w:val="both"/>
              <w:rPr>
                <w:rFonts w:ascii="Arial" w:hAnsi="Arial" w:cs="Arial"/>
                <w:sz w:val="20"/>
                <w:szCs w:val="20"/>
                <w:lang w:bidi="cs-CZ"/>
              </w:rPr>
            </w:pPr>
            <w:r w:rsidRPr="007D5805">
              <w:rPr>
                <w:rFonts w:ascii="Arial" w:hAnsi="Arial" w:cs="Arial"/>
                <w:sz w:val="20"/>
                <w:szCs w:val="20"/>
              </w:rPr>
              <w:t>25 %</w:t>
            </w:r>
          </w:p>
          <w:p w:rsidR="00CE5285" w:rsidRPr="007D5805" w:rsidRDefault="00CE5285" w:rsidP="00CE5285">
            <w:pPr>
              <w:spacing w:after="240"/>
              <w:jc w:val="both"/>
              <w:rPr>
                <w:rFonts w:ascii="Arial" w:hAnsi="Arial" w:cs="Arial"/>
                <w:sz w:val="20"/>
                <w:szCs w:val="20"/>
              </w:rPr>
            </w:pPr>
            <w:r w:rsidRPr="007D5805">
              <w:rPr>
                <w:rFonts w:ascii="Arial" w:hAnsi="Arial" w:cs="Arial"/>
                <w:sz w:val="20"/>
                <w:szCs w:val="20"/>
              </w:rPr>
              <w:t>Oprava může být snížena na </w:t>
            </w:r>
            <w:r>
              <w:rPr>
                <w:rFonts w:ascii="Arial" w:hAnsi="Arial" w:cs="Arial"/>
                <w:sz w:val="20"/>
                <w:szCs w:val="20"/>
              </w:rPr>
              <w:br/>
            </w:r>
            <w:r w:rsidRPr="007D5805">
              <w:rPr>
                <w:rFonts w:ascii="Arial" w:hAnsi="Arial" w:cs="Arial"/>
                <w:sz w:val="20"/>
                <w:szCs w:val="20"/>
              </w:rPr>
              <w:t>10 % nebo 5 % podle závažnosti dané nesrovnalosti.</w:t>
            </w:r>
          </w:p>
          <w:p w:rsidR="00CE5285" w:rsidRDefault="00CE5285" w:rsidP="00CE5285">
            <w:pPr>
              <w:jc w:val="both"/>
              <w:rPr>
                <w:rFonts w:ascii="Arial" w:hAnsi="Arial" w:cs="Arial"/>
                <w:b/>
                <w:sz w:val="20"/>
                <w:szCs w:val="20"/>
              </w:rPr>
            </w:pPr>
          </w:p>
        </w:tc>
      </w:tr>
      <w:tr w:rsidR="00CE5285" w:rsidTr="00CE5285">
        <w:trPr>
          <w:trHeight w:val="567"/>
          <w:tblHeader/>
          <w:jc w:val="center"/>
        </w:trPr>
        <w:tc>
          <w:tcPr>
            <w:tcW w:w="693" w:type="dxa"/>
            <w:shd w:val="clear" w:color="auto" w:fill="auto"/>
            <w:vAlign w:val="center"/>
          </w:tcPr>
          <w:p w:rsidR="00CE5285" w:rsidRPr="00954488" w:rsidRDefault="00CE5285" w:rsidP="00C91AFD">
            <w:pPr>
              <w:jc w:val="center"/>
              <w:rPr>
                <w:rFonts w:ascii="Arial" w:hAnsi="Arial" w:cs="Arial"/>
                <w:b/>
                <w:sz w:val="20"/>
                <w:szCs w:val="20"/>
              </w:rPr>
            </w:pPr>
            <w:r>
              <w:rPr>
                <w:rFonts w:ascii="Arial" w:hAnsi="Arial" w:cs="Arial"/>
                <w:b/>
                <w:sz w:val="20"/>
                <w:szCs w:val="20"/>
              </w:rPr>
              <w:lastRenderedPageBreak/>
              <w:t>7</w:t>
            </w:r>
          </w:p>
        </w:tc>
        <w:tc>
          <w:tcPr>
            <w:tcW w:w="4355" w:type="dxa"/>
            <w:shd w:val="clear" w:color="auto" w:fill="auto"/>
            <w:vAlign w:val="center"/>
          </w:tcPr>
          <w:p w:rsidR="00CE5285" w:rsidRPr="008D41FA" w:rsidRDefault="00CE5285" w:rsidP="00576E57">
            <w:pPr>
              <w:jc w:val="both"/>
              <w:rPr>
                <w:rFonts w:ascii="Arial" w:hAnsi="Arial" w:cs="Arial"/>
                <w:b/>
                <w:sz w:val="20"/>
                <w:szCs w:val="20"/>
              </w:rPr>
            </w:pPr>
            <w:r w:rsidRPr="008D41FA">
              <w:rPr>
                <w:rFonts w:ascii="Arial" w:hAnsi="Arial" w:cs="Arial"/>
                <w:b/>
                <w:sz w:val="20"/>
                <w:szCs w:val="20"/>
              </w:rPr>
              <w:t>Neuvedení kritérií pro výběr v oznámení o zakázce a/nebo kritérií pro zadání zakázky (a jejich váhu) v oznámení o zakázce nebo v zadávacích podmínkách</w:t>
            </w:r>
          </w:p>
          <w:p w:rsidR="00CE5285" w:rsidRPr="00954488" w:rsidRDefault="00CE5285" w:rsidP="00576E57">
            <w:pPr>
              <w:jc w:val="both"/>
              <w:rPr>
                <w:rFonts w:ascii="Arial" w:hAnsi="Arial" w:cs="Arial"/>
                <w:b/>
                <w:sz w:val="20"/>
                <w:szCs w:val="20"/>
              </w:rPr>
            </w:pPr>
            <w:r w:rsidRPr="008D41FA">
              <w:rPr>
                <w:rFonts w:ascii="Arial" w:hAnsi="Arial" w:cs="Arial"/>
                <w:sz w:val="20"/>
                <w:szCs w:val="20"/>
              </w:rPr>
              <w:t>Oznámení o zakázce nestanoví kritéria pro výběr a/nebo pokud ani oznámení o zakázce, ani zadávací podmínky nepopisují dostatečně podrobně kritéria pro zadání zakázky a jejich váhu.</w:t>
            </w:r>
          </w:p>
        </w:tc>
        <w:tc>
          <w:tcPr>
            <w:tcW w:w="4761" w:type="dxa"/>
            <w:shd w:val="clear" w:color="auto" w:fill="auto"/>
            <w:vAlign w:val="center"/>
          </w:tcPr>
          <w:p w:rsidR="00CE5285" w:rsidRPr="008D41FA" w:rsidRDefault="00CE5285" w:rsidP="00CE5285">
            <w:pPr>
              <w:spacing w:after="120"/>
              <w:jc w:val="both"/>
              <w:rPr>
                <w:rFonts w:ascii="Arial" w:hAnsi="Arial" w:cs="Arial"/>
                <w:sz w:val="20"/>
                <w:szCs w:val="20"/>
                <w:lang w:bidi="cs-CZ"/>
              </w:rPr>
            </w:pPr>
            <w:r w:rsidRPr="008D41FA">
              <w:rPr>
                <w:rFonts w:ascii="Arial" w:hAnsi="Arial" w:cs="Arial"/>
                <w:sz w:val="20"/>
                <w:szCs w:val="20"/>
              </w:rPr>
              <w:t>25 %</w:t>
            </w:r>
          </w:p>
          <w:p w:rsidR="00CE5285" w:rsidRDefault="00CE5285" w:rsidP="00CE5285">
            <w:pPr>
              <w:jc w:val="both"/>
              <w:rPr>
                <w:rFonts w:ascii="Arial" w:hAnsi="Arial" w:cs="Arial"/>
                <w:b/>
                <w:sz w:val="20"/>
                <w:szCs w:val="20"/>
              </w:rPr>
            </w:pPr>
            <w:r w:rsidRPr="008D41FA">
              <w:rPr>
                <w:rFonts w:ascii="Arial" w:hAnsi="Arial" w:cs="Arial"/>
                <w:sz w:val="20"/>
                <w:szCs w:val="20"/>
              </w:rPr>
              <w:t>Oprava může být snížena na 10 % nebo 5 %, jestliže byla kritéria pro výběr nebo kritéria pro zadání zakázky uvedena v oznámení o zakázce (nebo v zadávacích podmínkách, pokud jde o kritéria pro zadání zakázky), avšak nikoli dostatečně podrobně.</w:t>
            </w:r>
          </w:p>
        </w:tc>
      </w:tr>
      <w:tr w:rsidR="00CE5285" w:rsidTr="00CE5285">
        <w:trPr>
          <w:trHeight w:val="567"/>
          <w:tblHeader/>
          <w:jc w:val="center"/>
        </w:trPr>
        <w:tc>
          <w:tcPr>
            <w:tcW w:w="693" w:type="dxa"/>
            <w:shd w:val="clear" w:color="auto" w:fill="auto"/>
            <w:vAlign w:val="center"/>
          </w:tcPr>
          <w:p w:rsidR="00CE5285" w:rsidRPr="00954488" w:rsidRDefault="00CE5285" w:rsidP="00C91AFD">
            <w:pPr>
              <w:jc w:val="center"/>
              <w:rPr>
                <w:rFonts w:ascii="Arial" w:hAnsi="Arial" w:cs="Arial"/>
                <w:b/>
                <w:sz w:val="20"/>
                <w:szCs w:val="20"/>
              </w:rPr>
            </w:pPr>
            <w:r>
              <w:rPr>
                <w:rFonts w:ascii="Arial" w:hAnsi="Arial" w:cs="Arial"/>
                <w:b/>
                <w:sz w:val="20"/>
                <w:szCs w:val="20"/>
              </w:rPr>
              <w:t>8</w:t>
            </w:r>
          </w:p>
        </w:tc>
        <w:tc>
          <w:tcPr>
            <w:tcW w:w="4355" w:type="dxa"/>
            <w:shd w:val="clear" w:color="auto" w:fill="auto"/>
            <w:vAlign w:val="center"/>
          </w:tcPr>
          <w:p w:rsidR="00CE5285" w:rsidRPr="008D41FA" w:rsidRDefault="00CE5285" w:rsidP="00576E57">
            <w:pPr>
              <w:jc w:val="both"/>
              <w:rPr>
                <w:rFonts w:ascii="Arial" w:hAnsi="Arial" w:cs="Arial"/>
                <w:b/>
                <w:sz w:val="20"/>
                <w:szCs w:val="20"/>
              </w:rPr>
            </w:pPr>
            <w:r w:rsidRPr="008D41FA">
              <w:rPr>
                <w:rFonts w:ascii="Arial" w:hAnsi="Arial" w:cs="Arial"/>
                <w:b/>
                <w:sz w:val="20"/>
                <w:szCs w:val="20"/>
              </w:rPr>
              <w:t>Protiprávní a/nebo diskriminační kritérií pro výběr a/nebo kritérií pro zadání zakázky stanovená v oznámení o zakázce nebo v zadávací dokumentaci</w:t>
            </w:r>
          </w:p>
          <w:p w:rsidR="00CE5285" w:rsidRPr="008D41FA" w:rsidRDefault="00CE5285" w:rsidP="00CE5285">
            <w:pPr>
              <w:spacing w:after="120"/>
              <w:jc w:val="both"/>
              <w:rPr>
                <w:rFonts w:ascii="Arial" w:hAnsi="Arial" w:cs="Arial"/>
                <w:sz w:val="20"/>
                <w:szCs w:val="20"/>
                <w:lang w:bidi="cs-CZ"/>
              </w:rPr>
            </w:pPr>
            <w:r w:rsidRPr="008D41FA">
              <w:rPr>
                <w:rFonts w:ascii="Arial" w:hAnsi="Arial" w:cs="Arial"/>
                <w:sz w:val="20"/>
                <w:szCs w:val="20"/>
              </w:rPr>
              <w:t>Případy, kdy byly hospodářské subjekty odrazeny od podání nabídky v důsledku nezákonných kritérií pro výběr a/nebo kritérií pro zadání zakázky stanovených v oznámení o zakázce nebo v zadávací dokumentaci. Například:</w:t>
            </w:r>
          </w:p>
          <w:p w:rsidR="00CE5285" w:rsidRDefault="00CE5285" w:rsidP="00CE5285">
            <w:pPr>
              <w:pStyle w:val="Odstavecseseznamem"/>
              <w:widowControl/>
              <w:numPr>
                <w:ilvl w:val="0"/>
                <w:numId w:val="41"/>
              </w:numPr>
              <w:autoSpaceDN/>
              <w:spacing w:after="240"/>
              <w:jc w:val="both"/>
              <w:textAlignment w:val="auto"/>
              <w:rPr>
                <w:rFonts w:ascii="Arial" w:hAnsi="Arial" w:cs="Arial"/>
                <w:sz w:val="20"/>
                <w:szCs w:val="20"/>
              </w:rPr>
            </w:pPr>
            <w:r w:rsidRPr="008D41FA">
              <w:rPr>
                <w:rFonts w:ascii="Arial" w:hAnsi="Arial" w:cs="Arial"/>
                <w:sz w:val="20"/>
                <w:szCs w:val="20"/>
              </w:rPr>
              <w:t>povinnost již mít provozovnu nebo zástupce v zemi nebo regionu,</w:t>
            </w:r>
          </w:p>
          <w:p w:rsidR="00CE5285" w:rsidRPr="00CE5285" w:rsidRDefault="00CE5285" w:rsidP="00CE5285">
            <w:pPr>
              <w:pStyle w:val="Odstavecseseznamem"/>
              <w:widowControl/>
              <w:numPr>
                <w:ilvl w:val="0"/>
                <w:numId w:val="41"/>
              </w:numPr>
              <w:autoSpaceDN/>
              <w:jc w:val="both"/>
              <w:textAlignment w:val="auto"/>
              <w:rPr>
                <w:rFonts w:ascii="Arial" w:hAnsi="Arial" w:cs="Arial"/>
                <w:sz w:val="20"/>
                <w:szCs w:val="20"/>
              </w:rPr>
            </w:pPr>
            <w:r w:rsidRPr="00CE5285">
              <w:rPr>
                <w:rFonts w:ascii="Arial" w:hAnsi="Arial" w:cs="Arial"/>
                <w:sz w:val="20"/>
                <w:szCs w:val="20"/>
              </w:rPr>
              <w:t>již nabyté zkušenosti uchazečů v dané zemi nebo regionu.</w:t>
            </w:r>
          </w:p>
        </w:tc>
        <w:tc>
          <w:tcPr>
            <w:tcW w:w="4761" w:type="dxa"/>
            <w:shd w:val="clear" w:color="auto" w:fill="auto"/>
            <w:vAlign w:val="center"/>
          </w:tcPr>
          <w:p w:rsidR="00CE5285" w:rsidRPr="008D41FA" w:rsidRDefault="00CE5285" w:rsidP="00CE5285">
            <w:pPr>
              <w:spacing w:after="120"/>
              <w:jc w:val="both"/>
              <w:rPr>
                <w:rFonts w:ascii="Arial" w:hAnsi="Arial" w:cs="Arial"/>
                <w:sz w:val="20"/>
                <w:szCs w:val="20"/>
                <w:lang w:bidi="cs-CZ"/>
              </w:rPr>
            </w:pPr>
            <w:r w:rsidRPr="008D41FA">
              <w:rPr>
                <w:rFonts w:ascii="Arial" w:hAnsi="Arial" w:cs="Arial"/>
                <w:sz w:val="20"/>
                <w:szCs w:val="20"/>
              </w:rPr>
              <w:t xml:space="preserve">25 % </w:t>
            </w:r>
          </w:p>
          <w:p w:rsidR="00CE5285" w:rsidRPr="008D41FA" w:rsidRDefault="00CE5285" w:rsidP="00CE5285">
            <w:pPr>
              <w:spacing w:after="240"/>
              <w:jc w:val="both"/>
              <w:rPr>
                <w:rFonts w:ascii="Arial" w:hAnsi="Arial" w:cs="Arial"/>
                <w:sz w:val="20"/>
                <w:szCs w:val="20"/>
              </w:rPr>
            </w:pPr>
            <w:r w:rsidRPr="008D41FA">
              <w:rPr>
                <w:rFonts w:ascii="Arial" w:hAnsi="Arial" w:cs="Arial"/>
                <w:sz w:val="20"/>
                <w:szCs w:val="20"/>
              </w:rPr>
              <w:t>Oprava může být snížena na 10 % nebo 5 % podl</w:t>
            </w:r>
            <w:r>
              <w:rPr>
                <w:rFonts w:ascii="Arial" w:hAnsi="Arial" w:cs="Arial"/>
                <w:sz w:val="20"/>
                <w:szCs w:val="20"/>
              </w:rPr>
              <w:t>e závažnosti dané nesrovnalosti</w:t>
            </w:r>
          </w:p>
          <w:p w:rsidR="00CE5285" w:rsidRDefault="00CE5285" w:rsidP="00CE5285">
            <w:pPr>
              <w:jc w:val="both"/>
              <w:rPr>
                <w:rFonts w:ascii="Arial" w:hAnsi="Arial" w:cs="Arial"/>
                <w:b/>
                <w:sz w:val="20"/>
                <w:szCs w:val="20"/>
              </w:rPr>
            </w:pPr>
          </w:p>
        </w:tc>
      </w:tr>
      <w:tr w:rsidR="00CE5285" w:rsidTr="00CE5285">
        <w:trPr>
          <w:trHeight w:val="567"/>
          <w:tblHeader/>
          <w:jc w:val="center"/>
        </w:trPr>
        <w:tc>
          <w:tcPr>
            <w:tcW w:w="693" w:type="dxa"/>
            <w:shd w:val="clear" w:color="auto" w:fill="auto"/>
            <w:vAlign w:val="center"/>
          </w:tcPr>
          <w:p w:rsidR="00CE5285" w:rsidRDefault="00CE5285" w:rsidP="00C91AFD">
            <w:pPr>
              <w:jc w:val="center"/>
              <w:rPr>
                <w:rFonts w:ascii="Arial" w:hAnsi="Arial" w:cs="Arial"/>
                <w:b/>
                <w:sz w:val="20"/>
                <w:szCs w:val="20"/>
              </w:rPr>
            </w:pPr>
            <w:r>
              <w:rPr>
                <w:rFonts w:ascii="Arial" w:hAnsi="Arial" w:cs="Arial"/>
                <w:b/>
                <w:sz w:val="20"/>
                <w:szCs w:val="20"/>
              </w:rPr>
              <w:t>9</w:t>
            </w:r>
          </w:p>
        </w:tc>
        <w:tc>
          <w:tcPr>
            <w:tcW w:w="4355" w:type="dxa"/>
            <w:shd w:val="clear" w:color="auto" w:fill="auto"/>
            <w:vAlign w:val="center"/>
          </w:tcPr>
          <w:p w:rsidR="00CE5285" w:rsidRPr="008D41FA" w:rsidRDefault="00CE5285" w:rsidP="00576E57">
            <w:pPr>
              <w:jc w:val="both"/>
              <w:rPr>
                <w:rFonts w:ascii="Arial" w:hAnsi="Arial" w:cs="Arial"/>
                <w:b/>
                <w:sz w:val="20"/>
                <w:szCs w:val="20"/>
              </w:rPr>
            </w:pPr>
            <w:r w:rsidRPr="008D41FA">
              <w:rPr>
                <w:rFonts w:ascii="Arial" w:hAnsi="Arial" w:cs="Arial"/>
                <w:b/>
                <w:sz w:val="20"/>
                <w:szCs w:val="20"/>
              </w:rPr>
              <w:t>Kritéria pro výběr se nevztahují k předmětu zakázky a nejsou mu úměrná</w:t>
            </w:r>
          </w:p>
          <w:p w:rsidR="00CE5285" w:rsidRPr="00954488" w:rsidRDefault="00CE5285" w:rsidP="00CE5285">
            <w:pPr>
              <w:jc w:val="both"/>
              <w:rPr>
                <w:rFonts w:ascii="Arial" w:hAnsi="Arial" w:cs="Arial"/>
                <w:b/>
                <w:sz w:val="20"/>
                <w:szCs w:val="20"/>
              </w:rPr>
            </w:pPr>
            <w:r w:rsidRPr="008D41FA">
              <w:rPr>
                <w:rFonts w:ascii="Arial" w:hAnsi="Arial" w:cs="Arial"/>
                <w:sz w:val="20"/>
                <w:szCs w:val="20"/>
              </w:rPr>
              <w:t>Pokud lze doložit, že minimální úrovně způsobilosti pro konkrétní zakázku se nevztahují k jejímu předmětu a nejsou mu úměrná, a není tedy pro zájemce zajištěn rovný přístup nebo to má za následek vytváření neodůvodněných překážek pro otevření veřejné zakázky hospodářské soutěži.</w:t>
            </w:r>
          </w:p>
        </w:tc>
        <w:tc>
          <w:tcPr>
            <w:tcW w:w="4761" w:type="dxa"/>
            <w:shd w:val="clear" w:color="auto" w:fill="auto"/>
            <w:vAlign w:val="center"/>
          </w:tcPr>
          <w:p w:rsidR="00CE5285" w:rsidRPr="008D41FA" w:rsidRDefault="00CE5285" w:rsidP="00CE5285">
            <w:pPr>
              <w:spacing w:after="120"/>
              <w:jc w:val="both"/>
              <w:rPr>
                <w:rFonts w:ascii="Arial" w:hAnsi="Arial" w:cs="Arial"/>
                <w:sz w:val="20"/>
                <w:szCs w:val="20"/>
                <w:lang w:bidi="cs-CZ"/>
              </w:rPr>
            </w:pPr>
            <w:r w:rsidRPr="008D41FA">
              <w:rPr>
                <w:rFonts w:ascii="Arial" w:hAnsi="Arial" w:cs="Arial"/>
                <w:sz w:val="20"/>
                <w:szCs w:val="20"/>
              </w:rPr>
              <w:t xml:space="preserve">25 % </w:t>
            </w:r>
          </w:p>
          <w:p w:rsidR="00CE5285" w:rsidRPr="007E26B3" w:rsidRDefault="00CE5285" w:rsidP="00CE5285">
            <w:pPr>
              <w:spacing w:after="240"/>
              <w:jc w:val="both"/>
              <w:rPr>
                <w:rFonts w:ascii="Arial" w:hAnsi="Arial" w:cs="Arial"/>
                <w:sz w:val="22"/>
                <w:szCs w:val="22"/>
              </w:rPr>
            </w:pPr>
            <w:r w:rsidRPr="008D41FA">
              <w:rPr>
                <w:rFonts w:ascii="Arial" w:hAnsi="Arial" w:cs="Arial"/>
                <w:sz w:val="20"/>
                <w:szCs w:val="20"/>
              </w:rPr>
              <w:t>Oprava může být snížena na 10 % nebo 5 % podle závažnosti da</w:t>
            </w:r>
            <w:r>
              <w:rPr>
                <w:rFonts w:ascii="Arial" w:hAnsi="Arial" w:cs="Arial"/>
                <w:sz w:val="20"/>
                <w:szCs w:val="20"/>
              </w:rPr>
              <w:t>né nesrovnalosti</w:t>
            </w:r>
          </w:p>
          <w:p w:rsidR="00CE5285" w:rsidRDefault="00CE5285" w:rsidP="00CE5285">
            <w:pPr>
              <w:jc w:val="both"/>
              <w:rPr>
                <w:rFonts w:ascii="Arial" w:hAnsi="Arial" w:cs="Arial"/>
                <w:b/>
                <w:sz w:val="20"/>
                <w:szCs w:val="20"/>
              </w:rPr>
            </w:pPr>
          </w:p>
        </w:tc>
      </w:tr>
      <w:tr w:rsidR="00CE5285" w:rsidTr="00CE5285">
        <w:trPr>
          <w:trHeight w:val="567"/>
          <w:tblHeader/>
          <w:jc w:val="center"/>
        </w:trPr>
        <w:tc>
          <w:tcPr>
            <w:tcW w:w="693" w:type="dxa"/>
            <w:shd w:val="clear" w:color="auto" w:fill="auto"/>
            <w:vAlign w:val="center"/>
          </w:tcPr>
          <w:p w:rsidR="00CE5285" w:rsidRDefault="00CE5285" w:rsidP="00C91AFD">
            <w:pPr>
              <w:jc w:val="center"/>
              <w:rPr>
                <w:rFonts w:ascii="Arial" w:hAnsi="Arial" w:cs="Arial"/>
                <w:b/>
                <w:sz w:val="20"/>
                <w:szCs w:val="20"/>
              </w:rPr>
            </w:pPr>
            <w:r>
              <w:rPr>
                <w:rFonts w:ascii="Arial" w:hAnsi="Arial" w:cs="Arial"/>
                <w:b/>
                <w:sz w:val="20"/>
                <w:szCs w:val="20"/>
              </w:rPr>
              <w:t>10</w:t>
            </w:r>
          </w:p>
        </w:tc>
        <w:tc>
          <w:tcPr>
            <w:tcW w:w="4355" w:type="dxa"/>
            <w:shd w:val="clear" w:color="auto" w:fill="auto"/>
            <w:vAlign w:val="center"/>
          </w:tcPr>
          <w:p w:rsidR="00CE5285" w:rsidRPr="008D41FA" w:rsidRDefault="00CE5285" w:rsidP="00576E57">
            <w:pPr>
              <w:jc w:val="both"/>
              <w:rPr>
                <w:rFonts w:ascii="Arial" w:hAnsi="Arial" w:cs="Arial"/>
                <w:b/>
                <w:sz w:val="20"/>
                <w:szCs w:val="20"/>
              </w:rPr>
            </w:pPr>
            <w:r w:rsidRPr="008D41FA">
              <w:rPr>
                <w:rFonts w:ascii="Arial" w:hAnsi="Arial" w:cs="Arial"/>
                <w:b/>
                <w:sz w:val="20"/>
                <w:szCs w:val="20"/>
              </w:rPr>
              <w:t xml:space="preserve">Diskriminační technické specifikace </w:t>
            </w:r>
          </w:p>
          <w:p w:rsidR="00CE5285" w:rsidRPr="00954488" w:rsidRDefault="00CE5285" w:rsidP="00CE5285">
            <w:pPr>
              <w:jc w:val="both"/>
              <w:rPr>
                <w:rFonts w:ascii="Arial" w:hAnsi="Arial" w:cs="Arial"/>
                <w:b/>
                <w:sz w:val="20"/>
                <w:szCs w:val="20"/>
              </w:rPr>
            </w:pPr>
            <w:r w:rsidRPr="008D41FA">
              <w:rPr>
                <w:rFonts w:ascii="Arial" w:hAnsi="Arial" w:cs="Arial"/>
                <w:sz w:val="20"/>
                <w:szCs w:val="20"/>
              </w:rPr>
              <w:t>Stanovení technických norem, které jsou příliš specifické, a není tedy pro zájemce zajištěn rovný přístup nebo to má za následek vytváření neodůvodněných překážek pro otevření veřejné zakázky hospodářské soutěži.</w:t>
            </w:r>
          </w:p>
        </w:tc>
        <w:tc>
          <w:tcPr>
            <w:tcW w:w="4761" w:type="dxa"/>
            <w:shd w:val="clear" w:color="auto" w:fill="auto"/>
            <w:vAlign w:val="center"/>
          </w:tcPr>
          <w:p w:rsidR="00CE5285" w:rsidRPr="00503D07" w:rsidRDefault="00CE5285" w:rsidP="00CE5285">
            <w:pPr>
              <w:spacing w:after="120"/>
              <w:jc w:val="both"/>
              <w:rPr>
                <w:rFonts w:ascii="Arial" w:hAnsi="Arial" w:cs="Arial"/>
                <w:sz w:val="20"/>
                <w:szCs w:val="20"/>
                <w:lang w:bidi="cs-CZ"/>
              </w:rPr>
            </w:pPr>
            <w:r w:rsidRPr="00503D07">
              <w:rPr>
                <w:rFonts w:ascii="Arial" w:hAnsi="Arial" w:cs="Arial"/>
                <w:sz w:val="20"/>
                <w:szCs w:val="20"/>
              </w:rPr>
              <w:t>25 %</w:t>
            </w:r>
          </w:p>
          <w:p w:rsidR="00CE5285" w:rsidRDefault="00CE5285" w:rsidP="00CE5285">
            <w:pPr>
              <w:jc w:val="both"/>
              <w:rPr>
                <w:rFonts w:ascii="Arial" w:hAnsi="Arial" w:cs="Arial"/>
                <w:b/>
                <w:sz w:val="20"/>
                <w:szCs w:val="20"/>
              </w:rPr>
            </w:pPr>
            <w:r w:rsidRPr="00503D07">
              <w:rPr>
                <w:rFonts w:ascii="Arial" w:hAnsi="Arial" w:cs="Arial"/>
                <w:sz w:val="20"/>
                <w:szCs w:val="20"/>
              </w:rPr>
              <w:t>Oprava může být snížena na 10 % nebo 5 % podle závažnosti dané nesrovnalosti</w:t>
            </w:r>
          </w:p>
        </w:tc>
      </w:tr>
      <w:tr w:rsidR="00CE5285" w:rsidTr="00CE5285">
        <w:trPr>
          <w:trHeight w:val="567"/>
          <w:tblHeader/>
          <w:jc w:val="center"/>
        </w:trPr>
        <w:tc>
          <w:tcPr>
            <w:tcW w:w="693" w:type="dxa"/>
            <w:shd w:val="clear" w:color="auto" w:fill="auto"/>
            <w:vAlign w:val="center"/>
          </w:tcPr>
          <w:p w:rsidR="00CE5285" w:rsidRDefault="00CE5285" w:rsidP="00C91AFD">
            <w:pPr>
              <w:jc w:val="center"/>
              <w:rPr>
                <w:rFonts w:ascii="Arial" w:hAnsi="Arial" w:cs="Arial"/>
                <w:b/>
                <w:sz w:val="20"/>
                <w:szCs w:val="20"/>
              </w:rPr>
            </w:pPr>
            <w:r>
              <w:rPr>
                <w:rFonts w:ascii="Arial" w:hAnsi="Arial" w:cs="Arial"/>
                <w:b/>
                <w:sz w:val="20"/>
                <w:szCs w:val="20"/>
              </w:rPr>
              <w:t>11</w:t>
            </w:r>
          </w:p>
        </w:tc>
        <w:tc>
          <w:tcPr>
            <w:tcW w:w="4355" w:type="dxa"/>
            <w:shd w:val="clear" w:color="auto" w:fill="auto"/>
            <w:vAlign w:val="center"/>
          </w:tcPr>
          <w:p w:rsidR="00CE5285" w:rsidRPr="001900A5" w:rsidRDefault="00CE5285" w:rsidP="00576E57">
            <w:pPr>
              <w:widowControl/>
              <w:autoSpaceDN/>
              <w:jc w:val="both"/>
              <w:textAlignment w:val="auto"/>
              <w:rPr>
                <w:rFonts w:ascii="Arial" w:eastAsia="Times New Roman" w:hAnsi="Arial" w:cs="Arial"/>
                <w:b/>
                <w:kern w:val="0"/>
                <w:sz w:val="20"/>
                <w:szCs w:val="20"/>
                <w:lang w:bidi="cs-CZ"/>
              </w:rPr>
            </w:pPr>
            <w:r w:rsidRPr="001900A5">
              <w:rPr>
                <w:rFonts w:ascii="Arial" w:eastAsia="Times New Roman" w:hAnsi="Arial" w:cs="Arial"/>
                <w:b/>
                <w:kern w:val="0"/>
                <w:sz w:val="20"/>
                <w:szCs w:val="20"/>
                <w:lang w:bidi="cs-CZ"/>
              </w:rPr>
              <w:t xml:space="preserve">Nedostatečná definice předmětu zakázky </w:t>
            </w:r>
          </w:p>
          <w:p w:rsidR="00CE5285" w:rsidRPr="00954488" w:rsidRDefault="00CE5285" w:rsidP="00CE5285">
            <w:pPr>
              <w:jc w:val="both"/>
              <w:rPr>
                <w:rFonts w:ascii="Arial" w:hAnsi="Arial" w:cs="Arial"/>
                <w:b/>
                <w:sz w:val="20"/>
                <w:szCs w:val="20"/>
              </w:rPr>
            </w:pPr>
            <w:r w:rsidRPr="001900A5">
              <w:rPr>
                <w:rFonts w:ascii="Arial" w:eastAsia="Times New Roman" w:hAnsi="Arial" w:cs="Arial"/>
                <w:kern w:val="0"/>
                <w:sz w:val="20"/>
                <w:szCs w:val="20"/>
                <w:lang w:bidi="cs-CZ"/>
              </w:rPr>
              <w:t>Popis v oznámení o zakázce nebo v zadávacích podmínkách nestačí potenciálním uchazečům/</w:t>
            </w:r>
            <w:r>
              <w:rPr>
                <w:rFonts w:ascii="Arial" w:eastAsia="Times New Roman" w:hAnsi="Arial" w:cs="Arial"/>
                <w:kern w:val="0"/>
                <w:sz w:val="20"/>
                <w:szCs w:val="20"/>
                <w:lang w:bidi="cs-CZ"/>
              </w:rPr>
              <w:t xml:space="preserve">zájemcům k určení předmětu </w:t>
            </w:r>
            <w:r w:rsidRPr="001900A5">
              <w:rPr>
                <w:rFonts w:ascii="Arial" w:eastAsia="Times New Roman" w:hAnsi="Arial" w:cs="Arial"/>
                <w:kern w:val="0"/>
                <w:sz w:val="20"/>
                <w:szCs w:val="20"/>
                <w:lang w:bidi="cs-CZ"/>
              </w:rPr>
              <w:t>zakázky.</w:t>
            </w:r>
          </w:p>
        </w:tc>
        <w:tc>
          <w:tcPr>
            <w:tcW w:w="4761" w:type="dxa"/>
            <w:shd w:val="clear" w:color="auto" w:fill="auto"/>
            <w:vAlign w:val="center"/>
          </w:tcPr>
          <w:p w:rsidR="00CE5285" w:rsidRPr="001900A5" w:rsidRDefault="00CE5285" w:rsidP="00CE5285">
            <w:pPr>
              <w:widowControl/>
              <w:autoSpaceDN/>
              <w:spacing w:after="120"/>
              <w:jc w:val="both"/>
              <w:textAlignment w:val="auto"/>
              <w:rPr>
                <w:rFonts w:ascii="Arial" w:eastAsia="Times New Roman" w:hAnsi="Arial" w:cs="Arial"/>
                <w:kern w:val="0"/>
                <w:sz w:val="20"/>
                <w:szCs w:val="20"/>
                <w:lang w:bidi="cs-CZ"/>
              </w:rPr>
            </w:pPr>
            <w:r w:rsidRPr="001900A5">
              <w:rPr>
                <w:rFonts w:ascii="Arial" w:eastAsia="Times New Roman" w:hAnsi="Arial" w:cs="Arial"/>
                <w:kern w:val="0"/>
                <w:sz w:val="20"/>
                <w:szCs w:val="20"/>
                <w:lang w:bidi="cs-CZ"/>
              </w:rPr>
              <w:t xml:space="preserve">10 % </w:t>
            </w:r>
          </w:p>
          <w:p w:rsidR="00CE5285" w:rsidRPr="00CE5285" w:rsidRDefault="00CE5285" w:rsidP="00CE5285">
            <w:pPr>
              <w:widowControl/>
              <w:autoSpaceDN/>
              <w:spacing w:after="120"/>
              <w:jc w:val="both"/>
              <w:textAlignment w:val="auto"/>
              <w:rPr>
                <w:rFonts w:ascii="Arial" w:eastAsia="Times New Roman" w:hAnsi="Arial" w:cs="Arial"/>
                <w:kern w:val="0"/>
                <w:sz w:val="20"/>
                <w:szCs w:val="20"/>
                <w:lang w:bidi="cs-CZ"/>
              </w:rPr>
            </w:pPr>
            <w:r w:rsidRPr="001900A5">
              <w:rPr>
                <w:rFonts w:ascii="Arial" w:eastAsia="Times New Roman" w:hAnsi="Arial" w:cs="Arial"/>
                <w:kern w:val="0"/>
                <w:sz w:val="20"/>
                <w:szCs w:val="20"/>
                <w:lang w:bidi="cs-CZ"/>
              </w:rPr>
              <w:t>Oprava může být snížena na 5 % podle</w:t>
            </w:r>
            <w:r>
              <w:rPr>
                <w:rFonts w:ascii="Arial" w:eastAsia="Times New Roman" w:hAnsi="Arial" w:cs="Arial"/>
                <w:kern w:val="0"/>
                <w:sz w:val="20"/>
                <w:szCs w:val="20"/>
                <w:lang w:bidi="cs-CZ"/>
              </w:rPr>
              <w:t xml:space="preserve"> závažnosti dané nesrovnalosti. </w:t>
            </w:r>
            <w:r w:rsidRPr="001900A5">
              <w:rPr>
                <w:rFonts w:ascii="Arial" w:eastAsia="Times New Roman" w:hAnsi="Arial" w:cs="Arial"/>
                <w:kern w:val="0"/>
                <w:sz w:val="20"/>
                <w:szCs w:val="20"/>
                <w:lang w:bidi="cs-CZ"/>
              </w:rPr>
              <w:t>V případě, že provedené práce nebyly zveřejněny, se na odpovídající částku uplatní oprava ve výši 100 %.</w:t>
            </w:r>
          </w:p>
        </w:tc>
      </w:tr>
    </w:tbl>
    <w:p w:rsidR="005E1A50" w:rsidRDefault="005E1A50" w:rsidP="0066566F"/>
    <w:p w:rsidR="00E54C26" w:rsidRDefault="00E54C26" w:rsidP="0066566F"/>
    <w:p w:rsidR="00CE5285" w:rsidRDefault="00CE5285" w:rsidP="0066566F"/>
    <w:p w:rsidR="00CE5285" w:rsidRDefault="00CE5285" w:rsidP="0066566F"/>
    <w:p w:rsidR="00576E57" w:rsidRDefault="00576E57" w:rsidP="0066566F"/>
    <w:p w:rsidR="00576E57" w:rsidRDefault="00576E57" w:rsidP="0066566F"/>
    <w:p w:rsidR="00480D35" w:rsidRDefault="00480D35" w:rsidP="00CE5285">
      <w:pPr>
        <w:spacing w:after="120"/>
        <w:rPr>
          <w:rFonts w:ascii="Arial" w:hAnsi="Arial" w:cs="Arial"/>
          <w:b/>
          <w:sz w:val="22"/>
          <w:szCs w:val="22"/>
        </w:rPr>
      </w:pPr>
    </w:p>
    <w:p w:rsidR="008149E3" w:rsidRDefault="008149E3" w:rsidP="00CE5285">
      <w:pPr>
        <w:spacing w:after="120"/>
        <w:rPr>
          <w:rFonts w:ascii="Arial" w:hAnsi="Arial" w:cs="Arial"/>
          <w:b/>
          <w:sz w:val="22"/>
          <w:szCs w:val="22"/>
        </w:rPr>
      </w:pPr>
    </w:p>
    <w:p w:rsidR="00CE5285" w:rsidRDefault="00CE5285" w:rsidP="00CE5285">
      <w:pPr>
        <w:spacing w:after="120"/>
        <w:rPr>
          <w:rFonts w:ascii="Arial" w:hAnsi="Arial" w:cs="Arial"/>
          <w:b/>
          <w:sz w:val="22"/>
          <w:szCs w:val="22"/>
        </w:rPr>
      </w:pPr>
      <w:r w:rsidRPr="00CE5285">
        <w:rPr>
          <w:rFonts w:ascii="Arial" w:hAnsi="Arial" w:cs="Arial"/>
          <w:b/>
          <w:sz w:val="22"/>
          <w:szCs w:val="22"/>
        </w:rPr>
        <w:lastRenderedPageBreak/>
        <w:t>1.2 Hodnocení nabídek</w:t>
      </w:r>
    </w:p>
    <w:tbl>
      <w:tblPr>
        <w:tblStyle w:val="Mkatabulky"/>
        <w:tblW w:w="9809" w:type="dxa"/>
        <w:jc w:val="center"/>
        <w:tblLayout w:type="fixed"/>
        <w:tblCellMar>
          <w:top w:w="28" w:type="dxa"/>
          <w:left w:w="28" w:type="dxa"/>
          <w:bottom w:w="28" w:type="dxa"/>
          <w:right w:w="28" w:type="dxa"/>
        </w:tblCellMar>
        <w:tblLook w:val="04A0" w:firstRow="1" w:lastRow="0" w:firstColumn="1" w:lastColumn="0" w:noHBand="0" w:noVBand="1"/>
      </w:tblPr>
      <w:tblGrid>
        <w:gridCol w:w="693"/>
        <w:gridCol w:w="4355"/>
        <w:gridCol w:w="4761"/>
      </w:tblGrid>
      <w:tr w:rsidR="00CE5285" w:rsidRPr="00954488" w:rsidTr="008149E3">
        <w:trPr>
          <w:trHeight w:val="567"/>
          <w:tblHeader/>
          <w:jc w:val="center"/>
        </w:trPr>
        <w:tc>
          <w:tcPr>
            <w:tcW w:w="693" w:type="dxa"/>
            <w:shd w:val="clear" w:color="auto" w:fill="D9D9D9" w:themeFill="background1" w:themeFillShade="D9"/>
            <w:vAlign w:val="center"/>
          </w:tcPr>
          <w:p w:rsidR="00CE5285" w:rsidRPr="00954488" w:rsidRDefault="00CE5285" w:rsidP="008149E3">
            <w:pPr>
              <w:jc w:val="center"/>
              <w:rPr>
                <w:rFonts w:ascii="Arial" w:hAnsi="Arial" w:cs="Arial"/>
                <w:b/>
                <w:sz w:val="20"/>
                <w:szCs w:val="20"/>
              </w:rPr>
            </w:pPr>
            <w:r w:rsidRPr="00954488">
              <w:rPr>
                <w:rFonts w:ascii="Arial" w:hAnsi="Arial" w:cs="Arial"/>
                <w:b/>
                <w:sz w:val="20"/>
                <w:szCs w:val="20"/>
              </w:rPr>
              <w:t>Č.</w:t>
            </w:r>
          </w:p>
        </w:tc>
        <w:tc>
          <w:tcPr>
            <w:tcW w:w="4355" w:type="dxa"/>
            <w:shd w:val="clear" w:color="auto" w:fill="D9D9D9" w:themeFill="background1" w:themeFillShade="D9"/>
            <w:vAlign w:val="center"/>
          </w:tcPr>
          <w:p w:rsidR="00CE5285" w:rsidRPr="00954488" w:rsidRDefault="00CE5285" w:rsidP="008149E3">
            <w:pPr>
              <w:jc w:val="center"/>
              <w:rPr>
                <w:rFonts w:ascii="Arial" w:hAnsi="Arial" w:cs="Arial"/>
                <w:b/>
                <w:sz w:val="20"/>
                <w:szCs w:val="20"/>
              </w:rPr>
            </w:pPr>
            <w:r w:rsidRPr="00954488">
              <w:rPr>
                <w:rFonts w:ascii="Arial" w:hAnsi="Arial" w:cs="Arial"/>
                <w:b/>
                <w:sz w:val="20"/>
                <w:szCs w:val="20"/>
              </w:rPr>
              <w:t>Popis porušení</w:t>
            </w:r>
          </w:p>
        </w:tc>
        <w:tc>
          <w:tcPr>
            <w:tcW w:w="4761" w:type="dxa"/>
            <w:shd w:val="clear" w:color="auto" w:fill="D9D9D9" w:themeFill="background1" w:themeFillShade="D9"/>
            <w:vAlign w:val="center"/>
          </w:tcPr>
          <w:p w:rsidR="00CE5285" w:rsidRPr="00954488" w:rsidRDefault="00CE5285" w:rsidP="00CE5285">
            <w:pPr>
              <w:jc w:val="center"/>
              <w:rPr>
                <w:rFonts w:ascii="Arial" w:hAnsi="Arial" w:cs="Arial"/>
                <w:b/>
                <w:sz w:val="20"/>
                <w:szCs w:val="20"/>
              </w:rPr>
            </w:pPr>
            <w:r>
              <w:rPr>
                <w:rFonts w:ascii="Arial" w:hAnsi="Arial" w:cs="Arial"/>
                <w:b/>
                <w:sz w:val="20"/>
                <w:szCs w:val="20"/>
              </w:rPr>
              <w:t>Procentní rozmezí sazby pro výpočet sníženého odvodu</w:t>
            </w:r>
            <w:r w:rsidRPr="00CE5285">
              <w:rPr>
                <w:rFonts w:ascii="Arial" w:hAnsi="Arial" w:cs="Arial"/>
                <w:b/>
                <w:sz w:val="20"/>
                <w:szCs w:val="20"/>
                <w:vertAlign w:val="superscript"/>
              </w:rPr>
              <w:t>1</w:t>
            </w:r>
          </w:p>
        </w:tc>
      </w:tr>
      <w:tr w:rsidR="00CE5285" w:rsidRPr="00954488" w:rsidTr="00CE5285">
        <w:trPr>
          <w:trHeight w:val="567"/>
          <w:tblHeader/>
          <w:jc w:val="center"/>
        </w:trPr>
        <w:tc>
          <w:tcPr>
            <w:tcW w:w="693" w:type="dxa"/>
            <w:shd w:val="clear" w:color="auto" w:fill="auto"/>
            <w:vAlign w:val="center"/>
          </w:tcPr>
          <w:p w:rsidR="00CE5285" w:rsidRPr="00954488" w:rsidRDefault="00576E57" w:rsidP="008149E3">
            <w:pPr>
              <w:jc w:val="center"/>
              <w:rPr>
                <w:rFonts w:ascii="Arial" w:hAnsi="Arial" w:cs="Arial"/>
                <w:b/>
                <w:sz w:val="20"/>
                <w:szCs w:val="20"/>
              </w:rPr>
            </w:pPr>
            <w:r>
              <w:rPr>
                <w:rFonts w:ascii="Arial" w:hAnsi="Arial" w:cs="Arial"/>
                <w:b/>
                <w:sz w:val="20"/>
                <w:szCs w:val="20"/>
              </w:rPr>
              <w:t>12</w:t>
            </w:r>
          </w:p>
        </w:tc>
        <w:tc>
          <w:tcPr>
            <w:tcW w:w="4355" w:type="dxa"/>
            <w:shd w:val="clear" w:color="auto" w:fill="auto"/>
            <w:vAlign w:val="center"/>
          </w:tcPr>
          <w:p w:rsidR="00576E57" w:rsidRPr="00DA5186" w:rsidRDefault="00576E57" w:rsidP="00576E57">
            <w:pPr>
              <w:jc w:val="both"/>
              <w:rPr>
                <w:rFonts w:ascii="Arial" w:hAnsi="Arial" w:cs="Arial"/>
                <w:sz w:val="20"/>
                <w:szCs w:val="20"/>
              </w:rPr>
            </w:pPr>
            <w:r w:rsidRPr="00DA5186">
              <w:rPr>
                <w:rFonts w:ascii="Arial" w:hAnsi="Arial" w:cs="Arial"/>
                <w:b/>
                <w:sz w:val="20"/>
                <w:szCs w:val="20"/>
              </w:rPr>
              <w:t>Změna kritérií pro výběr po otevření nabídek, jež vede k nesprávnému přijetí uchazečů</w:t>
            </w:r>
          </w:p>
          <w:p w:rsidR="00CE5285" w:rsidRPr="00954488" w:rsidRDefault="00576E57" w:rsidP="00576E57">
            <w:pPr>
              <w:jc w:val="both"/>
              <w:rPr>
                <w:rFonts w:ascii="Arial" w:hAnsi="Arial" w:cs="Arial"/>
                <w:b/>
                <w:sz w:val="20"/>
                <w:szCs w:val="20"/>
              </w:rPr>
            </w:pPr>
            <w:r w:rsidRPr="00DA5186">
              <w:rPr>
                <w:rFonts w:ascii="Arial" w:hAnsi="Arial" w:cs="Arial"/>
                <w:sz w:val="20"/>
                <w:szCs w:val="20"/>
              </w:rPr>
              <w:t>Kritéria pro výběr byla upravena během fáze výběru, což vedlo k přijetí uchazečů, kteří by podle kritérií pro výběr, jež byla zveřejněna, přijati nebyli.</w:t>
            </w:r>
          </w:p>
        </w:tc>
        <w:tc>
          <w:tcPr>
            <w:tcW w:w="4761" w:type="dxa"/>
            <w:shd w:val="clear" w:color="auto" w:fill="auto"/>
            <w:vAlign w:val="center"/>
          </w:tcPr>
          <w:p w:rsidR="00576E57" w:rsidRPr="00DA5186" w:rsidRDefault="00576E57" w:rsidP="00576E57">
            <w:pPr>
              <w:widowControl/>
              <w:autoSpaceDN/>
              <w:spacing w:after="240"/>
              <w:jc w:val="both"/>
              <w:textAlignment w:val="auto"/>
              <w:rPr>
                <w:rFonts w:ascii="Arial" w:eastAsia="Times New Roman" w:hAnsi="Arial" w:cs="Arial"/>
                <w:kern w:val="0"/>
                <w:sz w:val="20"/>
                <w:szCs w:val="20"/>
                <w:lang w:bidi="cs-CZ"/>
              </w:rPr>
            </w:pPr>
            <w:r w:rsidRPr="00DA5186">
              <w:rPr>
                <w:rFonts w:ascii="Arial" w:eastAsia="Times New Roman" w:hAnsi="Arial" w:cs="Arial"/>
                <w:kern w:val="0"/>
                <w:sz w:val="20"/>
                <w:szCs w:val="20"/>
                <w:lang w:bidi="cs-CZ"/>
              </w:rPr>
              <w:t xml:space="preserve">25 % </w:t>
            </w:r>
          </w:p>
          <w:p w:rsidR="00CE5285" w:rsidRDefault="00576E57" w:rsidP="00576E57">
            <w:pPr>
              <w:jc w:val="both"/>
              <w:rPr>
                <w:rFonts w:ascii="Arial" w:hAnsi="Arial" w:cs="Arial"/>
                <w:b/>
                <w:sz w:val="20"/>
                <w:szCs w:val="20"/>
              </w:rPr>
            </w:pPr>
            <w:r w:rsidRPr="00DA5186">
              <w:rPr>
                <w:rFonts w:ascii="Arial" w:eastAsia="Times New Roman" w:hAnsi="Arial" w:cs="Arial"/>
                <w:kern w:val="0"/>
                <w:sz w:val="20"/>
                <w:szCs w:val="20"/>
                <w:lang w:bidi="cs-CZ"/>
              </w:rPr>
              <w:t>Oprava může být snížena na 10 % nebo 5 % podle závažnosti dané nesrovnalosti</w:t>
            </w:r>
          </w:p>
        </w:tc>
      </w:tr>
      <w:tr w:rsidR="00CE5285" w:rsidRPr="00954488" w:rsidTr="00CE5285">
        <w:trPr>
          <w:trHeight w:val="567"/>
          <w:tblHeader/>
          <w:jc w:val="center"/>
        </w:trPr>
        <w:tc>
          <w:tcPr>
            <w:tcW w:w="693" w:type="dxa"/>
            <w:shd w:val="clear" w:color="auto" w:fill="auto"/>
            <w:vAlign w:val="center"/>
          </w:tcPr>
          <w:p w:rsidR="00CE5285" w:rsidRPr="00954488" w:rsidRDefault="00576E57" w:rsidP="008149E3">
            <w:pPr>
              <w:jc w:val="center"/>
              <w:rPr>
                <w:rFonts w:ascii="Arial" w:hAnsi="Arial" w:cs="Arial"/>
                <w:b/>
                <w:sz w:val="20"/>
                <w:szCs w:val="20"/>
              </w:rPr>
            </w:pPr>
            <w:r>
              <w:rPr>
                <w:rFonts w:ascii="Arial" w:hAnsi="Arial" w:cs="Arial"/>
                <w:b/>
                <w:sz w:val="20"/>
                <w:szCs w:val="20"/>
              </w:rPr>
              <w:t>13</w:t>
            </w:r>
          </w:p>
        </w:tc>
        <w:tc>
          <w:tcPr>
            <w:tcW w:w="4355" w:type="dxa"/>
            <w:shd w:val="clear" w:color="auto" w:fill="auto"/>
            <w:vAlign w:val="center"/>
          </w:tcPr>
          <w:p w:rsidR="00576E57" w:rsidRPr="00DA5186" w:rsidRDefault="00576E57" w:rsidP="00576E57">
            <w:pPr>
              <w:widowControl/>
              <w:autoSpaceDN/>
              <w:jc w:val="both"/>
              <w:textAlignment w:val="auto"/>
              <w:rPr>
                <w:rFonts w:ascii="Arial" w:eastAsia="Times New Roman" w:hAnsi="Arial" w:cs="Arial"/>
                <w:b/>
                <w:kern w:val="0"/>
                <w:sz w:val="20"/>
                <w:szCs w:val="20"/>
                <w:lang w:bidi="cs-CZ"/>
              </w:rPr>
            </w:pPr>
            <w:r w:rsidRPr="00DA5186">
              <w:rPr>
                <w:rFonts w:ascii="Arial" w:eastAsia="Times New Roman" w:hAnsi="Arial" w:cs="Arial"/>
                <w:b/>
                <w:kern w:val="0"/>
                <w:sz w:val="20"/>
                <w:szCs w:val="20"/>
                <w:lang w:bidi="cs-CZ"/>
              </w:rPr>
              <w:t>Změna kritérií pro výběr po otevření nabídek, jež vede k nesprávnému odmítnutí uchazečů</w:t>
            </w:r>
          </w:p>
          <w:p w:rsidR="00CE5285" w:rsidRPr="00954488" w:rsidRDefault="00576E57" w:rsidP="00576E57">
            <w:pPr>
              <w:jc w:val="both"/>
              <w:rPr>
                <w:rFonts w:ascii="Arial" w:hAnsi="Arial" w:cs="Arial"/>
                <w:b/>
                <w:sz w:val="20"/>
                <w:szCs w:val="20"/>
              </w:rPr>
            </w:pPr>
            <w:r w:rsidRPr="00DA5186">
              <w:rPr>
                <w:rFonts w:ascii="Arial" w:eastAsia="Times New Roman" w:hAnsi="Arial" w:cs="Arial"/>
                <w:kern w:val="0"/>
                <w:sz w:val="20"/>
                <w:szCs w:val="20"/>
                <w:lang w:bidi="cs-CZ"/>
              </w:rPr>
              <w:t>Kritéria pro výběr byla upravena během fáze výběru, což vedlo k odmítnutí uchazečů, kteří by podle kritérií pro výběr, jež byla zveřejněna, byli přijati.</w:t>
            </w:r>
          </w:p>
        </w:tc>
        <w:tc>
          <w:tcPr>
            <w:tcW w:w="4761" w:type="dxa"/>
            <w:shd w:val="clear" w:color="auto" w:fill="auto"/>
            <w:vAlign w:val="center"/>
          </w:tcPr>
          <w:p w:rsidR="00576E57" w:rsidRPr="00DA5186" w:rsidRDefault="00576E57" w:rsidP="00576E57">
            <w:pPr>
              <w:widowControl/>
              <w:autoSpaceDN/>
              <w:spacing w:after="240"/>
              <w:jc w:val="both"/>
              <w:textAlignment w:val="auto"/>
              <w:rPr>
                <w:rFonts w:ascii="Arial" w:eastAsia="Times New Roman" w:hAnsi="Arial" w:cs="Arial"/>
                <w:kern w:val="0"/>
                <w:sz w:val="20"/>
                <w:szCs w:val="20"/>
                <w:lang w:bidi="cs-CZ"/>
              </w:rPr>
            </w:pPr>
            <w:r w:rsidRPr="00DA5186">
              <w:rPr>
                <w:rFonts w:ascii="Arial" w:eastAsia="Times New Roman" w:hAnsi="Arial" w:cs="Arial"/>
                <w:kern w:val="0"/>
                <w:sz w:val="20"/>
                <w:szCs w:val="20"/>
                <w:lang w:bidi="cs-CZ"/>
              </w:rPr>
              <w:t xml:space="preserve">25 % </w:t>
            </w:r>
          </w:p>
          <w:p w:rsidR="00CE5285" w:rsidRDefault="00576E57" w:rsidP="00576E57">
            <w:pPr>
              <w:jc w:val="both"/>
              <w:rPr>
                <w:rFonts w:ascii="Arial" w:hAnsi="Arial" w:cs="Arial"/>
                <w:b/>
                <w:sz w:val="20"/>
                <w:szCs w:val="20"/>
              </w:rPr>
            </w:pPr>
            <w:r w:rsidRPr="00DA5186">
              <w:rPr>
                <w:rFonts w:ascii="Arial" w:eastAsia="Times New Roman" w:hAnsi="Arial" w:cs="Arial"/>
                <w:kern w:val="0"/>
                <w:sz w:val="20"/>
                <w:szCs w:val="20"/>
                <w:lang w:bidi="cs-CZ"/>
              </w:rPr>
              <w:t>Oprava může být snížena na 10 % nebo 5 % podle závažnosti dané nesrovnalosti.</w:t>
            </w:r>
          </w:p>
        </w:tc>
      </w:tr>
      <w:tr w:rsidR="00CE5285" w:rsidRPr="00954488" w:rsidTr="00CE5285">
        <w:trPr>
          <w:trHeight w:val="567"/>
          <w:tblHeader/>
          <w:jc w:val="center"/>
        </w:trPr>
        <w:tc>
          <w:tcPr>
            <w:tcW w:w="693" w:type="dxa"/>
            <w:shd w:val="clear" w:color="auto" w:fill="auto"/>
            <w:vAlign w:val="center"/>
          </w:tcPr>
          <w:p w:rsidR="00CE5285" w:rsidRPr="00954488" w:rsidRDefault="00576E57" w:rsidP="008149E3">
            <w:pPr>
              <w:jc w:val="center"/>
              <w:rPr>
                <w:rFonts w:ascii="Arial" w:hAnsi="Arial" w:cs="Arial"/>
                <w:b/>
                <w:sz w:val="20"/>
                <w:szCs w:val="20"/>
              </w:rPr>
            </w:pPr>
            <w:r>
              <w:rPr>
                <w:rFonts w:ascii="Arial" w:hAnsi="Arial" w:cs="Arial"/>
                <w:b/>
                <w:sz w:val="20"/>
                <w:szCs w:val="20"/>
              </w:rPr>
              <w:t>14</w:t>
            </w:r>
          </w:p>
        </w:tc>
        <w:tc>
          <w:tcPr>
            <w:tcW w:w="4355" w:type="dxa"/>
            <w:shd w:val="clear" w:color="auto" w:fill="auto"/>
            <w:vAlign w:val="center"/>
          </w:tcPr>
          <w:p w:rsidR="00576E57" w:rsidRPr="00DA5186" w:rsidRDefault="00576E57" w:rsidP="00576E57">
            <w:pPr>
              <w:jc w:val="both"/>
              <w:rPr>
                <w:rFonts w:ascii="Arial" w:hAnsi="Arial" w:cs="Arial"/>
                <w:b/>
                <w:sz w:val="20"/>
                <w:szCs w:val="20"/>
              </w:rPr>
            </w:pPr>
            <w:r w:rsidRPr="00DA5186">
              <w:rPr>
                <w:rFonts w:ascii="Arial" w:hAnsi="Arial" w:cs="Arial"/>
                <w:b/>
                <w:sz w:val="20"/>
                <w:szCs w:val="20"/>
              </w:rPr>
              <w:t>Hodnocení uchazečů/zájemců podle nezákonných kritérií pro výběr nebo zadání zakázky</w:t>
            </w:r>
          </w:p>
          <w:p w:rsidR="00576E57" w:rsidRPr="00DA5186" w:rsidRDefault="00576E57" w:rsidP="00576E57">
            <w:pPr>
              <w:jc w:val="both"/>
              <w:rPr>
                <w:rFonts w:ascii="Arial" w:hAnsi="Arial" w:cs="Arial"/>
                <w:sz w:val="20"/>
                <w:szCs w:val="20"/>
              </w:rPr>
            </w:pPr>
            <w:r w:rsidRPr="00DA5186">
              <w:rPr>
                <w:rFonts w:ascii="Arial" w:hAnsi="Arial" w:cs="Arial"/>
                <w:sz w:val="20"/>
                <w:szCs w:val="20"/>
              </w:rPr>
              <w:t>V průběhu hodnocení uchazečů/zájemců byla kritéria pro výběr použita jako kritéria pro zadání zakázky nebo se nepostupovalo podle kritérií pro zadání zakázky (nebo příslušných dílčích kritérií nebo vah) uvedených v oznámení o zakázce nebo zadávacích podmínkách, což vedlo k použití nezákonných kritérií pro výběr nebo zadání zakázky.</w:t>
            </w:r>
          </w:p>
          <w:p w:rsidR="00CE5285" w:rsidRPr="00954488" w:rsidRDefault="00576E57" w:rsidP="00576E57">
            <w:pPr>
              <w:jc w:val="both"/>
              <w:rPr>
                <w:rFonts w:ascii="Arial" w:hAnsi="Arial" w:cs="Arial"/>
                <w:b/>
                <w:sz w:val="20"/>
                <w:szCs w:val="20"/>
              </w:rPr>
            </w:pPr>
            <w:r w:rsidRPr="00DA5186">
              <w:rPr>
                <w:rFonts w:ascii="Arial" w:hAnsi="Arial" w:cs="Arial"/>
                <w:sz w:val="20"/>
                <w:szCs w:val="20"/>
              </w:rPr>
              <w:t>Příklad: Dílčí kritéria použitá pro zadání zakázky se nevztahují ke kritériím pro zadání zakázky uvedeným v oznámení o zakázce nebo zadávacích podmínkách</w:t>
            </w:r>
            <w:r>
              <w:rPr>
                <w:rFonts w:ascii="Arial" w:hAnsi="Arial" w:cs="Arial"/>
                <w:sz w:val="20"/>
                <w:szCs w:val="20"/>
              </w:rPr>
              <w:t>.</w:t>
            </w:r>
          </w:p>
        </w:tc>
        <w:tc>
          <w:tcPr>
            <w:tcW w:w="4761" w:type="dxa"/>
            <w:shd w:val="clear" w:color="auto" w:fill="auto"/>
            <w:vAlign w:val="center"/>
          </w:tcPr>
          <w:p w:rsidR="00576E57" w:rsidRPr="00DA5186" w:rsidRDefault="00576E57" w:rsidP="00576E57">
            <w:pPr>
              <w:widowControl/>
              <w:autoSpaceDN/>
              <w:spacing w:after="240"/>
              <w:jc w:val="both"/>
              <w:textAlignment w:val="auto"/>
              <w:rPr>
                <w:rFonts w:ascii="Arial" w:eastAsia="Times New Roman" w:hAnsi="Arial" w:cs="Arial"/>
                <w:kern w:val="0"/>
                <w:sz w:val="20"/>
                <w:szCs w:val="20"/>
                <w:lang w:bidi="cs-CZ"/>
              </w:rPr>
            </w:pPr>
            <w:r w:rsidRPr="00DA5186">
              <w:rPr>
                <w:rFonts w:ascii="Arial" w:eastAsia="Times New Roman" w:hAnsi="Arial" w:cs="Arial"/>
                <w:kern w:val="0"/>
                <w:sz w:val="20"/>
                <w:szCs w:val="20"/>
                <w:lang w:bidi="cs-CZ"/>
              </w:rPr>
              <w:t>25 %</w:t>
            </w:r>
          </w:p>
          <w:p w:rsidR="00CE5285" w:rsidRDefault="00576E57" w:rsidP="00576E57">
            <w:pPr>
              <w:jc w:val="both"/>
              <w:rPr>
                <w:rFonts w:ascii="Arial" w:hAnsi="Arial" w:cs="Arial"/>
                <w:b/>
                <w:sz w:val="20"/>
                <w:szCs w:val="20"/>
              </w:rPr>
            </w:pPr>
            <w:r w:rsidRPr="00DA5186">
              <w:rPr>
                <w:rFonts w:ascii="Arial" w:eastAsia="Times New Roman" w:hAnsi="Arial" w:cs="Arial"/>
                <w:kern w:val="0"/>
                <w:sz w:val="20"/>
                <w:szCs w:val="20"/>
                <w:lang w:bidi="cs-CZ"/>
              </w:rPr>
              <w:t>Oprava může být snížena na 10 % nebo 5 % podle závažnosti dané nesrovnalosti.</w:t>
            </w:r>
          </w:p>
        </w:tc>
      </w:tr>
      <w:tr w:rsidR="00CE5285" w:rsidRPr="00954488" w:rsidTr="00CE5285">
        <w:trPr>
          <w:trHeight w:val="567"/>
          <w:tblHeader/>
          <w:jc w:val="center"/>
        </w:trPr>
        <w:tc>
          <w:tcPr>
            <w:tcW w:w="693" w:type="dxa"/>
            <w:shd w:val="clear" w:color="auto" w:fill="auto"/>
            <w:vAlign w:val="center"/>
          </w:tcPr>
          <w:p w:rsidR="00CE5285" w:rsidRPr="00954488" w:rsidRDefault="00576E57" w:rsidP="008149E3">
            <w:pPr>
              <w:jc w:val="center"/>
              <w:rPr>
                <w:rFonts w:ascii="Arial" w:hAnsi="Arial" w:cs="Arial"/>
                <w:b/>
                <w:sz w:val="20"/>
                <w:szCs w:val="20"/>
              </w:rPr>
            </w:pPr>
            <w:r>
              <w:rPr>
                <w:rFonts w:ascii="Arial" w:hAnsi="Arial" w:cs="Arial"/>
                <w:b/>
                <w:sz w:val="20"/>
                <w:szCs w:val="20"/>
              </w:rPr>
              <w:t>15</w:t>
            </w:r>
          </w:p>
        </w:tc>
        <w:tc>
          <w:tcPr>
            <w:tcW w:w="4355" w:type="dxa"/>
            <w:shd w:val="clear" w:color="auto" w:fill="auto"/>
            <w:vAlign w:val="center"/>
          </w:tcPr>
          <w:p w:rsidR="00576E57" w:rsidRPr="00DA5186" w:rsidRDefault="00576E57" w:rsidP="00576E57">
            <w:pPr>
              <w:widowControl/>
              <w:autoSpaceDN/>
              <w:jc w:val="both"/>
              <w:textAlignment w:val="auto"/>
              <w:rPr>
                <w:rFonts w:ascii="Arial" w:eastAsia="Times New Roman" w:hAnsi="Arial" w:cs="Arial"/>
                <w:b/>
                <w:kern w:val="0"/>
                <w:sz w:val="20"/>
                <w:szCs w:val="20"/>
                <w:lang w:bidi="cs-CZ"/>
              </w:rPr>
            </w:pPr>
            <w:r w:rsidRPr="00DA5186">
              <w:rPr>
                <w:rFonts w:ascii="Arial" w:eastAsia="Times New Roman" w:hAnsi="Arial" w:cs="Arial"/>
                <w:b/>
                <w:kern w:val="0"/>
                <w:sz w:val="20"/>
                <w:szCs w:val="20"/>
                <w:lang w:bidi="cs-CZ"/>
              </w:rPr>
              <w:t>Nedostatek transparentnosti nebo rovného zacházení při hodnocení</w:t>
            </w:r>
          </w:p>
          <w:p w:rsidR="00576E57" w:rsidRPr="00DA5186" w:rsidRDefault="00576E57" w:rsidP="00576E57">
            <w:pPr>
              <w:widowControl/>
              <w:autoSpaceDN/>
              <w:jc w:val="both"/>
              <w:textAlignment w:val="auto"/>
              <w:rPr>
                <w:rFonts w:ascii="Arial" w:eastAsia="Times New Roman" w:hAnsi="Arial" w:cs="Arial"/>
                <w:kern w:val="0"/>
                <w:sz w:val="20"/>
                <w:szCs w:val="20"/>
                <w:lang w:bidi="cs-CZ"/>
              </w:rPr>
            </w:pPr>
            <w:r w:rsidRPr="00DA5186">
              <w:rPr>
                <w:rFonts w:ascii="Arial" w:eastAsia="Times New Roman" w:hAnsi="Arial" w:cs="Arial"/>
                <w:kern w:val="0"/>
                <w:sz w:val="20"/>
                <w:szCs w:val="20"/>
                <w:lang w:bidi="cs-CZ"/>
              </w:rPr>
              <w:t>Auditní stopa týkající se zejména bodového hodnocení uděl</w:t>
            </w:r>
            <w:r>
              <w:rPr>
                <w:rFonts w:ascii="Arial" w:eastAsia="Times New Roman" w:hAnsi="Arial" w:cs="Arial"/>
                <w:kern w:val="0"/>
                <w:sz w:val="20"/>
                <w:szCs w:val="20"/>
                <w:lang w:bidi="cs-CZ"/>
              </w:rPr>
              <w:t>eného každé nabídce je nejasná/</w:t>
            </w:r>
            <w:r w:rsidRPr="00DA5186">
              <w:rPr>
                <w:rFonts w:ascii="Arial" w:eastAsia="Times New Roman" w:hAnsi="Arial" w:cs="Arial"/>
                <w:kern w:val="0"/>
                <w:sz w:val="20"/>
                <w:szCs w:val="20"/>
                <w:lang w:bidi="cs-CZ"/>
              </w:rPr>
              <w:t>neodůvodněná/nedostatečně transparentní nebo vůbec neexistuje</w:t>
            </w:r>
            <w:r>
              <w:rPr>
                <w:rFonts w:ascii="Arial" w:eastAsia="Times New Roman" w:hAnsi="Arial" w:cs="Arial"/>
                <w:kern w:val="0"/>
                <w:sz w:val="20"/>
                <w:szCs w:val="20"/>
                <w:lang w:bidi="cs-CZ"/>
              </w:rPr>
              <w:t xml:space="preserve"> </w:t>
            </w:r>
            <w:r w:rsidRPr="00DA5186">
              <w:rPr>
                <w:rFonts w:ascii="Arial" w:eastAsia="Times New Roman" w:hAnsi="Arial" w:cs="Arial"/>
                <w:kern w:val="0"/>
                <w:sz w:val="20"/>
                <w:szCs w:val="20"/>
                <w:lang w:bidi="cs-CZ"/>
              </w:rPr>
              <w:t xml:space="preserve">a/nebo </w:t>
            </w:r>
          </w:p>
          <w:p w:rsidR="00CE5285" w:rsidRPr="00954488" w:rsidRDefault="00576E57" w:rsidP="00576E57">
            <w:pPr>
              <w:jc w:val="both"/>
              <w:rPr>
                <w:rFonts w:ascii="Arial" w:hAnsi="Arial" w:cs="Arial"/>
                <w:b/>
                <w:sz w:val="20"/>
                <w:szCs w:val="20"/>
              </w:rPr>
            </w:pPr>
            <w:r w:rsidRPr="00DA5186">
              <w:rPr>
                <w:rFonts w:ascii="Arial" w:eastAsia="Times New Roman" w:hAnsi="Arial" w:cs="Arial"/>
                <w:kern w:val="0"/>
                <w:sz w:val="20"/>
                <w:szCs w:val="20"/>
                <w:lang w:bidi="cs-CZ"/>
              </w:rPr>
              <w:t>h</w:t>
            </w:r>
            <w:r>
              <w:rPr>
                <w:rFonts w:ascii="Arial" w:eastAsia="Times New Roman" w:hAnsi="Arial" w:cs="Arial"/>
                <w:kern w:val="0"/>
                <w:sz w:val="20"/>
                <w:szCs w:val="20"/>
                <w:lang w:bidi="cs-CZ"/>
              </w:rPr>
              <w:t xml:space="preserve">odnotící zpráva neexistuje nebo </w:t>
            </w:r>
            <w:r w:rsidRPr="00DA5186">
              <w:rPr>
                <w:rFonts w:ascii="Arial" w:eastAsia="Times New Roman" w:hAnsi="Arial" w:cs="Arial"/>
                <w:kern w:val="0"/>
                <w:sz w:val="20"/>
                <w:szCs w:val="20"/>
                <w:lang w:bidi="cs-CZ"/>
              </w:rPr>
              <w:t>neobsahuje všechny prvky požadované příslušnými předpisy.</w:t>
            </w:r>
          </w:p>
        </w:tc>
        <w:tc>
          <w:tcPr>
            <w:tcW w:w="4761" w:type="dxa"/>
            <w:shd w:val="clear" w:color="auto" w:fill="auto"/>
            <w:vAlign w:val="center"/>
          </w:tcPr>
          <w:p w:rsidR="00576E57" w:rsidRPr="00DA5186" w:rsidRDefault="00576E57" w:rsidP="00576E57">
            <w:pPr>
              <w:widowControl/>
              <w:autoSpaceDN/>
              <w:spacing w:after="120"/>
              <w:jc w:val="both"/>
              <w:textAlignment w:val="auto"/>
              <w:rPr>
                <w:rFonts w:ascii="Arial" w:eastAsia="Times New Roman" w:hAnsi="Arial" w:cs="Arial"/>
                <w:kern w:val="0"/>
                <w:sz w:val="20"/>
                <w:szCs w:val="20"/>
                <w:lang w:bidi="cs-CZ"/>
              </w:rPr>
            </w:pPr>
            <w:r w:rsidRPr="00DA5186">
              <w:rPr>
                <w:rFonts w:ascii="Arial" w:eastAsia="Times New Roman" w:hAnsi="Arial" w:cs="Arial"/>
                <w:kern w:val="0"/>
                <w:sz w:val="20"/>
                <w:szCs w:val="20"/>
                <w:lang w:bidi="cs-CZ"/>
              </w:rPr>
              <w:t xml:space="preserve">25 % </w:t>
            </w:r>
          </w:p>
          <w:p w:rsidR="00CE5285" w:rsidRDefault="00576E57" w:rsidP="00576E57">
            <w:pPr>
              <w:jc w:val="both"/>
              <w:rPr>
                <w:rFonts w:ascii="Arial" w:hAnsi="Arial" w:cs="Arial"/>
                <w:b/>
                <w:sz w:val="20"/>
                <w:szCs w:val="20"/>
              </w:rPr>
            </w:pPr>
            <w:r w:rsidRPr="00DA5186">
              <w:rPr>
                <w:rFonts w:ascii="Arial" w:eastAsia="Times New Roman" w:hAnsi="Arial" w:cs="Arial"/>
                <w:kern w:val="0"/>
                <w:sz w:val="20"/>
                <w:szCs w:val="20"/>
                <w:lang w:bidi="cs-CZ"/>
              </w:rPr>
              <w:t>Oprava může být snížena na 10 % nebo 5 % podle závažnosti dané nesrovnalosti.</w:t>
            </w:r>
          </w:p>
        </w:tc>
      </w:tr>
      <w:tr w:rsidR="00576E57" w:rsidRPr="00954488" w:rsidTr="00CE5285">
        <w:trPr>
          <w:trHeight w:val="567"/>
          <w:tblHeader/>
          <w:jc w:val="center"/>
        </w:trPr>
        <w:tc>
          <w:tcPr>
            <w:tcW w:w="693" w:type="dxa"/>
            <w:shd w:val="clear" w:color="auto" w:fill="auto"/>
            <w:vAlign w:val="center"/>
          </w:tcPr>
          <w:p w:rsidR="00576E57" w:rsidRPr="00954488" w:rsidRDefault="00576E57" w:rsidP="008149E3">
            <w:pPr>
              <w:jc w:val="center"/>
              <w:rPr>
                <w:rFonts w:ascii="Arial" w:hAnsi="Arial" w:cs="Arial"/>
                <w:b/>
                <w:sz w:val="20"/>
                <w:szCs w:val="20"/>
              </w:rPr>
            </w:pPr>
            <w:r>
              <w:rPr>
                <w:rFonts w:ascii="Arial" w:hAnsi="Arial" w:cs="Arial"/>
                <w:b/>
                <w:sz w:val="20"/>
                <w:szCs w:val="20"/>
              </w:rPr>
              <w:t>16</w:t>
            </w:r>
          </w:p>
        </w:tc>
        <w:tc>
          <w:tcPr>
            <w:tcW w:w="4355" w:type="dxa"/>
            <w:shd w:val="clear" w:color="auto" w:fill="auto"/>
            <w:vAlign w:val="center"/>
          </w:tcPr>
          <w:p w:rsidR="00576E57" w:rsidRPr="000E723F" w:rsidRDefault="00576E57" w:rsidP="00576E57">
            <w:pPr>
              <w:widowControl/>
              <w:autoSpaceDN/>
              <w:jc w:val="both"/>
              <w:textAlignment w:val="auto"/>
              <w:rPr>
                <w:rFonts w:ascii="Arial" w:eastAsia="Times New Roman" w:hAnsi="Arial" w:cs="Arial"/>
                <w:b/>
                <w:kern w:val="0"/>
                <w:sz w:val="20"/>
                <w:szCs w:val="20"/>
                <w:lang w:bidi="cs-CZ"/>
              </w:rPr>
            </w:pPr>
            <w:r w:rsidRPr="000E723F">
              <w:rPr>
                <w:rFonts w:ascii="Arial" w:eastAsia="Times New Roman" w:hAnsi="Arial" w:cs="Arial"/>
                <w:b/>
                <w:kern w:val="0"/>
                <w:sz w:val="20"/>
                <w:szCs w:val="20"/>
                <w:lang w:bidi="cs-CZ"/>
              </w:rPr>
              <w:t xml:space="preserve">Změna nabídky během hodnocení </w:t>
            </w:r>
          </w:p>
          <w:p w:rsidR="00576E57" w:rsidRPr="00954488" w:rsidRDefault="00576E57" w:rsidP="00576E57">
            <w:pPr>
              <w:jc w:val="both"/>
              <w:rPr>
                <w:rFonts w:ascii="Arial" w:hAnsi="Arial" w:cs="Arial"/>
                <w:b/>
                <w:sz w:val="20"/>
                <w:szCs w:val="20"/>
              </w:rPr>
            </w:pPr>
            <w:r w:rsidRPr="000E723F">
              <w:rPr>
                <w:rFonts w:ascii="Arial" w:eastAsia="Times New Roman" w:hAnsi="Arial" w:cs="Arial"/>
                <w:kern w:val="0"/>
                <w:sz w:val="20"/>
                <w:szCs w:val="20"/>
                <w:lang w:bidi="cs-CZ"/>
              </w:rPr>
              <w:t>Zadavatel umožní uchazeči/zájemci, aby upravil svou nabídku během hodnocení nabídek.</w:t>
            </w:r>
          </w:p>
        </w:tc>
        <w:tc>
          <w:tcPr>
            <w:tcW w:w="4761" w:type="dxa"/>
            <w:shd w:val="clear" w:color="auto" w:fill="auto"/>
            <w:vAlign w:val="center"/>
          </w:tcPr>
          <w:p w:rsidR="00576E57" w:rsidRPr="000E723F" w:rsidRDefault="00576E57" w:rsidP="00576E57">
            <w:pPr>
              <w:widowControl/>
              <w:autoSpaceDN/>
              <w:spacing w:after="120"/>
              <w:jc w:val="both"/>
              <w:textAlignment w:val="auto"/>
              <w:rPr>
                <w:rFonts w:ascii="Arial" w:eastAsia="Times New Roman" w:hAnsi="Arial" w:cs="Arial"/>
                <w:kern w:val="0"/>
                <w:sz w:val="20"/>
                <w:szCs w:val="20"/>
                <w:lang w:bidi="cs-CZ"/>
              </w:rPr>
            </w:pPr>
            <w:r w:rsidRPr="000E723F">
              <w:rPr>
                <w:rFonts w:ascii="Arial" w:eastAsia="Times New Roman" w:hAnsi="Arial" w:cs="Arial"/>
                <w:kern w:val="0"/>
                <w:sz w:val="20"/>
                <w:szCs w:val="20"/>
                <w:lang w:bidi="cs-CZ"/>
              </w:rPr>
              <w:t xml:space="preserve">25 % </w:t>
            </w:r>
          </w:p>
          <w:p w:rsidR="00576E57" w:rsidRDefault="00576E57" w:rsidP="00576E57">
            <w:pPr>
              <w:jc w:val="both"/>
              <w:rPr>
                <w:rFonts w:ascii="Arial" w:hAnsi="Arial" w:cs="Arial"/>
                <w:b/>
                <w:sz w:val="20"/>
                <w:szCs w:val="20"/>
              </w:rPr>
            </w:pPr>
            <w:r w:rsidRPr="000E723F">
              <w:rPr>
                <w:rFonts w:ascii="Arial" w:eastAsia="Times New Roman" w:hAnsi="Arial" w:cs="Arial"/>
                <w:kern w:val="0"/>
                <w:sz w:val="20"/>
                <w:szCs w:val="20"/>
                <w:lang w:bidi="cs-CZ"/>
              </w:rPr>
              <w:t>Oprava může být snížena na 10 % nebo 5 % podle závažnosti dané nesrovnalosti.</w:t>
            </w:r>
          </w:p>
        </w:tc>
      </w:tr>
      <w:tr w:rsidR="00576E57" w:rsidRPr="00954488" w:rsidTr="00CE5285">
        <w:trPr>
          <w:trHeight w:val="567"/>
          <w:tblHeader/>
          <w:jc w:val="center"/>
        </w:trPr>
        <w:tc>
          <w:tcPr>
            <w:tcW w:w="693" w:type="dxa"/>
            <w:shd w:val="clear" w:color="auto" w:fill="auto"/>
            <w:vAlign w:val="center"/>
          </w:tcPr>
          <w:p w:rsidR="00576E57" w:rsidRPr="00954488" w:rsidRDefault="00576E57" w:rsidP="008149E3">
            <w:pPr>
              <w:jc w:val="center"/>
              <w:rPr>
                <w:rFonts w:ascii="Arial" w:hAnsi="Arial" w:cs="Arial"/>
                <w:b/>
                <w:sz w:val="20"/>
                <w:szCs w:val="20"/>
              </w:rPr>
            </w:pPr>
            <w:r>
              <w:rPr>
                <w:rFonts w:ascii="Arial" w:hAnsi="Arial" w:cs="Arial"/>
                <w:b/>
                <w:sz w:val="20"/>
                <w:szCs w:val="20"/>
              </w:rPr>
              <w:t>17</w:t>
            </w:r>
          </w:p>
        </w:tc>
        <w:tc>
          <w:tcPr>
            <w:tcW w:w="4355" w:type="dxa"/>
            <w:shd w:val="clear" w:color="auto" w:fill="auto"/>
            <w:vAlign w:val="center"/>
          </w:tcPr>
          <w:p w:rsidR="00576E57" w:rsidRPr="000E723F" w:rsidRDefault="00576E57" w:rsidP="00576E57">
            <w:pPr>
              <w:jc w:val="both"/>
              <w:rPr>
                <w:rFonts w:ascii="Arial" w:hAnsi="Arial" w:cs="Arial"/>
                <w:b/>
                <w:sz w:val="20"/>
                <w:szCs w:val="20"/>
              </w:rPr>
            </w:pPr>
            <w:r w:rsidRPr="000E723F">
              <w:rPr>
                <w:rFonts w:ascii="Arial" w:hAnsi="Arial" w:cs="Arial"/>
                <w:b/>
                <w:sz w:val="20"/>
                <w:szCs w:val="20"/>
              </w:rPr>
              <w:t xml:space="preserve">Jednání během řízení o udělení zakázky </w:t>
            </w:r>
          </w:p>
          <w:p w:rsidR="00576E57" w:rsidRPr="00954488" w:rsidRDefault="00576E57" w:rsidP="00576E57">
            <w:pPr>
              <w:jc w:val="both"/>
              <w:rPr>
                <w:rFonts w:ascii="Arial" w:hAnsi="Arial" w:cs="Arial"/>
                <w:b/>
                <w:sz w:val="20"/>
                <w:szCs w:val="20"/>
              </w:rPr>
            </w:pPr>
            <w:r w:rsidRPr="000E723F">
              <w:rPr>
                <w:rFonts w:ascii="Arial" w:hAnsi="Arial" w:cs="Arial"/>
                <w:sz w:val="20"/>
                <w:szCs w:val="20"/>
              </w:rPr>
              <w:t>V rámci otevřeného nebo omezeného řízení zadavatel během fáze hodnocení jedná s účastníky nabídkového řízení, což vede k významné změně původních podmínek uvedených v oznámení o zakázce nebo zadávacích podmínkách.</w:t>
            </w:r>
          </w:p>
        </w:tc>
        <w:tc>
          <w:tcPr>
            <w:tcW w:w="4761" w:type="dxa"/>
            <w:shd w:val="clear" w:color="auto" w:fill="auto"/>
            <w:vAlign w:val="center"/>
          </w:tcPr>
          <w:p w:rsidR="00576E57" w:rsidRPr="000E723F" w:rsidRDefault="00576E57" w:rsidP="00576E57">
            <w:pPr>
              <w:widowControl/>
              <w:autoSpaceDN/>
              <w:spacing w:after="120"/>
              <w:jc w:val="both"/>
              <w:textAlignment w:val="auto"/>
              <w:rPr>
                <w:rFonts w:ascii="Arial" w:eastAsia="Times New Roman" w:hAnsi="Arial" w:cs="Arial"/>
                <w:kern w:val="0"/>
                <w:sz w:val="20"/>
                <w:szCs w:val="20"/>
                <w:lang w:bidi="cs-CZ"/>
              </w:rPr>
            </w:pPr>
            <w:r w:rsidRPr="000E723F">
              <w:rPr>
                <w:rFonts w:ascii="Arial" w:eastAsia="Times New Roman" w:hAnsi="Arial" w:cs="Arial"/>
                <w:kern w:val="0"/>
                <w:sz w:val="20"/>
                <w:szCs w:val="20"/>
                <w:lang w:bidi="cs-CZ"/>
              </w:rPr>
              <w:t>25 %</w:t>
            </w:r>
          </w:p>
          <w:p w:rsidR="00576E57" w:rsidRPr="000E723F" w:rsidRDefault="00576E57" w:rsidP="00576E57">
            <w:pPr>
              <w:widowControl/>
              <w:autoSpaceDN/>
              <w:spacing w:after="240"/>
              <w:jc w:val="both"/>
              <w:textAlignment w:val="auto"/>
              <w:rPr>
                <w:rFonts w:ascii="Arial" w:eastAsia="Times New Roman" w:hAnsi="Arial" w:cs="Arial"/>
                <w:kern w:val="0"/>
                <w:sz w:val="20"/>
                <w:szCs w:val="20"/>
                <w:lang w:bidi="cs-CZ"/>
              </w:rPr>
            </w:pPr>
            <w:r w:rsidRPr="000E723F">
              <w:rPr>
                <w:rFonts w:ascii="Arial" w:eastAsia="Times New Roman" w:hAnsi="Arial" w:cs="Arial"/>
                <w:kern w:val="0"/>
                <w:sz w:val="20"/>
                <w:szCs w:val="20"/>
                <w:lang w:bidi="cs-CZ"/>
              </w:rPr>
              <w:t>Oprava může být snížena na 10 % nebo 5 % podle závažnosti dané nesrovnalosti.</w:t>
            </w:r>
          </w:p>
          <w:p w:rsidR="00576E57" w:rsidRDefault="00576E57" w:rsidP="00CE5285">
            <w:pPr>
              <w:jc w:val="center"/>
              <w:rPr>
                <w:rFonts w:ascii="Arial" w:hAnsi="Arial" w:cs="Arial"/>
                <w:b/>
                <w:sz w:val="20"/>
                <w:szCs w:val="20"/>
              </w:rPr>
            </w:pPr>
          </w:p>
        </w:tc>
      </w:tr>
      <w:tr w:rsidR="00576E57" w:rsidRPr="00954488" w:rsidTr="00CE5285">
        <w:trPr>
          <w:trHeight w:val="567"/>
          <w:tblHeader/>
          <w:jc w:val="center"/>
        </w:trPr>
        <w:tc>
          <w:tcPr>
            <w:tcW w:w="693" w:type="dxa"/>
            <w:shd w:val="clear" w:color="auto" w:fill="auto"/>
            <w:vAlign w:val="center"/>
          </w:tcPr>
          <w:p w:rsidR="00576E57" w:rsidRPr="00954488" w:rsidRDefault="00576E57" w:rsidP="008149E3">
            <w:pPr>
              <w:jc w:val="center"/>
              <w:rPr>
                <w:rFonts w:ascii="Arial" w:hAnsi="Arial" w:cs="Arial"/>
                <w:b/>
                <w:sz w:val="20"/>
                <w:szCs w:val="20"/>
              </w:rPr>
            </w:pPr>
            <w:r>
              <w:rPr>
                <w:rFonts w:ascii="Arial" w:hAnsi="Arial" w:cs="Arial"/>
                <w:b/>
                <w:sz w:val="20"/>
                <w:szCs w:val="20"/>
              </w:rPr>
              <w:t>18</w:t>
            </w:r>
          </w:p>
        </w:tc>
        <w:tc>
          <w:tcPr>
            <w:tcW w:w="4355" w:type="dxa"/>
            <w:shd w:val="clear" w:color="auto" w:fill="auto"/>
            <w:vAlign w:val="center"/>
          </w:tcPr>
          <w:p w:rsidR="00576E57" w:rsidRPr="000E723F" w:rsidRDefault="00576E57" w:rsidP="00576E57">
            <w:pPr>
              <w:jc w:val="both"/>
              <w:rPr>
                <w:rFonts w:ascii="Arial" w:hAnsi="Arial" w:cs="Arial"/>
                <w:b/>
                <w:sz w:val="20"/>
                <w:szCs w:val="20"/>
              </w:rPr>
            </w:pPr>
            <w:r w:rsidRPr="000E723F">
              <w:rPr>
                <w:rFonts w:ascii="Arial" w:hAnsi="Arial" w:cs="Arial"/>
                <w:b/>
                <w:sz w:val="20"/>
                <w:szCs w:val="20"/>
              </w:rPr>
              <w:t>Vyjednávací řízení s předchozím zveřejněním oznámení o zakázce se zásadními změnami podmínek uvedených v oznámení o zakázce nebo zadávacích podmínkách</w:t>
            </w:r>
            <w:r w:rsidR="008149E3">
              <w:rPr>
                <w:rStyle w:val="Znakapoznpodarou"/>
                <w:rFonts w:ascii="Arial" w:hAnsi="Arial" w:cs="Arial"/>
                <w:b/>
                <w:sz w:val="20"/>
                <w:szCs w:val="20"/>
              </w:rPr>
              <w:footnoteReference w:id="4"/>
            </w:r>
          </w:p>
          <w:p w:rsidR="00576E57" w:rsidRPr="00954488" w:rsidRDefault="00576E57" w:rsidP="00576E57">
            <w:pPr>
              <w:jc w:val="both"/>
              <w:rPr>
                <w:rFonts w:ascii="Arial" w:hAnsi="Arial" w:cs="Arial"/>
                <w:b/>
                <w:sz w:val="20"/>
                <w:szCs w:val="20"/>
              </w:rPr>
            </w:pPr>
            <w:r w:rsidRPr="000E723F">
              <w:rPr>
                <w:rFonts w:ascii="Arial" w:hAnsi="Arial" w:cs="Arial"/>
                <w:sz w:val="20"/>
                <w:szCs w:val="20"/>
              </w:rPr>
              <w:t>V rámci vyjednávacího řízení s předchozím zveřejněním oznámení o zakázce se původní podmínky zakázky podstatně změní, což odůvodňuje zveřejnění nového nabídkového řízení.</w:t>
            </w:r>
          </w:p>
        </w:tc>
        <w:tc>
          <w:tcPr>
            <w:tcW w:w="4761" w:type="dxa"/>
            <w:shd w:val="clear" w:color="auto" w:fill="auto"/>
            <w:vAlign w:val="center"/>
          </w:tcPr>
          <w:p w:rsidR="00576E57" w:rsidRPr="000E723F" w:rsidRDefault="00576E57" w:rsidP="00576E57">
            <w:pPr>
              <w:widowControl/>
              <w:tabs>
                <w:tab w:val="center" w:pos="4153"/>
                <w:tab w:val="right" w:pos="8306"/>
              </w:tabs>
              <w:autoSpaceDN/>
              <w:spacing w:after="120"/>
              <w:jc w:val="both"/>
              <w:textAlignment w:val="auto"/>
              <w:rPr>
                <w:rFonts w:ascii="Arial" w:eastAsia="Times New Roman" w:hAnsi="Arial" w:cs="Arial"/>
                <w:kern w:val="0"/>
                <w:sz w:val="20"/>
                <w:szCs w:val="20"/>
                <w:lang w:bidi="cs-CZ"/>
              </w:rPr>
            </w:pPr>
            <w:r w:rsidRPr="000E723F">
              <w:rPr>
                <w:rFonts w:ascii="Arial" w:eastAsia="Times New Roman" w:hAnsi="Arial" w:cs="Arial"/>
                <w:kern w:val="0"/>
                <w:sz w:val="20"/>
                <w:szCs w:val="20"/>
                <w:lang w:bidi="cs-CZ"/>
              </w:rPr>
              <w:t>25 %</w:t>
            </w:r>
          </w:p>
          <w:p w:rsidR="00576E57" w:rsidRPr="000E723F" w:rsidRDefault="00576E57" w:rsidP="00576E57">
            <w:pPr>
              <w:widowControl/>
              <w:autoSpaceDN/>
              <w:spacing w:after="240"/>
              <w:jc w:val="both"/>
              <w:textAlignment w:val="auto"/>
              <w:rPr>
                <w:rFonts w:ascii="Arial" w:eastAsia="Times New Roman" w:hAnsi="Arial" w:cs="Arial"/>
                <w:kern w:val="0"/>
                <w:sz w:val="20"/>
                <w:szCs w:val="20"/>
                <w:lang w:bidi="cs-CZ"/>
              </w:rPr>
            </w:pPr>
            <w:r w:rsidRPr="000E723F">
              <w:rPr>
                <w:rFonts w:ascii="Arial" w:eastAsia="Times New Roman" w:hAnsi="Arial" w:cs="Arial"/>
                <w:kern w:val="0"/>
                <w:sz w:val="20"/>
                <w:szCs w:val="20"/>
                <w:lang w:bidi="cs-CZ"/>
              </w:rPr>
              <w:t>Oprava může být snížena na 10 % nebo 5 % podle závažnosti dané nesrovnalosti.</w:t>
            </w:r>
          </w:p>
          <w:p w:rsidR="00576E57" w:rsidRDefault="00576E57" w:rsidP="00CE5285">
            <w:pPr>
              <w:jc w:val="center"/>
              <w:rPr>
                <w:rFonts w:ascii="Arial" w:hAnsi="Arial" w:cs="Arial"/>
                <w:b/>
                <w:sz w:val="20"/>
                <w:szCs w:val="20"/>
              </w:rPr>
            </w:pPr>
          </w:p>
        </w:tc>
      </w:tr>
      <w:tr w:rsidR="00576E57" w:rsidRPr="00954488" w:rsidTr="00CE5285">
        <w:trPr>
          <w:trHeight w:val="567"/>
          <w:tblHeader/>
          <w:jc w:val="center"/>
        </w:trPr>
        <w:tc>
          <w:tcPr>
            <w:tcW w:w="693" w:type="dxa"/>
            <w:shd w:val="clear" w:color="auto" w:fill="auto"/>
            <w:vAlign w:val="center"/>
          </w:tcPr>
          <w:p w:rsidR="00576E57" w:rsidRPr="00954488" w:rsidRDefault="00576E57" w:rsidP="008149E3">
            <w:pPr>
              <w:jc w:val="center"/>
              <w:rPr>
                <w:rFonts w:ascii="Arial" w:hAnsi="Arial" w:cs="Arial"/>
                <w:b/>
                <w:sz w:val="20"/>
                <w:szCs w:val="20"/>
              </w:rPr>
            </w:pPr>
            <w:r>
              <w:rPr>
                <w:rFonts w:ascii="Arial" w:hAnsi="Arial" w:cs="Arial"/>
                <w:b/>
                <w:sz w:val="20"/>
                <w:szCs w:val="20"/>
              </w:rPr>
              <w:t>19</w:t>
            </w:r>
          </w:p>
        </w:tc>
        <w:tc>
          <w:tcPr>
            <w:tcW w:w="4355" w:type="dxa"/>
            <w:shd w:val="clear" w:color="auto" w:fill="auto"/>
            <w:vAlign w:val="center"/>
          </w:tcPr>
          <w:p w:rsidR="00576E57" w:rsidRPr="000E723F" w:rsidRDefault="00576E57" w:rsidP="00576E57">
            <w:pPr>
              <w:jc w:val="both"/>
              <w:rPr>
                <w:rFonts w:ascii="Arial" w:hAnsi="Arial" w:cs="Arial"/>
                <w:b/>
                <w:sz w:val="20"/>
                <w:szCs w:val="20"/>
              </w:rPr>
            </w:pPr>
            <w:r w:rsidRPr="000E723F">
              <w:rPr>
                <w:rFonts w:ascii="Arial" w:hAnsi="Arial" w:cs="Arial"/>
                <w:b/>
                <w:sz w:val="20"/>
                <w:szCs w:val="20"/>
              </w:rPr>
              <w:t>Odmítnutí mimořádně nízkých nabídek</w:t>
            </w:r>
          </w:p>
          <w:p w:rsidR="00576E57" w:rsidRPr="00954488" w:rsidRDefault="00576E57" w:rsidP="00576E57">
            <w:pPr>
              <w:jc w:val="both"/>
              <w:rPr>
                <w:rFonts w:ascii="Arial" w:hAnsi="Arial" w:cs="Arial"/>
                <w:b/>
                <w:sz w:val="20"/>
                <w:szCs w:val="20"/>
              </w:rPr>
            </w:pPr>
            <w:r w:rsidRPr="000E723F">
              <w:rPr>
                <w:rFonts w:ascii="Arial" w:hAnsi="Arial" w:cs="Arial"/>
                <w:sz w:val="20"/>
                <w:szCs w:val="20"/>
              </w:rPr>
              <w:t>Nabídky se zdají být mimořádně nízké v poměru k výrobkům, stavebním pracím nebo službám, zadavatel však tyto nabídky odmítne, aniž by nejdříve písemně požádal o upřesnění základních prvků nabídky, které považuje za důležité</w:t>
            </w:r>
            <w:r>
              <w:rPr>
                <w:rFonts w:ascii="Arial" w:hAnsi="Arial" w:cs="Arial"/>
                <w:sz w:val="20"/>
                <w:szCs w:val="20"/>
              </w:rPr>
              <w:t>.</w:t>
            </w:r>
          </w:p>
        </w:tc>
        <w:tc>
          <w:tcPr>
            <w:tcW w:w="4761" w:type="dxa"/>
            <w:shd w:val="clear" w:color="auto" w:fill="auto"/>
            <w:vAlign w:val="center"/>
          </w:tcPr>
          <w:p w:rsidR="00576E57" w:rsidRPr="000E723F" w:rsidRDefault="00576E57" w:rsidP="00576E57">
            <w:pPr>
              <w:widowControl/>
              <w:autoSpaceDN/>
              <w:spacing w:after="240"/>
              <w:textAlignment w:val="auto"/>
              <w:rPr>
                <w:rFonts w:ascii="Arial" w:eastAsia="Times New Roman" w:hAnsi="Arial" w:cs="Arial"/>
                <w:kern w:val="0"/>
                <w:sz w:val="20"/>
                <w:szCs w:val="20"/>
                <w:lang w:bidi="cs-CZ"/>
              </w:rPr>
            </w:pPr>
            <w:r w:rsidRPr="000E723F">
              <w:rPr>
                <w:rFonts w:ascii="Arial" w:eastAsia="Times New Roman" w:hAnsi="Arial" w:cs="Arial"/>
                <w:kern w:val="0"/>
                <w:sz w:val="20"/>
                <w:szCs w:val="20"/>
                <w:lang w:bidi="cs-CZ"/>
              </w:rPr>
              <w:t>25 %</w:t>
            </w:r>
          </w:p>
          <w:p w:rsidR="00576E57" w:rsidRDefault="00576E57" w:rsidP="00CE5285">
            <w:pPr>
              <w:jc w:val="center"/>
              <w:rPr>
                <w:rFonts w:ascii="Arial" w:hAnsi="Arial" w:cs="Arial"/>
                <w:b/>
                <w:sz w:val="20"/>
                <w:szCs w:val="20"/>
              </w:rPr>
            </w:pPr>
          </w:p>
        </w:tc>
      </w:tr>
      <w:tr w:rsidR="00576E57" w:rsidRPr="00954488" w:rsidTr="00CE5285">
        <w:trPr>
          <w:trHeight w:val="567"/>
          <w:tblHeader/>
          <w:jc w:val="center"/>
        </w:trPr>
        <w:tc>
          <w:tcPr>
            <w:tcW w:w="693" w:type="dxa"/>
            <w:shd w:val="clear" w:color="auto" w:fill="auto"/>
            <w:vAlign w:val="center"/>
          </w:tcPr>
          <w:p w:rsidR="00576E57" w:rsidRPr="00954488" w:rsidRDefault="00576E57" w:rsidP="008149E3">
            <w:pPr>
              <w:jc w:val="center"/>
              <w:rPr>
                <w:rFonts w:ascii="Arial" w:hAnsi="Arial" w:cs="Arial"/>
                <w:b/>
                <w:sz w:val="20"/>
                <w:szCs w:val="20"/>
              </w:rPr>
            </w:pPr>
            <w:r>
              <w:rPr>
                <w:rFonts w:ascii="Arial" w:hAnsi="Arial" w:cs="Arial"/>
                <w:b/>
                <w:sz w:val="20"/>
                <w:szCs w:val="20"/>
              </w:rPr>
              <w:t>20</w:t>
            </w:r>
          </w:p>
        </w:tc>
        <w:tc>
          <w:tcPr>
            <w:tcW w:w="4355" w:type="dxa"/>
            <w:shd w:val="clear" w:color="auto" w:fill="auto"/>
            <w:vAlign w:val="center"/>
          </w:tcPr>
          <w:p w:rsidR="00576E57" w:rsidRPr="000E723F" w:rsidRDefault="00576E57" w:rsidP="00576E57">
            <w:pPr>
              <w:widowControl/>
              <w:tabs>
                <w:tab w:val="center" w:pos="4153"/>
                <w:tab w:val="right" w:pos="8306"/>
              </w:tabs>
              <w:autoSpaceDN/>
              <w:jc w:val="both"/>
              <w:textAlignment w:val="auto"/>
              <w:rPr>
                <w:rFonts w:ascii="Arial" w:eastAsia="Times New Roman" w:hAnsi="Arial" w:cs="Arial"/>
                <w:b/>
                <w:kern w:val="0"/>
                <w:sz w:val="20"/>
                <w:szCs w:val="20"/>
                <w:lang w:bidi="cs-CZ"/>
              </w:rPr>
            </w:pPr>
            <w:r w:rsidRPr="000E723F">
              <w:rPr>
                <w:rFonts w:ascii="Arial" w:eastAsia="Times New Roman" w:hAnsi="Arial" w:cs="Arial"/>
                <w:b/>
                <w:kern w:val="0"/>
                <w:sz w:val="20"/>
                <w:szCs w:val="20"/>
                <w:lang w:bidi="cs-CZ"/>
              </w:rPr>
              <w:t xml:space="preserve">Střet zájmů </w:t>
            </w:r>
          </w:p>
          <w:p w:rsidR="00576E57" w:rsidRPr="00954488" w:rsidRDefault="00576E57" w:rsidP="00576E57">
            <w:pPr>
              <w:jc w:val="both"/>
              <w:rPr>
                <w:rFonts w:ascii="Arial" w:hAnsi="Arial" w:cs="Arial"/>
                <w:b/>
                <w:sz w:val="20"/>
                <w:szCs w:val="20"/>
              </w:rPr>
            </w:pPr>
            <w:r w:rsidRPr="000E723F">
              <w:rPr>
                <w:rFonts w:ascii="Arial" w:eastAsia="Times New Roman" w:hAnsi="Arial" w:cs="Arial"/>
                <w:kern w:val="0"/>
                <w:sz w:val="20"/>
                <w:szCs w:val="20"/>
                <w:lang w:bidi="cs-CZ"/>
              </w:rPr>
              <w:t>Zjistí-li příslušný soudní nebo správní orgán, že došlo ke střetu zájmů, a to buď u příjemce příspěvku poskytovaného Unií, nebo u zadavatele</w:t>
            </w:r>
            <w:r w:rsidRPr="000E723F">
              <w:rPr>
                <w:rFonts w:ascii="Arial" w:eastAsia="Times New Roman" w:hAnsi="Arial" w:cs="Arial"/>
                <w:kern w:val="0"/>
                <w:sz w:val="22"/>
                <w:szCs w:val="22"/>
                <w:lang w:bidi="cs-CZ"/>
              </w:rPr>
              <w:t>.</w:t>
            </w:r>
          </w:p>
        </w:tc>
        <w:tc>
          <w:tcPr>
            <w:tcW w:w="4761" w:type="dxa"/>
            <w:shd w:val="clear" w:color="auto" w:fill="auto"/>
            <w:vAlign w:val="center"/>
          </w:tcPr>
          <w:p w:rsidR="00576E57" w:rsidRDefault="00576E57" w:rsidP="00576E57">
            <w:pPr>
              <w:rPr>
                <w:rFonts w:ascii="Arial" w:hAnsi="Arial" w:cs="Arial"/>
                <w:b/>
                <w:sz w:val="20"/>
                <w:szCs w:val="20"/>
              </w:rPr>
            </w:pPr>
            <w:r w:rsidRPr="000E723F">
              <w:rPr>
                <w:rFonts w:ascii="Arial" w:hAnsi="Arial" w:cs="Arial"/>
                <w:sz w:val="20"/>
                <w:szCs w:val="20"/>
              </w:rPr>
              <w:t>100 %</w:t>
            </w:r>
          </w:p>
        </w:tc>
      </w:tr>
    </w:tbl>
    <w:p w:rsidR="00CE5285" w:rsidRPr="00CE5285" w:rsidRDefault="00CE5285" w:rsidP="0066566F">
      <w:pPr>
        <w:rPr>
          <w:rFonts w:ascii="Arial" w:hAnsi="Arial" w:cs="Arial"/>
          <w:b/>
          <w:sz w:val="22"/>
          <w:szCs w:val="22"/>
        </w:rPr>
      </w:pPr>
    </w:p>
    <w:p w:rsidR="00CE5285" w:rsidRDefault="00576E57" w:rsidP="00576E57">
      <w:pPr>
        <w:spacing w:after="120"/>
        <w:rPr>
          <w:rFonts w:ascii="Arial" w:hAnsi="Arial" w:cs="Arial"/>
          <w:b/>
          <w:sz w:val="22"/>
          <w:szCs w:val="22"/>
        </w:rPr>
      </w:pPr>
      <w:r w:rsidRPr="00576E57">
        <w:rPr>
          <w:rFonts w:ascii="Arial" w:hAnsi="Arial" w:cs="Arial"/>
          <w:b/>
          <w:sz w:val="22"/>
          <w:szCs w:val="22"/>
        </w:rPr>
        <w:t>1.3 Provádění zakázky</w:t>
      </w:r>
    </w:p>
    <w:tbl>
      <w:tblPr>
        <w:tblStyle w:val="Mkatabulky"/>
        <w:tblW w:w="9809" w:type="dxa"/>
        <w:jc w:val="center"/>
        <w:tblLayout w:type="fixed"/>
        <w:tblCellMar>
          <w:top w:w="28" w:type="dxa"/>
          <w:left w:w="28" w:type="dxa"/>
          <w:bottom w:w="28" w:type="dxa"/>
          <w:right w:w="28" w:type="dxa"/>
        </w:tblCellMar>
        <w:tblLook w:val="04A0" w:firstRow="1" w:lastRow="0" w:firstColumn="1" w:lastColumn="0" w:noHBand="0" w:noVBand="1"/>
      </w:tblPr>
      <w:tblGrid>
        <w:gridCol w:w="693"/>
        <w:gridCol w:w="4355"/>
        <w:gridCol w:w="4761"/>
      </w:tblGrid>
      <w:tr w:rsidR="00576E57" w:rsidRPr="00954488" w:rsidTr="008149E3">
        <w:trPr>
          <w:trHeight w:val="567"/>
          <w:tblHeader/>
          <w:jc w:val="center"/>
        </w:trPr>
        <w:tc>
          <w:tcPr>
            <w:tcW w:w="693" w:type="dxa"/>
            <w:shd w:val="clear" w:color="auto" w:fill="D9D9D9" w:themeFill="background1" w:themeFillShade="D9"/>
            <w:vAlign w:val="center"/>
          </w:tcPr>
          <w:p w:rsidR="00576E57" w:rsidRPr="00954488" w:rsidRDefault="00576E57" w:rsidP="008149E3">
            <w:pPr>
              <w:jc w:val="center"/>
              <w:rPr>
                <w:rFonts w:ascii="Arial" w:hAnsi="Arial" w:cs="Arial"/>
                <w:b/>
                <w:sz w:val="20"/>
                <w:szCs w:val="20"/>
              </w:rPr>
            </w:pPr>
            <w:r w:rsidRPr="00954488">
              <w:rPr>
                <w:rFonts w:ascii="Arial" w:hAnsi="Arial" w:cs="Arial"/>
                <w:b/>
                <w:sz w:val="20"/>
                <w:szCs w:val="20"/>
              </w:rPr>
              <w:t>Č.</w:t>
            </w:r>
          </w:p>
        </w:tc>
        <w:tc>
          <w:tcPr>
            <w:tcW w:w="4355" w:type="dxa"/>
            <w:shd w:val="clear" w:color="auto" w:fill="D9D9D9" w:themeFill="background1" w:themeFillShade="D9"/>
            <w:vAlign w:val="center"/>
          </w:tcPr>
          <w:p w:rsidR="00576E57" w:rsidRPr="00954488" w:rsidRDefault="00576E57" w:rsidP="008149E3">
            <w:pPr>
              <w:jc w:val="center"/>
              <w:rPr>
                <w:rFonts w:ascii="Arial" w:hAnsi="Arial" w:cs="Arial"/>
                <w:b/>
                <w:sz w:val="20"/>
                <w:szCs w:val="20"/>
              </w:rPr>
            </w:pPr>
            <w:r w:rsidRPr="00954488">
              <w:rPr>
                <w:rFonts w:ascii="Arial" w:hAnsi="Arial" w:cs="Arial"/>
                <w:b/>
                <w:sz w:val="20"/>
                <w:szCs w:val="20"/>
              </w:rPr>
              <w:t>Popis porušení</w:t>
            </w:r>
          </w:p>
        </w:tc>
        <w:tc>
          <w:tcPr>
            <w:tcW w:w="4761" w:type="dxa"/>
            <w:shd w:val="clear" w:color="auto" w:fill="D9D9D9" w:themeFill="background1" w:themeFillShade="D9"/>
            <w:vAlign w:val="center"/>
          </w:tcPr>
          <w:p w:rsidR="00576E57" w:rsidRPr="00954488" w:rsidRDefault="00576E57" w:rsidP="008149E3">
            <w:pPr>
              <w:jc w:val="center"/>
              <w:rPr>
                <w:rFonts w:ascii="Arial" w:hAnsi="Arial" w:cs="Arial"/>
                <w:b/>
                <w:sz w:val="20"/>
                <w:szCs w:val="20"/>
              </w:rPr>
            </w:pPr>
            <w:r>
              <w:rPr>
                <w:rFonts w:ascii="Arial" w:hAnsi="Arial" w:cs="Arial"/>
                <w:b/>
                <w:sz w:val="20"/>
                <w:szCs w:val="20"/>
              </w:rPr>
              <w:t>Procentní rozmezí sazby pro výpočet sníženého odvodu</w:t>
            </w:r>
            <w:r w:rsidRPr="00CE5285">
              <w:rPr>
                <w:rFonts w:ascii="Arial" w:hAnsi="Arial" w:cs="Arial"/>
                <w:b/>
                <w:sz w:val="20"/>
                <w:szCs w:val="20"/>
                <w:vertAlign w:val="superscript"/>
              </w:rPr>
              <w:t>1</w:t>
            </w:r>
          </w:p>
        </w:tc>
      </w:tr>
      <w:tr w:rsidR="00576E57" w:rsidRPr="00954488" w:rsidTr="00576E57">
        <w:trPr>
          <w:trHeight w:val="567"/>
          <w:tblHeader/>
          <w:jc w:val="center"/>
        </w:trPr>
        <w:tc>
          <w:tcPr>
            <w:tcW w:w="693" w:type="dxa"/>
            <w:shd w:val="clear" w:color="auto" w:fill="auto"/>
            <w:vAlign w:val="center"/>
          </w:tcPr>
          <w:p w:rsidR="00576E57" w:rsidRPr="00954488" w:rsidRDefault="00352173" w:rsidP="008149E3">
            <w:pPr>
              <w:jc w:val="center"/>
              <w:rPr>
                <w:rFonts w:ascii="Arial" w:hAnsi="Arial" w:cs="Arial"/>
                <w:b/>
                <w:sz w:val="20"/>
                <w:szCs w:val="20"/>
              </w:rPr>
            </w:pPr>
            <w:r>
              <w:rPr>
                <w:rFonts w:ascii="Arial" w:hAnsi="Arial" w:cs="Arial"/>
                <w:b/>
                <w:sz w:val="20"/>
                <w:szCs w:val="20"/>
              </w:rPr>
              <w:t>21</w:t>
            </w:r>
          </w:p>
        </w:tc>
        <w:tc>
          <w:tcPr>
            <w:tcW w:w="4355" w:type="dxa"/>
            <w:shd w:val="clear" w:color="auto" w:fill="auto"/>
            <w:vAlign w:val="center"/>
          </w:tcPr>
          <w:p w:rsidR="00352173" w:rsidRPr="00F76535" w:rsidRDefault="00352173" w:rsidP="00352173">
            <w:pPr>
              <w:jc w:val="both"/>
              <w:rPr>
                <w:rFonts w:ascii="Arial" w:hAnsi="Arial" w:cs="Arial"/>
                <w:sz w:val="20"/>
                <w:szCs w:val="20"/>
              </w:rPr>
            </w:pPr>
            <w:r w:rsidRPr="00F76535">
              <w:rPr>
                <w:rFonts w:ascii="Arial" w:hAnsi="Arial" w:cs="Arial"/>
                <w:b/>
                <w:sz w:val="20"/>
                <w:szCs w:val="20"/>
              </w:rPr>
              <w:t>Podstatná změna prvků zakázky uvedených v oznámení o za</w:t>
            </w:r>
            <w:r>
              <w:rPr>
                <w:rFonts w:ascii="Arial" w:hAnsi="Arial" w:cs="Arial"/>
                <w:b/>
                <w:sz w:val="20"/>
                <w:szCs w:val="20"/>
              </w:rPr>
              <w:t>kázce nebo zadávacích podmínkách</w:t>
            </w:r>
            <w:r w:rsidR="008149E3">
              <w:rPr>
                <w:rFonts w:ascii="Arial" w:hAnsi="Arial" w:cs="Arial"/>
                <w:b/>
                <w:sz w:val="20"/>
                <w:szCs w:val="20"/>
                <w:vertAlign w:val="superscript"/>
              </w:rPr>
              <w:t>4</w:t>
            </w:r>
          </w:p>
          <w:p w:rsidR="00576E57" w:rsidRPr="00954488" w:rsidRDefault="00352173" w:rsidP="008149E3">
            <w:pPr>
              <w:jc w:val="both"/>
              <w:rPr>
                <w:rFonts w:ascii="Arial" w:hAnsi="Arial" w:cs="Arial"/>
                <w:b/>
                <w:sz w:val="20"/>
                <w:szCs w:val="20"/>
              </w:rPr>
            </w:pPr>
            <w:r w:rsidRPr="00F76535">
              <w:rPr>
                <w:rFonts w:ascii="Arial" w:hAnsi="Arial" w:cs="Arial"/>
                <w:sz w:val="20"/>
                <w:szCs w:val="20"/>
              </w:rPr>
              <w:t>Základní prvky zadání zakázky mimo jiné zahrnují cenu</w:t>
            </w:r>
            <w:r w:rsidR="008149E3">
              <w:rPr>
                <w:rStyle w:val="Znakapoznpodarou"/>
                <w:rFonts w:ascii="Arial" w:hAnsi="Arial" w:cs="Arial"/>
                <w:sz w:val="20"/>
                <w:szCs w:val="20"/>
              </w:rPr>
              <w:footnoteReference w:id="5"/>
            </w:r>
            <w:r w:rsidRPr="00F76535">
              <w:rPr>
                <w:rFonts w:ascii="Arial" w:hAnsi="Arial" w:cs="Arial"/>
                <w:sz w:val="20"/>
                <w:szCs w:val="20"/>
              </w:rPr>
              <w:t>, povahu prací, lhůtu pro dokončení, platební podmínky a použité materiály. Pokud jde o to, co představuje základní prvek, je vždy nezbytné provést analýzu na základě posouzení jednotlivých případů.</w:t>
            </w:r>
          </w:p>
        </w:tc>
        <w:tc>
          <w:tcPr>
            <w:tcW w:w="4761" w:type="dxa"/>
            <w:shd w:val="clear" w:color="auto" w:fill="auto"/>
            <w:vAlign w:val="center"/>
          </w:tcPr>
          <w:p w:rsidR="00352173" w:rsidRPr="00F76535" w:rsidRDefault="00352173" w:rsidP="00352173">
            <w:pPr>
              <w:widowControl/>
              <w:autoSpaceDN/>
              <w:spacing w:after="120"/>
              <w:jc w:val="both"/>
              <w:textAlignment w:val="auto"/>
              <w:rPr>
                <w:rFonts w:ascii="Arial" w:eastAsia="Times New Roman" w:hAnsi="Arial" w:cs="Arial"/>
                <w:kern w:val="0"/>
                <w:sz w:val="20"/>
                <w:szCs w:val="20"/>
                <w:lang w:bidi="cs-CZ"/>
              </w:rPr>
            </w:pPr>
            <w:r w:rsidRPr="00F76535">
              <w:rPr>
                <w:rFonts w:ascii="Arial" w:eastAsia="Times New Roman" w:hAnsi="Arial" w:cs="Arial"/>
                <w:kern w:val="0"/>
                <w:sz w:val="20"/>
                <w:szCs w:val="20"/>
                <w:lang w:bidi="cs-CZ"/>
              </w:rPr>
              <w:t>25 % výše zakázky</w:t>
            </w:r>
            <w:r>
              <w:rPr>
                <w:rFonts w:ascii="Arial" w:eastAsia="Times New Roman" w:hAnsi="Arial" w:cs="Arial"/>
                <w:kern w:val="0"/>
                <w:sz w:val="20"/>
                <w:szCs w:val="20"/>
                <w:lang w:bidi="cs-CZ"/>
              </w:rPr>
              <w:t xml:space="preserve"> </w:t>
            </w:r>
            <w:r w:rsidRPr="00F76535">
              <w:rPr>
                <w:rFonts w:ascii="Arial" w:eastAsia="Times New Roman" w:hAnsi="Arial" w:cs="Arial"/>
                <w:kern w:val="0"/>
                <w:sz w:val="20"/>
                <w:szCs w:val="20"/>
                <w:lang w:bidi="cs-CZ"/>
              </w:rPr>
              <w:t>plus</w:t>
            </w:r>
            <w:r>
              <w:rPr>
                <w:rFonts w:ascii="Arial" w:eastAsia="Times New Roman" w:hAnsi="Arial" w:cs="Arial"/>
                <w:kern w:val="0"/>
                <w:sz w:val="20"/>
                <w:szCs w:val="20"/>
                <w:lang w:bidi="cs-CZ"/>
              </w:rPr>
              <w:t xml:space="preserve"> </w:t>
            </w:r>
            <w:r w:rsidRPr="00F76535">
              <w:rPr>
                <w:rFonts w:ascii="Arial" w:eastAsia="Times New Roman" w:hAnsi="Arial" w:cs="Arial"/>
                <w:kern w:val="0"/>
                <w:sz w:val="20"/>
                <w:szCs w:val="20"/>
                <w:lang w:bidi="cs-CZ"/>
              </w:rPr>
              <w:t>výše dodatečné částky zakázky vyplývající z podstatných změn prvků zakázky.</w:t>
            </w:r>
          </w:p>
          <w:p w:rsidR="00576E57" w:rsidRDefault="00576E57" w:rsidP="008149E3">
            <w:pPr>
              <w:jc w:val="center"/>
              <w:rPr>
                <w:rFonts w:ascii="Arial" w:hAnsi="Arial" w:cs="Arial"/>
                <w:b/>
                <w:sz w:val="20"/>
                <w:szCs w:val="20"/>
              </w:rPr>
            </w:pPr>
          </w:p>
        </w:tc>
      </w:tr>
      <w:tr w:rsidR="00576E57" w:rsidRPr="00954488" w:rsidTr="00576E57">
        <w:trPr>
          <w:trHeight w:val="567"/>
          <w:tblHeader/>
          <w:jc w:val="center"/>
        </w:trPr>
        <w:tc>
          <w:tcPr>
            <w:tcW w:w="693" w:type="dxa"/>
            <w:shd w:val="clear" w:color="auto" w:fill="auto"/>
            <w:vAlign w:val="center"/>
          </w:tcPr>
          <w:p w:rsidR="00576E57" w:rsidRPr="00954488" w:rsidRDefault="00352173" w:rsidP="008149E3">
            <w:pPr>
              <w:jc w:val="center"/>
              <w:rPr>
                <w:rFonts w:ascii="Arial" w:hAnsi="Arial" w:cs="Arial"/>
                <w:b/>
                <w:sz w:val="20"/>
                <w:szCs w:val="20"/>
              </w:rPr>
            </w:pPr>
            <w:r>
              <w:rPr>
                <w:rFonts w:ascii="Arial" w:hAnsi="Arial" w:cs="Arial"/>
                <w:b/>
                <w:sz w:val="20"/>
                <w:szCs w:val="20"/>
              </w:rPr>
              <w:t>22</w:t>
            </w:r>
          </w:p>
        </w:tc>
        <w:tc>
          <w:tcPr>
            <w:tcW w:w="4355" w:type="dxa"/>
            <w:shd w:val="clear" w:color="auto" w:fill="auto"/>
            <w:vAlign w:val="center"/>
          </w:tcPr>
          <w:p w:rsidR="00352173" w:rsidRPr="00F76535" w:rsidRDefault="00352173" w:rsidP="00352173">
            <w:pPr>
              <w:tabs>
                <w:tab w:val="left" w:pos="2302"/>
              </w:tabs>
              <w:snapToGrid w:val="0"/>
              <w:jc w:val="both"/>
              <w:rPr>
                <w:rFonts w:ascii="Arial" w:hAnsi="Arial" w:cs="Arial"/>
                <w:sz w:val="20"/>
                <w:szCs w:val="20"/>
              </w:rPr>
            </w:pPr>
            <w:r w:rsidRPr="00F76535">
              <w:rPr>
                <w:rFonts w:ascii="Arial" w:hAnsi="Arial" w:cs="Arial"/>
                <w:b/>
                <w:sz w:val="20"/>
                <w:szCs w:val="20"/>
              </w:rPr>
              <w:t>Omezení rozsahu zakázky</w:t>
            </w:r>
            <w:r w:rsidRPr="00F76535">
              <w:rPr>
                <w:rFonts w:ascii="Arial" w:hAnsi="Arial" w:cs="Arial"/>
                <w:sz w:val="20"/>
                <w:szCs w:val="20"/>
              </w:rPr>
              <w:t xml:space="preserve"> </w:t>
            </w:r>
          </w:p>
          <w:p w:rsidR="00576E57" w:rsidRPr="00954488" w:rsidRDefault="00352173" w:rsidP="00352173">
            <w:pPr>
              <w:jc w:val="both"/>
              <w:rPr>
                <w:rFonts w:ascii="Arial" w:hAnsi="Arial" w:cs="Arial"/>
                <w:b/>
                <w:sz w:val="20"/>
                <w:szCs w:val="20"/>
              </w:rPr>
            </w:pPr>
            <w:r w:rsidRPr="00F76535">
              <w:rPr>
                <w:rFonts w:ascii="Arial" w:hAnsi="Arial" w:cs="Arial"/>
                <w:sz w:val="20"/>
                <w:szCs w:val="20"/>
              </w:rPr>
              <w:t>Zakázka byla zadána v souladu se směrnicemi, ale následovalo omezení jejího rozsahu.</w:t>
            </w:r>
          </w:p>
        </w:tc>
        <w:tc>
          <w:tcPr>
            <w:tcW w:w="4761" w:type="dxa"/>
            <w:shd w:val="clear" w:color="auto" w:fill="auto"/>
            <w:vAlign w:val="center"/>
          </w:tcPr>
          <w:p w:rsidR="00352173" w:rsidRPr="00F76535" w:rsidRDefault="00352173" w:rsidP="00352173">
            <w:pPr>
              <w:tabs>
                <w:tab w:val="left" w:pos="2302"/>
              </w:tabs>
              <w:snapToGrid w:val="0"/>
              <w:jc w:val="both"/>
              <w:rPr>
                <w:rFonts w:ascii="Arial" w:hAnsi="Arial" w:cs="Arial"/>
                <w:sz w:val="20"/>
                <w:szCs w:val="20"/>
              </w:rPr>
            </w:pPr>
            <w:r w:rsidRPr="00F76535">
              <w:rPr>
                <w:rFonts w:ascii="Arial" w:hAnsi="Arial" w:cs="Arial"/>
                <w:sz w:val="20"/>
                <w:szCs w:val="20"/>
              </w:rPr>
              <w:t>Hodnota omezení rozsahu</w:t>
            </w:r>
          </w:p>
          <w:p w:rsidR="00576E57" w:rsidRDefault="00352173" w:rsidP="00352173">
            <w:pPr>
              <w:jc w:val="both"/>
              <w:rPr>
                <w:rFonts w:ascii="Arial" w:hAnsi="Arial" w:cs="Arial"/>
                <w:b/>
                <w:sz w:val="20"/>
                <w:szCs w:val="20"/>
              </w:rPr>
            </w:pPr>
            <w:r>
              <w:rPr>
                <w:rFonts w:ascii="Arial" w:hAnsi="Arial" w:cs="Arial"/>
                <w:sz w:val="20"/>
                <w:szCs w:val="20"/>
              </w:rPr>
              <w:t>p</w:t>
            </w:r>
            <w:r w:rsidRPr="00F76535">
              <w:rPr>
                <w:rFonts w:ascii="Arial" w:hAnsi="Arial" w:cs="Arial"/>
                <w:sz w:val="20"/>
                <w:szCs w:val="20"/>
              </w:rPr>
              <w:t>lus</w:t>
            </w:r>
            <w:r>
              <w:rPr>
                <w:rFonts w:ascii="Arial" w:hAnsi="Arial" w:cs="Arial"/>
                <w:sz w:val="20"/>
                <w:szCs w:val="20"/>
              </w:rPr>
              <w:t xml:space="preserve"> </w:t>
            </w:r>
            <w:r w:rsidRPr="00F76535">
              <w:rPr>
                <w:rFonts w:ascii="Arial" w:hAnsi="Arial" w:cs="Arial"/>
                <w:sz w:val="20"/>
                <w:szCs w:val="20"/>
              </w:rPr>
              <w:t>25 % celkové hodnoty konečného rozsahu (pouze je-li uvedené omezení rozsahu</w:t>
            </w:r>
            <w:r>
              <w:rPr>
                <w:rFonts w:ascii="Arial" w:hAnsi="Arial" w:cs="Arial"/>
                <w:sz w:val="20"/>
                <w:szCs w:val="20"/>
              </w:rPr>
              <w:t xml:space="preserve"> </w:t>
            </w:r>
            <w:r w:rsidRPr="00F76535">
              <w:rPr>
                <w:rFonts w:ascii="Arial" w:hAnsi="Arial" w:cs="Arial"/>
                <w:sz w:val="20"/>
                <w:szCs w:val="20"/>
              </w:rPr>
              <w:t>zakázky významné).</w:t>
            </w:r>
          </w:p>
        </w:tc>
      </w:tr>
      <w:tr w:rsidR="00576E57" w:rsidRPr="00954488" w:rsidTr="00576E57">
        <w:trPr>
          <w:trHeight w:val="567"/>
          <w:tblHeader/>
          <w:jc w:val="center"/>
        </w:trPr>
        <w:tc>
          <w:tcPr>
            <w:tcW w:w="693" w:type="dxa"/>
            <w:shd w:val="clear" w:color="auto" w:fill="auto"/>
            <w:vAlign w:val="center"/>
          </w:tcPr>
          <w:p w:rsidR="00576E57" w:rsidRPr="00954488" w:rsidRDefault="00352173" w:rsidP="008149E3">
            <w:pPr>
              <w:jc w:val="center"/>
              <w:rPr>
                <w:rFonts w:ascii="Arial" w:hAnsi="Arial" w:cs="Arial"/>
                <w:b/>
                <w:sz w:val="20"/>
                <w:szCs w:val="20"/>
              </w:rPr>
            </w:pPr>
            <w:r>
              <w:rPr>
                <w:rFonts w:ascii="Arial" w:hAnsi="Arial" w:cs="Arial"/>
                <w:b/>
                <w:sz w:val="20"/>
                <w:szCs w:val="20"/>
              </w:rPr>
              <w:t>23</w:t>
            </w:r>
          </w:p>
        </w:tc>
        <w:tc>
          <w:tcPr>
            <w:tcW w:w="4355" w:type="dxa"/>
            <w:shd w:val="clear" w:color="auto" w:fill="auto"/>
            <w:vAlign w:val="center"/>
          </w:tcPr>
          <w:p w:rsidR="00352173" w:rsidRPr="00F76535" w:rsidRDefault="00352173" w:rsidP="00352173">
            <w:pPr>
              <w:widowControl/>
              <w:autoSpaceDN/>
              <w:jc w:val="both"/>
              <w:textAlignment w:val="auto"/>
              <w:rPr>
                <w:rFonts w:ascii="Arial" w:eastAsia="Times New Roman" w:hAnsi="Arial" w:cs="Arial"/>
                <w:kern w:val="0"/>
                <w:sz w:val="20"/>
                <w:szCs w:val="20"/>
                <w:lang w:bidi="cs-CZ"/>
              </w:rPr>
            </w:pPr>
            <w:r w:rsidRPr="00F76535">
              <w:rPr>
                <w:rFonts w:ascii="Arial" w:eastAsia="Times New Roman" w:hAnsi="Arial" w:cs="Arial"/>
                <w:b/>
                <w:kern w:val="0"/>
                <w:sz w:val="20"/>
                <w:szCs w:val="20"/>
                <w:lang w:bidi="cs-CZ"/>
              </w:rPr>
              <w:t>Zadávání zakázek na dodatečné práce/služby/dodávky</w:t>
            </w:r>
            <w:r w:rsidRPr="00F76535">
              <w:rPr>
                <w:rFonts w:ascii="Arial" w:eastAsia="Times New Roman" w:hAnsi="Arial" w:cs="Arial"/>
                <w:kern w:val="0"/>
                <w:sz w:val="20"/>
                <w:szCs w:val="20"/>
                <w:lang w:bidi="cs-CZ"/>
              </w:rPr>
              <w:t xml:space="preserve"> (pokud takové zadání představuje významnou změnu původních podmínek zakázky</w:t>
            </w:r>
            <w:r w:rsidR="008149E3">
              <w:rPr>
                <w:rFonts w:ascii="Arial" w:eastAsia="Times New Roman" w:hAnsi="Arial" w:cs="Arial"/>
                <w:kern w:val="0"/>
                <w:sz w:val="20"/>
                <w:szCs w:val="20"/>
                <w:vertAlign w:val="superscript"/>
                <w:lang w:bidi="cs-CZ"/>
              </w:rPr>
              <w:t>4</w:t>
            </w:r>
            <w:r w:rsidRPr="00F76535">
              <w:rPr>
                <w:rFonts w:ascii="Arial" w:eastAsia="Times New Roman" w:hAnsi="Arial" w:cs="Arial"/>
                <w:kern w:val="0"/>
                <w:sz w:val="20"/>
                <w:szCs w:val="20"/>
                <w:lang w:bidi="cs-CZ"/>
              </w:rPr>
              <w:t>) bez hospodářské soutěže, aniž je splněna jedna z následujících podmínek</w:t>
            </w:r>
            <w:r>
              <w:rPr>
                <w:rFonts w:ascii="Arial" w:eastAsia="Times New Roman" w:hAnsi="Arial" w:cs="Arial"/>
                <w:kern w:val="0"/>
                <w:sz w:val="20"/>
                <w:szCs w:val="20"/>
                <w:lang w:bidi="cs-CZ"/>
              </w:rPr>
              <w:t>:</w:t>
            </w:r>
          </w:p>
          <w:p w:rsidR="00352173" w:rsidRPr="00F76535" w:rsidRDefault="00352173" w:rsidP="00352173">
            <w:pPr>
              <w:widowControl/>
              <w:numPr>
                <w:ilvl w:val="0"/>
                <w:numId w:val="43"/>
              </w:numPr>
              <w:suppressAutoHyphens w:val="0"/>
              <w:autoSpaceDN/>
              <w:spacing w:before="120" w:after="240"/>
              <w:contextualSpacing/>
              <w:jc w:val="both"/>
              <w:textAlignment w:val="auto"/>
              <w:rPr>
                <w:rFonts w:ascii="Arial" w:eastAsia="Times New Roman" w:hAnsi="Arial" w:cs="Arial"/>
                <w:kern w:val="0"/>
                <w:sz w:val="20"/>
                <w:szCs w:val="20"/>
                <w:lang w:bidi="cs-CZ"/>
              </w:rPr>
            </w:pPr>
            <w:r w:rsidRPr="00F76535">
              <w:rPr>
                <w:rFonts w:ascii="Arial" w:eastAsia="Times New Roman" w:hAnsi="Arial" w:cs="Arial"/>
                <w:kern w:val="0"/>
                <w:sz w:val="20"/>
                <w:szCs w:val="20"/>
                <w:lang w:bidi="cs-CZ"/>
              </w:rPr>
              <w:t xml:space="preserve">krajní naléhavost způsobená nepředvídatelnými událostmi, </w:t>
            </w:r>
          </w:p>
          <w:p w:rsidR="00352173" w:rsidRPr="00F76535" w:rsidRDefault="00352173" w:rsidP="00352173">
            <w:pPr>
              <w:widowControl/>
              <w:numPr>
                <w:ilvl w:val="0"/>
                <w:numId w:val="43"/>
              </w:numPr>
              <w:suppressAutoHyphens w:val="0"/>
              <w:autoSpaceDN/>
              <w:snapToGrid w:val="0"/>
              <w:spacing w:before="120" w:after="480"/>
              <w:contextualSpacing/>
              <w:jc w:val="both"/>
              <w:textAlignment w:val="auto"/>
              <w:rPr>
                <w:rFonts w:ascii="Arial" w:eastAsia="Times New Roman" w:hAnsi="Arial" w:cs="Arial"/>
                <w:kern w:val="0"/>
                <w:sz w:val="20"/>
                <w:szCs w:val="20"/>
                <w:lang w:bidi="cs-CZ"/>
              </w:rPr>
            </w:pPr>
            <w:r w:rsidRPr="00F76535">
              <w:rPr>
                <w:rFonts w:ascii="Arial" w:eastAsia="Times New Roman" w:hAnsi="Arial" w:cs="Arial"/>
                <w:kern w:val="0"/>
                <w:sz w:val="20"/>
                <w:szCs w:val="20"/>
                <w:lang w:bidi="cs-CZ"/>
              </w:rPr>
              <w:t>nepředvídaná okolnost</w:t>
            </w:r>
            <w:r w:rsidR="008149E3">
              <w:rPr>
                <w:rStyle w:val="Znakapoznpodarou"/>
                <w:rFonts w:ascii="Arial" w:eastAsia="Times New Roman" w:hAnsi="Arial" w:cs="Arial"/>
                <w:kern w:val="0"/>
                <w:sz w:val="20"/>
                <w:szCs w:val="20"/>
                <w:lang w:bidi="cs-CZ"/>
              </w:rPr>
              <w:footnoteReference w:id="6"/>
            </w:r>
            <w:r w:rsidRPr="00F76535">
              <w:rPr>
                <w:rFonts w:ascii="Arial" w:eastAsia="Times New Roman" w:hAnsi="Arial" w:cs="Arial"/>
                <w:kern w:val="0"/>
                <w:sz w:val="20"/>
                <w:szCs w:val="20"/>
                <w:lang w:bidi="cs-CZ"/>
              </w:rPr>
              <w:t xml:space="preserve"> pro doplňkové práce, služby, dodávky.</w:t>
            </w:r>
          </w:p>
          <w:p w:rsidR="00576E57" w:rsidRPr="00954488" w:rsidRDefault="00352173" w:rsidP="00352173">
            <w:pPr>
              <w:jc w:val="both"/>
              <w:rPr>
                <w:rFonts w:ascii="Arial" w:hAnsi="Arial" w:cs="Arial"/>
                <w:b/>
                <w:sz w:val="20"/>
                <w:szCs w:val="20"/>
              </w:rPr>
            </w:pPr>
            <w:r w:rsidRPr="00F76535">
              <w:rPr>
                <w:rFonts w:ascii="Arial" w:eastAsia="Times New Roman" w:hAnsi="Arial" w:cs="Arial"/>
                <w:kern w:val="0"/>
                <w:sz w:val="20"/>
                <w:szCs w:val="20"/>
                <w:lang w:bidi="cs-CZ"/>
              </w:rPr>
              <w:t>Hlavní zakázka byla zadána v souladu s příslušnými předpisy, ale následovalo zadání jedné nebo více zakázek na dodatečné práce/ služby/dodávky (ať už formalizované písemnou formou, či nikoli) v rozporu s ustanoveními uvedených směrnic, jmenovitě s ustanoveními týkajícími se vyjednávacího řízení bez uveřejnění z důvodů krajní naléhavosti způsobené nepředvídatelnými událostmi nebo zadání doplňkových dodávek, prací nebo služeb.</w:t>
            </w:r>
          </w:p>
        </w:tc>
        <w:tc>
          <w:tcPr>
            <w:tcW w:w="4761" w:type="dxa"/>
            <w:shd w:val="clear" w:color="auto" w:fill="auto"/>
            <w:vAlign w:val="center"/>
          </w:tcPr>
          <w:p w:rsidR="00352173" w:rsidRPr="00F76535" w:rsidRDefault="00352173" w:rsidP="00352173">
            <w:pPr>
              <w:widowControl/>
              <w:tabs>
                <w:tab w:val="left" w:pos="2302"/>
              </w:tabs>
              <w:autoSpaceDN/>
              <w:snapToGrid w:val="0"/>
              <w:spacing w:after="240"/>
              <w:jc w:val="both"/>
              <w:textAlignment w:val="auto"/>
              <w:rPr>
                <w:rFonts w:ascii="Arial" w:eastAsia="Times New Roman" w:hAnsi="Arial" w:cs="Arial"/>
                <w:kern w:val="0"/>
                <w:sz w:val="20"/>
                <w:szCs w:val="20"/>
                <w:lang w:bidi="cs-CZ"/>
              </w:rPr>
            </w:pPr>
            <w:r w:rsidRPr="00F76535">
              <w:rPr>
                <w:rFonts w:ascii="Arial" w:eastAsia="Times New Roman" w:hAnsi="Arial" w:cs="Arial"/>
                <w:kern w:val="0"/>
                <w:sz w:val="20"/>
                <w:szCs w:val="20"/>
                <w:lang w:bidi="cs-CZ"/>
              </w:rPr>
              <w:t>100 % hodnoty doplňkových zakázek.</w:t>
            </w:r>
          </w:p>
          <w:p w:rsidR="00576E57" w:rsidRDefault="00352173" w:rsidP="00352173">
            <w:pPr>
              <w:jc w:val="both"/>
              <w:rPr>
                <w:rFonts w:ascii="Arial" w:hAnsi="Arial" w:cs="Arial"/>
                <w:b/>
                <w:sz w:val="20"/>
                <w:szCs w:val="20"/>
              </w:rPr>
            </w:pPr>
            <w:r w:rsidRPr="00F76535">
              <w:rPr>
                <w:rFonts w:ascii="Arial" w:eastAsia="Times New Roman" w:hAnsi="Arial" w:cs="Arial"/>
                <w:kern w:val="0"/>
                <w:sz w:val="20"/>
                <w:szCs w:val="20"/>
                <w:lang w:bidi="cs-CZ"/>
              </w:rPr>
              <w:t>Pokud celková hodnota dodatečných prací/služeb/dodávek (ať už formalizovaná písemnou formou, či nikoli) zadaná v rozporu s ustanoveními směrnic nepřesahuje prahové hodnoty stanovené v těchto směrnicích a 50 % hodnoty původní zakázky, může být oprava snížena na 25 %.</w:t>
            </w:r>
          </w:p>
        </w:tc>
      </w:tr>
      <w:tr w:rsidR="00576E57" w:rsidRPr="00954488" w:rsidTr="00576E57">
        <w:trPr>
          <w:trHeight w:val="567"/>
          <w:tblHeader/>
          <w:jc w:val="center"/>
        </w:trPr>
        <w:tc>
          <w:tcPr>
            <w:tcW w:w="693" w:type="dxa"/>
            <w:shd w:val="clear" w:color="auto" w:fill="auto"/>
            <w:vAlign w:val="center"/>
          </w:tcPr>
          <w:p w:rsidR="00576E57" w:rsidRPr="00954488" w:rsidRDefault="00352173" w:rsidP="008149E3">
            <w:pPr>
              <w:jc w:val="center"/>
              <w:rPr>
                <w:rFonts w:ascii="Arial" w:hAnsi="Arial" w:cs="Arial"/>
                <w:b/>
                <w:sz w:val="20"/>
                <w:szCs w:val="20"/>
              </w:rPr>
            </w:pPr>
            <w:r>
              <w:rPr>
                <w:rFonts w:ascii="Arial" w:hAnsi="Arial" w:cs="Arial"/>
                <w:b/>
                <w:sz w:val="20"/>
                <w:szCs w:val="20"/>
              </w:rPr>
              <w:t>24</w:t>
            </w:r>
          </w:p>
        </w:tc>
        <w:tc>
          <w:tcPr>
            <w:tcW w:w="4355" w:type="dxa"/>
            <w:shd w:val="clear" w:color="auto" w:fill="auto"/>
            <w:vAlign w:val="center"/>
          </w:tcPr>
          <w:p w:rsidR="00352173" w:rsidRPr="00F76535" w:rsidRDefault="00352173" w:rsidP="00352173">
            <w:pPr>
              <w:jc w:val="both"/>
              <w:rPr>
                <w:rFonts w:ascii="Arial" w:hAnsi="Arial" w:cs="Arial"/>
                <w:b/>
                <w:sz w:val="20"/>
                <w:szCs w:val="20"/>
              </w:rPr>
            </w:pPr>
            <w:r w:rsidRPr="00F76535">
              <w:rPr>
                <w:rFonts w:ascii="Arial" w:hAnsi="Arial" w:cs="Arial"/>
                <w:b/>
                <w:sz w:val="20"/>
                <w:szCs w:val="20"/>
              </w:rPr>
              <w:t xml:space="preserve">Dodatečné práce nebo služby překračující limit stanovený v příslušných ustanoveních </w:t>
            </w:r>
          </w:p>
          <w:p w:rsidR="00576E57" w:rsidRPr="00954488" w:rsidRDefault="00352173" w:rsidP="008149E3">
            <w:pPr>
              <w:jc w:val="both"/>
              <w:rPr>
                <w:rFonts w:ascii="Arial" w:hAnsi="Arial" w:cs="Arial"/>
                <w:b/>
                <w:sz w:val="20"/>
                <w:szCs w:val="20"/>
              </w:rPr>
            </w:pPr>
            <w:r w:rsidRPr="00F76535">
              <w:rPr>
                <w:rFonts w:ascii="Arial" w:hAnsi="Arial" w:cs="Arial"/>
                <w:sz w:val="20"/>
                <w:szCs w:val="20"/>
              </w:rPr>
              <w:t>Hlavní zakázka byla zadána v souladu s ustanoveními směrnic, ale následovalo zadání jedné nebo více doplňkových zakázek, které překračují hodnotu původní zakázky o více než 50 %</w:t>
            </w:r>
            <w:r w:rsidR="008149E3">
              <w:rPr>
                <w:rStyle w:val="Znakapoznpodarou"/>
                <w:rFonts w:ascii="Arial" w:hAnsi="Arial" w:cs="Arial"/>
                <w:sz w:val="20"/>
                <w:szCs w:val="20"/>
              </w:rPr>
              <w:footnoteReference w:id="7"/>
            </w:r>
            <w:r w:rsidRPr="00F76535">
              <w:rPr>
                <w:rFonts w:ascii="Arial" w:hAnsi="Arial" w:cs="Arial"/>
                <w:sz w:val="20"/>
                <w:szCs w:val="20"/>
              </w:rPr>
              <w:t>.</w:t>
            </w:r>
          </w:p>
        </w:tc>
        <w:tc>
          <w:tcPr>
            <w:tcW w:w="4761" w:type="dxa"/>
            <w:shd w:val="clear" w:color="auto" w:fill="auto"/>
            <w:vAlign w:val="center"/>
          </w:tcPr>
          <w:p w:rsidR="00576E57" w:rsidRDefault="00352173" w:rsidP="00352173">
            <w:pPr>
              <w:jc w:val="both"/>
              <w:rPr>
                <w:rFonts w:ascii="Arial" w:hAnsi="Arial" w:cs="Arial"/>
                <w:b/>
                <w:sz w:val="20"/>
                <w:szCs w:val="20"/>
              </w:rPr>
            </w:pPr>
            <w:r w:rsidRPr="00F76535">
              <w:rPr>
                <w:rFonts w:ascii="Arial" w:hAnsi="Arial" w:cs="Arial"/>
                <w:sz w:val="20"/>
                <w:szCs w:val="20"/>
              </w:rPr>
              <w:t>100 % částky přesahující 50 % hodnoty původní zakázky</w:t>
            </w:r>
          </w:p>
        </w:tc>
      </w:tr>
    </w:tbl>
    <w:p w:rsidR="00576E57" w:rsidRPr="00576E57" w:rsidRDefault="00576E57" w:rsidP="0066566F">
      <w:pPr>
        <w:rPr>
          <w:rFonts w:ascii="Arial" w:hAnsi="Arial" w:cs="Arial"/>
          <w:b/>
          <w:sz w:val="22"/>
          <w:szCs w:val="22"/>
        </w:rPr>
      </w:pPr>
    </w:p>
    <w:p w:rsidR="00576E57" w:rsidRDefault="00576E57" w:rsidP="0066566F"/>
    <w:p w:rsidR="00576E57" w:rsidRDefault="00576E57" w:rsidP="0066566F"/>
    <w:p w:rsidR="00352173" w:rsidRDefault="00352173" w:rsidP="0066566F"/>
    <w:p w:rsidR="00352173" w:rsidRDefault="00352173" w:rsidP="0066566F"/>
    <w:p w:rsidR="00352173" w:rsidRDefault="00352173" w:rsidP="0066566F"/>
    <w:p w:rsidR="00352173" w:rsidRDefault="00352173" w:rsidP="0066566F"/>
    <w:p w:rsidR="00352173" w:rsidRDefault="00352173" w:rsidP="0066566F"/>
    <w:p w:rsidR="00352173" w:rsidRDefault="00352173" w:rsidP="0066566F"/>
    <w:p w:rsidR="00352173" w:rsidRDefault="00352173" w:rsidP="0066566F"/>
    <w:p w:rsidR="00352173" w:rsidRDefault="00352173" w:rsidP="0066566F"/>
    <w:p w:rsidR="00352173" w:rsidRDefault="00352173" w:rsidP="0066566F"/>
    <w:tbl>
      <w:tblPr>
        <w:tblStyle w:val="Mkatabulky"/>
        <w:tblW w:w="9781" w:type="dxa"/>
        <w:tblInd w:w="108" w:type="dxa"/>
        <w:shd w:val="clear" w:color="auto" w:fill="FFFF99"/>
        <w:tblLook w:val="04A0" w:firstRow="1" w:lastRow="0" w:firstColumn="1" w:lastColumn="0" w:noHBand="0" w:noVBand="1"/>
      </w:tblPr>
      <w:tblGrid>
        <w:gridCol w:w="9781"/>
      </w:tblGrid>
      <w:tr w:rsidR="007A29EB" w:rsidTr="00D92319">
        <w:trPr>
          <w:trHeight w:val="1548"/>
        </w:trPr>
        <w:tc>
          <w:tcPr>
            <w:tcW w:w="9781" w:type="dxa"/>
            <w:shd w:val="clear" w:color="auto" w:fill="FFFF99"/>
            <w:vAlign w:val="center"/>
          </w:tcPr>
          <w:p w:rsidR="007A29EB" w:rsidRPr="004D27DE" w:rsidRDefault="007A29EB" w:rsidP="005768BD">
            <w:pPr>
              <w:jc w:val="center"/>
              <w:rPr>
                <w:rFonts w:ascii="Arial" w:hAnsi="Arial" w:cs="Arial"/>
                <w:b/>
              </w:rPr>
            </w:pPr>
            <w:r w:rsidRPr="004D27DE">
              <w:rPr>
                <w:rFonts w:ascii="Arial" w:hAnsi="Arial" w:cs="Arial"/>
                <w:b/>
              </w:rPr>
              <w:t>ČÁST II</w:t>
            </w:r>
          </w:p>
          <w:p w:rsidR="007A29EB" w:rsidRDefault="007A29EB" w:rsidP="005768BD">
            <w:pPr>
              <w:jc w:val="center"/>
              <w:rPr>
                <w:rFonts w:ascii="Arial" w:hAnsi="Arial" w:cs="Arial"/>
              </w:rPr>
            </w:pPr>
            <w:r>
              <w:rPr>
                <w:rFonts w:ascii="Arial" w:hAnsi="Arial" w:cs="Arial"/>
              </w:rPr>
              <w:t xml:space="preserve">Sazby </w:t>
            </w:r>
            <w:r w:rsidR="00FE1D54">
              <w:rPr>
                <w:rFonts w:ascii="Arial" w:hAnsi="Arial" w:cs="Arial"/>
              </w:rPr>
              <w:t>snížených</w:t>
            </w:r>
            <w:r>
              <w:rPr>
                <w:rFonts w:ascii="Arial" w:hAnsi="Arial" w:cs="Arial"/>
              </w:rPr>
              <w:t xml:space="preserve"> odvodů</w:t>
            </w:r>
          </w:p>
          <w:p w:rsidR="007A29EB" w:rsidRDefault="007A29EB" w:rsidP="005768BD">
            <w:pPr>
              <w:jc w:val="center"/>
              <w:rPr>
                <w:rFonts w:ascii="Arial" w:hAnsi="Arial" w:cs="Arial"/>
              </w:rPr>
            </w:pPr>
            <w:r>
              <w:rPr>
                <w:rFonts w:ascii="Arial" w:hAnsi="Arial" w:cs="Arial"/>
              </w:rPr>
              <w:t>v případě porušení pravidel pro zadávání zakázek</w:t>
            </w:r>
          </w:p>
          <w:p w:rsidR="007A29EB" w:rsidRDefault="007A29EB" w:rsidP="005768BD">
            <w:pPr>
              <w:jc w:val="center"/>
              <w:rPr>
                <w:rFonts w:ascii="Arial" w:hAnsi="Arial" w:cs="Arial"/>
              </w:rPr>
            </w:pPr>
            <w:r>
              <w:rPr>
                <w:rFonts w:ascii="Arial" w:hAnsi="Arial" w:cs="Arial"/>
              </w:rPr>
              <w:t>(</w:t>
            </w:r>
            <w:r w:rsidR="00352173">
              <w:rPr>
                <w:rFonts w:ascii="Arial" w:hAnsi="Arial" w:cs="Arial"/>
              </w:rPr>
              <w:t xml:space="preserve">veřejné zakázky </w:t>
            </w:r>
            <w:r>
              <w:rPr>
                <w:rFonts w:ascii="Arial" w:hAnsi="Arial" w:cs="Arial"/>
              </w:rPr>
              <w:t>mimo režim zákona č. 137/2006 Sb., o veřejných zakázkách</w:t>
            </w:r>
          </w:p>
          <w:p w:rsidR="007A29EB" w:rsidRPr="00814A27" w:rsidRDefault="007A29EB" w:rsidP="005768BD">
            <w:pPr>
              <w:jc w:val="center"/>
              <w:rPr>
                <w:rFonts w:ascii="Arial" w:hAnsi="Arial" w:cs="Arial"/>
              </w:rPr>
            </w:pPr>
            <w:r>
              <w:rPr>
                <w:rFonts w:ascii="Arial" w:hAnsi="Arial" w:cs="Arial"/>
              </w:rPr>
              <w:t>a v režimu Pokynů pro zadávání zakázek – přílohy č. 5</w:t>
            </w:r>
            <w:r w:rsidR="006A233A">
              <w:rPr>
                <w:rFonts w:ascii="Arial" w:hAnsi="Arial" w:cs="Arial"/>
              </w:rPr>
              <w:t>a</w:t>
            </w:r>
            <w:r>
              <w:rPr>
                <w:rFonts w:ascii="Arial" w:hAnsi="Arial" w:cs="Arial"/>
              </w:rPr>
              <w:t xml:space="preserve"> Příručky pro žadatele)</w:t>
            </w:r>
          </w:p>
        </w:tc>
      </w:tr>
    </w:tbl>
    <w:p w:rsidR="007A29EB" w:rsidRDefault="007A29EB" w:rsidP="0066566F"/>
    <w:p w:rsidR="00EE11C3" w:rsidRPr="00EE11C3" w:rsidRDefault="00EE11C3" w:rsidP="00EE11C3">
      <w:pPr>
        <w:jc w:val="both"/>
        <w:rPr>
          <w:rFonts w:ascii="Arial" w:hAnsi="Arial" w:cs="Arial"/>
          <w:sz w:val="22"/>
          <w:szCs w:val="22"/>
        </w:rPr>
      </w:pPr>
    </w:p>
    <w:p w:rsidR="00352173" w:rsidRPr="00F022FA" w:rsidRDefault="00352173" w:rsidP="00352173">
      <w:pPr>
        <w:spacing w:after="120"/>
        <w:jc w:val="both"/>
        <w:rPr>
          <w:rFonts w:ascii="Arial" w:hAnsi="Arial" w:cs="Arial"/>
          <w:b/>
          <w:sz w:val="22"/>
          <w:szCs w:val="22"/>
        </w:rPr>
      </w:pPr>
      <w:r w:rsidRPr="00F022FA">
        <w:rPr>
          <w:rFonts w:ascii="Arial" w:hAnsi="Arial" w:cs="Arial"/>
          <w:b/>
          <w:sz w:val="22"/>
          <w:szCs w:val="22"/>
        </w:rPr>
        <w:t xml:space="preserve">1.1 Zadávací podmínky </w:t>
      </w:r>
    </w:p>
    <w:tbl>
      <w:tblPr>
        <w:tblStyle w:val="Mkatabulky"/>
        <w:tblW w:w="9667" w:type="dxa"/>
        <w:tblLayout w:type="fixed"/>
        <w:tblCellMar>
          <w:top w:w="28" w:type="dxa"/>
          <w:left w:w="28" w:type="dxa"/>
          <w:bottom w:w="28" w:type="dxa"/>
          <w:right w:w="28" w:type="dxa"/>
        </w:tblCellMar>
        <w:tblLook w:val="04A0" w:firstRow="1" w:lastRow="0" w:firstColumn="1" w:lastColumn="0" w:noHBand="0" w:noVBand="1"/>
      </w:tblPr>
      <w:tblGrid>
        <w:gridCol w:w="740"/>
        <w:gridCol w:w="4675"/>
        <w:gridCol w:w="4252"/>
      </w:tblGrid>
      <w:tr w:rsidR="00352173" w:rsidTr="008149E3">
        <w:trPr>
          <w:trHeight w:val="567"/>
          <w:tblHeader/>
        </w:trPr>
        <w:tc>
          <w:tcPr>
            <w:tcW w:w="740"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sidRPr="00954488">
              <w:rPr>
                <w:rFonts w:ascii="Arial" w:hAnsi="Arial" w:cs="Arial"/>
                <w:b/>
                <w:sz w:val="20"/>
                <w:szCs w:val="20"/>
              </w:rPr>
              <w:t>Č.</w:t>
            </w:r>
          </w:p>
        </w:tc>
        <w:tc>
          <w:tcPr>
            <w:tcW w:w="4675"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sidRPr="00954488">
              <w:rPr>
                <w:rFonts w:ascii="Arial" w:hAnsi="Arial" w:cs="Arial"/>
                <w:b/>
                <w:sz w:val="20"/>
                <w:szCs w:val="20"/>
              </w:rPr>
              <w:t>Popis porušení</w:t>
            </w:r>
          </w:p>
        </w:tc>
        <w:tc>
          <w:tcPr>
            <w:tcW w:w="4252"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Pr>
                <w:rFonts w:ascii="Arial" w:hAnsi="Arial" w:cs="Arial"/>
                <w:b/>
                <w:sz w:val="20"/>
                <w:szCs w:val="20"/>
              </w:rPr>
              <w:t>Procentní rozmezí sazby pro výpočet sníženého odvodu</w:t>
            </w:r>
            <w:r>
              <w:rPr>
                <w:rStyle w:val="Znakapoznpodarou"/>
                <w:rFonts w:ascii="Arial" w:hAnsi="Arial" w:cs="Arial"/>
                <w:b/>
                <w:sz w:val="20"/>
                <w:szCs w:val="20"/>
              </w:rPr>
              <w:t>1</w:t>
            </w:r>
          </w:p>
        </w:tc>
      </w:tr>
      <w:tr w:rsidR="00352173" w:rsidRPr="00954488" w:rsidTr="008149E3">
        <w:trPr>
          <w:cantSplit/>
          <w:trHeight w:val="454"/>
        </w:trPr>
        <w:tc>
          <w:tcPr>
            <w:tcW w:w="740" w:type="dxa"/>
            <w:vAlign w:val="center"/>
          </w:tcPr>
          <w:p w:rsidR="00352173" w:rsidRPr="006002B9" w:rsidRDefault="00352173" w:rsidP="008149E3">
            <w:pPr>
              <w:jc w:val="center"/>
              <w:rPr>
                <w:rFonts w:ascii="Arial" w:hAnsi="Arial" w:cs="Arial"/>
                <w:b/>
                <w:sz w:val="20"/>
                <w:szCs w:val="20"/>
              </w:rPr>
            </w:pPr>
            <w:r w:rsidRPr="006002B9">
              <w:rPr>
                <w:rFonts w:ascii="Arial" w:hAnsi="Arial" w:cs="Arial"/>
                <w:b/>
                <w:sz w:val="20"/>
                <w:szCs w:val="20"/>
              </w:rPr>
              <w:t>1</w:t>
            </w:r>
          </w:p>
        </w:tc>
        <w:tc>
          <w:tcPr>
            <w:tcW w:w="4675" w:type="dxa"/>
          </w:tcPr>
          <w:p w:rsidR="00352173" w:rsidRDefault="00352173" w:rsidP="008149E3">
            <w:pPr>
              <w:widowControl/>
              <w:suppressAutoHyphens w:val="0"/>
              <w:autoSpaceDE w:val="0"/>
              <w:adjustRightInd w:val="0"/>
              <w:jc w:val="both"/>
              <w:textAlignment w:val="auto"/>
              <w:rPr>
                <w:rFonts w:ascii="Arial" w:hAnsi="Arial" w:cs="Arial"/>
                <w:b/>
                <w:bCs/>
                <w:kern w:val="0"/>
                <w:sz w:val="20"/>
                <w:szCs w:val="20"/>
              </w:rPr>
            </w:pPr>
            <w:r>
              <w:rPr>
                <w:rFonts w:ascii="Arial" w:hAnsi="Arial" w:cs="Arial"/>
                <w:b/>
                <w:bCs/>
                <w:kern w:val="0"/>
                <w:sz w:val="20"/>
                <w:szCs w:val="20"/>
              </w:rPr>
              <w:t>Nedodržení požadovaného způsobu zahájení výběrového řízení</w:t>
            </w:r>
            <w:r w:rsidR="00480D35">
              <w:rPr>
                <w:rFonts w:ascii="Arial" w:hAnsi="Arial" w:cs="Arial"/>
                <w:b/>
                <w:bCs/>
                <w:kern w:val="0"/>
                <w:sz w:val="20"/>
                <w:szCs w:val="20"/>
              </w:rPr>
              <w:t>, odpovídajícího stupně zveřejnění a transparentnosti</w:t>
            </w:r>
          </w:p>
          <w:p w:rsidR="00352173" w:rsidRDefault="00352173" w:rsidP="008149E3">
            <w:pPr>
              <w:widowControl/>
              <w:suppressAutoHyphens w:val="0"/>
              <w:autoSpaceDE w:val="0"/>
              <w:adjustRightInd w:val="0"/>
              <w:jc w:val="both"/>
              <w:textAlignment w:val="auto"/>
              <w:rPr>
                <w:rFonts w:ascii="Arial" w:hAnsi="Arial" w:cs="Arial"/>
                <w:bCs/>
                <w:kern w:val="0"/>
                <w:sz w:val="20"/>
                <w:szCs w:val="20"/>
              </w:rPr>
            </w:pPr>
            <w:r>
              <w:rPr>
                <w:rFonts w:ascii="Arial" w:hAnsi="Arial" w:cs="Arial"/>
                <w:bCs/>
                <w:kern w:val="0"/>
                <w:sz w:val="20"/>
                <w:szCs w:val="20"/>
              </w:rPr>
              <w:t>Z</w:t>
            </w:r>
            <w:r w:rsidRPr="00C30784">
              <w:rPr>
                <w:rFonts w:ascii="Arial" w:hAnsi="Arial" w:cs="Arial"/>
                <w:bCs/>
                <w:kern w:val="0"/>
                <w:sz w:val="20"/>
                <w:szCs w:val="20"/>
              </w:rPr>
              <w:t>akázka byla zadána, aniž by bylo výběrové řízení zahájeno v souladu s Pokyny pro zadávání zakázek</w:t>
            </w:r>
            <w:r w:rsidR="00480D35">
              <w:rPr>
                <w:rFonts w:ascii="Arial" w:hAnsi="Arial" w:cs="Arial"/>
                <w:bCs/>
                <w:kern w:val="0"/>
                <w:sz w:val="20"/>
                <w:szCs w:val="20"/>
              </w:rPr>
              <w:t>:</w:t>
            </w:r>
          </w:p>
          <w:p w:rsidR="00480D35" w:rsidRPr="00480D35" w:rsidRDefault="00480D35" w:rsidP="00480D35">
            <w:pPr>
              <w:pStyle w:val="Odstavecseseznamem"/>
              <w:widowControl/>
              <w:numPr>
                <w:ilvl w:val="0"/>
                <w:numId w:val="47"/>
              </w:numPr>
              <w:suppressAutoHyphens w:val="0"/>
              <w:autoSpaceDE w:val="0"/>
              <w:adjustRightInd w:val="0"/>
              <w:jc w:val="both"/>
              <w:textAlignment w:val="auto"/>
              <w:rPr>
                <w:rFonts w:ascii="Arial" w:hAnsi="Arial" w:cs="Arial"/>
                <w:bCs/>
                <w:kern w:val="0"/>
                <w:sz w:val="20"/>
                <w:szCs w:val="20"/>
              </w:rPr>
            </w:pPr>
            <w:r w:rsidRPr="00480D35">
              <w:rPr>
                <w:rFonts w:ascii="Arial" w:hAnsi="Arial" w:cs="Arial"/>
                <w:bCs/>
                <w:kern w:val="0"/>
                <w:sz w:val="20"/>
                <w:szCs w:val="20"/>
              </w:rPr>
              <w:t>neprovedení výběrového řízení na dodavatele, zadavatel neuveřejnil oznámení o zahájení výběrového řízení požadovaným způsobem a ani neodeslal výzvu k podání nabídky konkrétních zájemců požadovaným způsobem vůbec</w:t>
            </w:r>
          </w:p>
          <w:p w:rsidR="00480D35" w:rsidRPr="00480D35" w:rsidRDefault="00480D35" w:rsidP="00480D35">
            <w:pPr>
              <w:pStyle w:val="Odstavecseseznamem"/>
              <w:widowControl/>
              <w:numPr>
                <w:ilvl w:val="0"/>
                <w:numId w:val="47"/>
              </w:numPr>
              <w:suppressAutoHyphens w:val="0"/>
              <w:autoSpaceDE w:val="0"/>
              <w:adjustRightInd w:val="0"/>
              <w:jc w:val="both"/>
              <w:textAlignment w:val="auto"/>
              <w:rPr>
                <w:rFonts w:ascii="Arial" w:hAnsi="Arial" w:cs="Arial"/>
                <w:bCs/>
                <w:kern w:val="0"/>
                <w:sz w:val="20"/>
                <w:szCs w:val="20"/>
              </w:rPr>
            </w:pPr>
            <w:r w:rsidRPr="00480D35">
              <w:rPr>
                <w:rFonts w:ascii="Arial" w:hAnsi="Arial" w:cs="Arial"/>
                <w:bCs/>
                <w:kern w:val="0"/>
                <w:sz w:val="20"/>
                <w:szCs w:val="20"/>
              </w:rPr>
              <w:t>zakázka byla zadána bez vyhlášení odpovídající veřejné soutěže (současně však jeho postup umožnil ve výběrovém řízení účast uchazečů)</w:t>
            </w:r>
          </w:p>
        </w:tc>
        <w:tc>
          <w:tcPr>
            <w:tcW w:w="4252" w:type="dxa"/>
          </w:tcPr>
          <w:p w:rsidR="00352173" w:rsidRDefault="00352173" w:rsidP="008149E3">
            <w:pPr>
              <w:jc w:val="both"/>
              <w:rPr>
                <w:rFonts w:ascii="Arial" w:hAnsi="Arial" w:cs="Arial"/>
                <w:sz w:val="20"/>
                <w:szCs w:val="20"/>
              </w:rPr>
            </w:pPr>
            <w:r>
              <w:rPr>
                <w:rFonts w:ascii="Arial" w:hAnsi="Arial" w:cs="Arial"/>
                <w:sz w:val="20"/>
                <w:szCs w:val="20"/>
              </w:rPr>
              <w:t>min. 25 % pokud byla dodržena určitá míra uveřejnění</w:t>
            </w:r>
          </w:p>
          <w:p w:rsidR="00352173" w:rsidRPr="00954488" w:rsidRDefault="00352173" w:rsidP="00480D35">
            <w:pPr>
              <w:spacing w:before="120"/>
              <w:jc w:val="both"/>
              <w:rPr>
                <w:rFonts w:ascii="Arial" w:hAnsi="Arial" w:cs="Arial"/>
                <w:sz w:val="20"/>
                <w:szCs w:val="20"/>
              </w:rPr>
            </w:pPr>
            <w:r>
              <w:rPr>
                <w:rFonts w:ascii="Arial" w:hAnsi="Arial" w:cs="Arial"/>
                <w:sz w:val="20"/>
                <w:szCs w:val="20"/>
              </w:rPr>
              <w:t>100 %</w:t>
            </w:r>
          </w:p>
        </w:tc>
      </w:tr>
      <w:tr w:rsidR="00352173" w:rsidRPr="00954488" w:rsidTr="008149E3">
        <w:trPr>
          <w:cantSplit/>
          <w:trHeight w:val="454"/>
        </w:trPr>
        <w:tc>
          <w:tcPr>
            <w:tcW w:w="740" w:type="dxa"/>
            <w:vAlign w:val="center"/>
          </w:tcPr>
          <w:p w:rsidR="00352173" w:rsidRPr="006002B9" w:rsidRDefault="00352173" w:rsidP="008149E3">
            <w:pPr>
              <w:jc w:val="center"/>
              <w:rPr>
                <w:rFonts w:ascii="Arial" w:hAnsi="Arial" w:cs="Arial"/>
                <w:b/>
                <w:sz w:val="20"/>
                <w:szCs w:val="20"/>
              </w:rPr>
            </w:pPr>
            <w:r w:rsidRPr="006002B9">
              <w:rPr>
                <w:rFonts w:ascii="Arial" w:hAnsi="Arial" w:cs="Arial"/>
                <w:b/>
                <w:sz w:val="20"/>
                <w:szCs w:val="20"/>
              </w:rPr>
              <w:t>2</w:t>
            </w:r>
          </w:p>
        </w:tc>
        <w:tc>
          <w:tcPr>
            <w:tcW w:w="4675" w:type="dxa"/>
          </w:tcPr>
          <w:p w:rsidR="00352173" w:rsidRDefault="00352173" w:rsidP="008149E3">
            <w:pPr>
              <w:widowControl/>
              <w:suppressAutoHyphens w:val="0"/>
              <w:autoSpaceDE w:val="0"/>
              <w:adjustRightInd w:val="0"/>
              <w:jc w:val="both"/>
              <w:textAlignment w:val="auto"/>
              <w:rPr>
                <w:rFonts w:ascii="Arial" w:hAnsi="Arial" w:cs="Arial"/>
                <w:b/>
                <w:sz w:val="20"/>
                <w:szCs w:val="20"/>
              </w:rPr>
            </w:pPr>
            <w:r w:rsidRPr="00C30784">
              <w:rPr>
                <w:rFonts w:ascii="Arial" w:hAnsi="Arial" w:cs="Arial"/>
                <w:b/>
                <w:sz w:val="20"/>
                <w:szCs w:val="20"/>
              </w:rPr>
              <w:t>Umělé rozdělení předmětu zakázky</w:t>
            </w:r>
          </w:p>
          <w:p w:rsidR="00352173" w:rsidRPr="00C30784" w:rsidRDefault="00352173" w:rsidP="008149E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Předmět zakázky je rozdělen tak, aby došlo ke snížení předpokládané hodnoty pod limity stanovené poskytovatelem podpory dle Pokynů pro zadávání zakázek a jeho zadání v mírnějším režimu, než je stanoven pro předmět zakázky před jejím rozdělením.</w:t>
            </w:r>
          </w:p>
        </w:tc>
        <w:tc>
          <w:tcPr>
            <w:tcW w:w="4252" w:type="dxa"/>
          </w:tcPr>
          <w:p w:rsidR="00352173" w:rsidRDefault="00352173" w:rsidP="008149E3">
            <w:pPr>
              <w:jc w:val="both"/>
              <w:rPr>
                <w:rFonts w:ascii="Arial" w:hAnsi="Arial" w:cs="Arial"/>
                <w:sz w:val="20"/>
                <w:szCs w:val="20"/>
              </w:rPr>
            </w:pPr>
            <w:r>
              <w:rPr>
                <w:rFonts w:ascii="Arial" w:hAnsi="Arial" w:cs="Arial"/>
                <w:sz w:val="20"/>
                <w:szCs w:val="20"/>
              </w:rPr>
              <w:t>min. 25 % pokud byla dodržena určitá míra uveřejnění a zadavatel umožnil podávat nabídky i dodavatelům, které k podání nabídky nevyzval</w:t>
            </w:r>
          </w:p>
          <w:p w:rsidR="00352173" w:rsidRPr="00954488" w:rsidRDefault="00352173" w:rsidP="00480D35">
            <w:pPr>
              <w:spacing w:before="120"/>
              <w:jc w:val="both"/>
              <w:rPr>
                <w:rFonts w:ascii="Arial" w:hAnsi="Arial" w:cs="Arial"/>
                <w:sz w:val="20"/>
                <w:szCs w:val="20"/>
              </w:rPr>
            </w:pPr>
            <w:r>
              <w:rPr>
                <w:rFonts w:ascii="Arial" w:hAnsi="Arial" w:cs="Arial"/>
                <w:sz w:val="20"/>
                <w:szCs w:val="20"/>
              </w:rPr>
              <w:t>100 %</w:t>
            </w:r>
            <w:r w:rsidR="00480D35">
              <w:rPr>
                <w:rFonts w:ascii="Arial" w:hAnsi="Arial" w:cs="Arial"/>
                <w:sz w:val="20"/>
                <w:szCs w:val="20"/>
              </w:rPr>
              <w:t xml:space="preserve"> pokud tento postup vedl až k zadání zakázky bez VŘ</w:t>
            </w:r>
          </w:p>
        </w:tc>
      </w:tr>
      <w:tr w:rsidR="00352173" w:rsidRPr="00954488" w:rsidTr="008149E3">
        <w:trPr>
          <w:cantSplit/>
          <w:trHeight w:val="454"/>
        </w:trPr>
        <w:tc>
          <w:tcPr>
            <w:tcW w:w="740" w:type="dxa"/>
            <w:vAlign w:val="center"/>
          </w:tcPr>
          <w:p w:rsidR="00352173" w:rsidRPr="006002B9" w:rsidRDefault="00352173" w:rsidP="008149E3">
            <w:pPr>
              <w:jc w:val="center"/>
              <w:rPr>
                <w:rFonts w:ascii="Arial" w:hAnsi="Arial" w:cs="Arial"/>
                <w:b/>
                <w:sz w:val="20"/>
                <w:szCs w:val="20"/>
              </w:rPr>
            </w:pPr>
            <w:r w:rsidRPr="006002B9">
              <w:rPr>
                <w:rFonts w:ascii="Arial" w:hAnsi="Arial" w:cs="Arial"/>
                <w:b/>
                <w:sz w:val="20"/>
                <w:szCs w:val="20"/>
              </w:rPr>
              <w:t>3</w:t>
            </w:r>
          </w:p>
        </w:tc>
        <w:tc>
          <w:tcPr>
            <w:tcW w:w="4675" w:type="dxa"/>
          </w:tcPr>
          <w:p w:rsidR="00352173" w:rsidRDefault="00352173" w:rsidP="008149E3">
            <w:pPr>
              <w:widowControl/>
              <w:suppressAutoHyphens w:val="0"/>
              <w:autoSpaceDE w:val="0"/>
              <w:adjustRightInd w:val="0"/>
              <w:jc w:val="both"/>
              <w:textAlignment w:val="auto"/>
              <w:rPr>
                <w:rFonts w:ascii="Arial" w:hAnsi="Arial" w:cs="Arial"/>
                <w:b/>
                <w:sz w:val="20"/>
                <w:szCs w:val="20"/>
              </w:rPr>
            </w:pPr>
            <w:r w:rsidRPr="00C30784">
              <w:rPr>
                <w:rFonts w:ascii="Arial" w:hAnsi="Arial" w:cs="Arial"/>
                <w:b/>
                <w:sz w:val="20"/>
                <w:szCs w:val="20"/>
              </w:rPr>
              <w:t>Nedodržení minimální délky lhůty pro podání nabídek</w:t>
            </w:r>
          </w:p>
          <w:p w:rsidR="00352173" w:rsidRPr="00C30784" w:rsidRDefault="00352173" w:rsidP="008149E3">
            <w:pPr>
              <w:widowControl/>
              <w:suppressAutoHyphens w:val="0"/>
              <w:autoSpaceDE w:val="0"/>
              <w:adjustRightInd w:val="0"/>
              <w:jc w:val="both"/>
              <w:textAlignment w:val="auto"/>
              <w:rPr>
                <w:rFonts w:ascii="Arial" w:hAnsi="Arial" w:cs="Arial"/>
                <w:sz w:val="20"/>
                <w:szCs w:val="20"/>
              </w:rPr>
            </w:pPr>
            <w:r w:rsidRPr="00C30784">
              <w:rPr>
                <w:rFonts w:ascii="Arial" w:hAnsi="Arial" w:cs="Arial"/>
                <w:sz w:val="20"/>
                <w:szCs w:val="20"/>
              </w:rPr>
              <w:t>Lhůty pro podání nabídek byly kratší než lhůty uvedené v Pokynech pro zadávání zakázek</w:t>
            </w:r>
            <w:r>
              <w:rPr>
                <w:rFonts w:ascii="Arial" w:hAnsi="Arial" w:cs="Arial"/>
                <w:sz w:val="20"/>
                <w:szCs w:val="20"/>
              </w:rPr>
              <w:t>.</w:t>
            </w:r>
          </w:p>
        </w:tc>
        <w:tc>
          <w:tcPr>
            <w:tcW w:w="4252" w:type="dxa"/>
            <w:vAlign w:val="center"/>
          </w:tcPr>
          <w:p w:rsidR="00352173" w:rsidRDefault="00352173" w:rsidP="008149E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min. 25 %, pokud je délka lhůty kratší alespoň o 50 % její délky stanovené Pokyny pro zadávání zakázek </w:t>
            </w:r>
          </w:p>
          <w:p w:rsidR="00352173" w:rsidRDefault="00352173" w:rsidP="008149E3">
            <w:pPr>
              <w:widowControl/>
              <w:suppressAutoHyphens w:val="0"/>
              <w:autoSpaceDE w:val="0"/>
              <w:adjustRightInd w:val="0"/>
              <w:jc w:val="both"/>
              <w:textAlignment w:val="auto"/>
              <w:rPr>
                <w:rFonts w:ascii="Arial" w:hAnsi="Arial" w:cs="Arial"/>
                <w:sz w:val="20"/>
                <w:szCs w:val="20"/>
              </w:rPr>
            </w:pPr>
          </w:p>
          <w:p w:rsidR="00352173" w:rsidRDefault="00352173" w:rsidP="008149E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nebo</w:t>
            </w:r>
          </w:p>
          <w:p w:rsidR="00352173" w:rsidRDefault="00352173" w:rsidP="008149E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min. 10 %, pokud je délka lhůty kratší alespoň o 30 % její délky stanovené Pokyny pro zadávání zakázek </w:t>
            </w:r>
          </w:p>
          <w:p w:rsidR="00352173" w:rsidRDefault="00352173" w:rsidP="008149E3">
            <w:pPr>
              <w:widowControl/>
              <w:suppressAutoHyphens w:val="0"/>
              <w:autoSpaceDE w:val="0"/>
              <w:adjustRightInd w:val="0"/>
              <w:jc w:val="both"/>
              <w:textAlignment w:val="auto"/>
              <w:rPr>
                <w:rFonts w:ascii="Arial" w:hAnsi="Arial" w:cs="Arial"/>
                <w:sz w:val="20"/>
                <w:szCs w:val="20"/>
              </w:rPr>
            </w:pPr>
          </w:p>
          <w:p w:rsidR="00352173" w:rsidRDefault="00352173" w:rsidP="008149E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nebo</w:t>
            </w:r>
          </w:p>
          <w:p w:rsidR="00352173" w:rsidRPr="00954488" w:rsidRDefault="00352173" w:rsidP="008149E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2 – 5 % v případě jiného zkrácení lhůty pro podání nabídek</w:t>
            </w:r>
          </w:p>
        </w:tc>
      </w:tr>
      <w:tr w:rsidR="00352173" w:rsidRPr="00954488" w:rsidTr="008149E3">
        <w:trPr>
          <w:cantSplit/>
          <w:trHeight w:val="454"/>
        </w:trPr>
        <w:tc>
          <w:tcPr>
            <w:tcW w:w="740" w:type="dxa"/>
            <w:vAlign w:val="center"/>
          </w:tcPr>
          <w:p w:rsidR="00352173" w:rsidRPr="006002B9" w:rsidRDefault="00352173" w:rsidP="008149E3">
            <w:pPr>
              <w:jc w:val="center"/>
              <w:rPr>
                <w:rFonts w:ascii="Arial" w:hAnsi="Arial" w:cs="Arial"/>
                <w:b/>
                <w:sz w:val="20"/>
                <w:szCs w:val="20"/>
              </w:rPr>
            </w:pPr>
            <w:r w:rsidRPr="006002B9">
              <w:rPr>
                <w:rFonts w:ascii="Arial" w:hAnsi="Arial" w:cs="Arial"/>
                <w:b/>
                <w:sz w:val="20"/>
                <w:szCs w:val="20"/>
              </w:rPr>
              <w:t>4</w:t>
            </w:r>
          </w:p>
        </w:tc>
        <w:tc>
          <w:tcPr>
            <w:tcW w:w="4675" w:type="dxa"/>
          </w:tcPr>
          <w:p w:rsidR="00352173" w:rsidRPr="00F022FA" w:rsidRDefault="00352173" w:rsidP="008149E3">
            <w:pPr>
              <w:widowControl/>
              <w:suppressAutoHyphens w:val="0"/>
              <w:autoSpaceDE w:val="0"/>
              <w:adjustRightInd w:val="0"/>
              <w:jc w:val="both"/>
              <w:textAlignment w:val="auto"/>
              <w:rPr>
                <w:rFonts w:ascii="Arial" w:hAnsi="Arial" w:cs="Arial"/>
                <w:b/>
                <w:sz w:val="20"/>
                <w:szCs w:val="20"/>
              </w:rPr>
            </w:pPr>
            <w:r w:rsidRPr="00F022FA">
              <w:rPr>
                <w:rFonts w:ascii="Arial" w:hAnsi="Arial" w:cs="Arial"/>
                <w:b/>
                <w:sz w:val="20"/>
                <w:szCs w:val="20"/>
              </w:rPr>
              <w:t>Nedostatečná doba k opatření zadávací dokumentace</w:t>
            </w:r>
          </w:p>
          <w:p w:rsidR="00352173" w:rsidRPr="00F022FA" w:rsidRDefault="00352173" w:rsidP="008149E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Doba k tomu, aby si dodavatelé opatřili zadávací dokumentaci, je příliš krátká, a vytváří tak neodůvodněnou překážku pro otevření veřejné zakázky v hospodářské soutěži.</w:t>
            </w:r>
          </w:p>
        </w:tc>
        <w:tc>
          <w:tcPr>
            <w:tcW w:w="4252" w:type="dxa"/>
            <w:vAlign w:val="center"/>
          </w:tcPr>
          <w:p w:rsidR="00352173" w:rsidRDefault="00352173" w:rsidP="008149E3">
            <w:pPr>
              <w:jc w:val="both"/>
              <w:rPr>
                <w:rFonts w:ascii="Arial" w:hAnsi="Arial" w:cs="Arial"/>
                <w:sz w:val="20"/>
                <w:szCs w:val="20"/>
              </w:rPr>
            </w:pPr>
            <w:r>
              <w:rPr>
                <w:rFonts w:ascii="Arial" w:hAnsi="Arial" w:cs="Arial"/>
                <w:sz w:val="20"/>
                <w:szCs w:val="20"/>
              </w:rPr>
              <w:t>min. 25 %, je-li doba, do kdy si dodavatelé musí opatřit zadávací dokumentaci kratší než 50 % lhůty pro doručení nabídek</w:t>
            </w:r>
          </w:p>
          <w:p w:rsidR="00352173" w:rsidRDefault="00352173" w:rsidP="008149E3">
            <w:pPr>
              <w:jc w:val="both"/>
              <w:rPr>
                <w:rFonts w:ascii="Arial" w:hAnsi="Arial" w:cs="Arial"/>
                <w:sz w:val="20"/>
                <w:szCs w:val="20"/>
              </w:rPr>
            </w:pPr>
          </w:p>
          <w:p w:rsidR="00352173" w:rsidRDefault="00352173" w:rsidP="008149E3">
            <w:pPr>
              <w:jc w:val="both"/>
              <w:rPr>
                <w:rFonts w:ascii="Arial" w:hAnsi="Arial" w:cs="Arial"/>
                <w:sz w:val="20"/>
                <w:szCs w:val="20"/>
              </w:rPr>
            </w:pPr>
            <w:r>
              <w:rPr>
                <w:rFonts w:ascii="Arial" w:hAnsi="Arial" w:cs="Arial"/>
                <w:sz w:val="20"/>
                <w:szCs w:val="20"/>
              </w:rPr>
              <w:t>min. 10 %, je-li doba, do kdy si dodavatelé musí opatřit zadávací dokumentaci kratší než 60 % lhůty pro doručení nabídek</w:t>
            </w:r>
          </w:p>
          <w:p w:rsidR="00352173" w:rsidRDefault="00352173" w:rsidP="008149E3">
            <w:pPr>
              <w:jc w:val="both"/>
              <w:rPr>
                <w:rFonts w:ascii="Arial" w:hAnsi="Arial" w:cs="Arial"/>
                <w:sz w:val="20"/>
                <w:szCs w:val="20"/>
              </w:rPr>
            </w:pPr>
          </w:p>
          <w:p w:rsidR="00352173" w:rsidRPr="00954488" w:rsidRDefault="00352173" w:rsidP="008149E3">
            <w:pPr>
              <w:jc w:val="both"/>
              <w:rPr>
                <w:rFonts w:ascii="Arial" w:hAnsi="Arial" w:cs="Arial"/>
                <w:sz w:val="20"/>
                <w:szCs w:val="20"/>
              </w:rPr>
            </w:pPr>
            <w:r>
              <w:rPr>
                <w:rFonts w:ascii="Arial" w:hAnsi="Arial" w:cs="Arial"/>
                <w:sz w:val="20"/>
                <w:szCs w:val="20"/>
              </w:rPr>
              <w:t xml:space="preserve">min. 5 %, je-li doba, do kdy si dodavatelé musí opatřit zadávací dokumentaci kratší než 80% lhůty pro doručení nabídek </w:t>
            </w:r>
          </w:p>
        </w:tc>
      </w:tr>
      <w:tr w:rsidR="00352173" w:rsidRPr="00954488" w:rsidTr="00352173">
        <w:trPr>
          <w:cantSplit/>
          <w:trHeight w:val="454"/>
        </w:trPr>
        <w:tc>
          <w:tcPr>
            <w:tcW w:w="740" w:type="dxa"/>
            <w:vAlign w:val="center"/>
          </w:tcPr>
          <w:p w:rsidR="00352173" w:rsidRPr="006002B9" w:rsidRDefault="00352173" w:rsidP="008149E3">
            <w:pPr>
              <w:jc w:val="center"/>
              <w:rPr>
                <w:rFonts w:ascii="Arial" w:hAnsi="Arial" w:cs="Arial"/>
                <w:b/>
                <w:sz w:val="20"/>
                <w:szCs w:val="20"/>
              </w:rPr>
            </w:pPr>
            <w:r w:rsidRPr="006002B9">
              <w:rPr>
                <w:rFonts w:ascii="Arial" w:hAnsi="Arial" w:cs="Arial"/>
                <w:b/>
                <w:sz w:val="20"/>
                <w:szCs w:val="20"/>
              </w:rPr>
              <w:t>5</w:t>
            </w:r>
          </w:p>
        </w:tc>
        <w:tc>
          <w:tcPr>
            <w:tcW w:w="4675" w:type="dxa"/>
          </w:tcPr>
          <w:p w:rsidR="00352173" w:rsidRDefault="00352173" w:rsidP="008149E3">
            <w:pPr>
              <w:widowControl/>
              <w:suppressAutoHyphens w:val="0"/>
              <w:autoSpaceDE w:val="0"/>
              <w:adjustRightInd w:val="0"/>
              <w:jc w:val="both"/>
              <w:textAlignment w:val="auto"/>
              <w:rPr>
                <w:rFonts w:ascii="Arial" w:hAnsi="Arial" w:cs="Arial"/>
                <w:b/>
                <w:sz w:val="20"/>
                <w:szCs w:val="20"/>
              </w:rPr>
            </w:pPr>
            <w:r>
              <w:rPr>
                <w:rFonts w:ascii="Arial" w:hAnsi="Arial" w:cs="Arial"/>
                <w:b/>
                <w:sz w:val="20"/>
                <w:szCs w:val="20"/>
              </w:rPr>
              <w:t>Neuveřejnění informací o prodloužení lhůty pro podání nabídek</w:t>
            </w:r>
          </w:p>
          <w:p w:rsidR="00352173" w:rsidRPr="009926FB" w:rsidRDefault="00352173" w:rsidP="008149E3">
            <w:pPr>
              <w:widowControl/>
              <w:suppressAutoHyphens w:val="0"/>
              <w:autoSpaceDE w:val="0"/>
              <w:adjustRightInd w:val="0"/>
              <w:jc w:val="both"/>
              <w:textAlignment w:val="auto"/>
              <w:rPr>
                <w:rFonts w:ascii="Arial" w:hAnsi="Arial" w:cs="Arial"/>
                <w:sz w:val="20"/>
                <w:szCs w:val="20"/>
              </w:rPr>
            </w:pPr>
            <w:r w:rsidRPr="009926FB">
              <w:rPr>
                <w:rFonts w:ascii="Arial" w:hAnsi="Arial" w:cs="Arial"/>
                <w:sz w:val="20"/>
                <w:szCs w:val="20"/>
              </w:rPr>
              <w:t>Došlo k prodloužení lhůty pro podání nabídek, ale toto prodloužení nebylo uveřejněno/odesláno stejným způsobem, jakým bylo zahájeno výběrové řízení.</w:t>
            </w:r>
          </w:p>
        </w:tc>
        <w:tc>
          <w:tcPr>
            <w:tcW w:w="4252" w:type="dxa"/>
            <w:vAlign w:val="center"/>
          </w:tcPr>
          <w:p w:rsidR="00352173" w:rsidRDefault="00352173" w:rsidP="0035217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min. 10 % nebo min. 5 % s ohledem na závažnost porušení </w:t>
            </w:r>
          </w:p>
        </w:tc>
      </w:tr>
      <w:tr w:rsidR="00352173" w:rsidRPr="00954488" w:rsidTr="00352173">
        <w:trPr>
          <w:cantSplit/>
          <w:trHeight w:val="454"/>
        </w:trPr>
        <w:tc>
          <w:tcPr>
            <w:tcW w:w="740" w:type="dxa"/>
            <w:vAlign w:val="center"/>
          </w:tcPr>
          <w:p w:rsidR="00352173" w:rsidRPr="006002B9" w:rsidRDefault="00352173" w:rsidP="008149E3">
            <w:pPr>
              <w:jc w:val="center"/>
              <w:rPr>
                <w:rFonts w:ascii="Arial" w:hAnsi="Arial" w:cs="Arial"/>
                <w:b/>
                <w:sz w:val="20"/>
                <w:szCs w:val="20"/>
              </w:rPr>
            </w:pPr>
            <w:r w:rsidRPr="006002B9">
              <w:rPr>
                <w:rFonts w:ascii="Arial" w:hAnsi="Arial" w:cs="Arial"/>
                <w:b/>
                <w:sz w:val="20"/>
                <w:szCs w:val="20"/>
              </w:rPr>
              <w:t>6</w:t>
            </w:r>
          </w:p>
        </w:tc>
        <w:tc>
          <w:tcPr>
            <w:tcW w:w="4675" w:type="dxa"/>
          </w:tcPr>
          <w:p w:rsidR="00352173" w:rsidRDefault="00352173" w:rsidP="008149E3">
            <w:pPr>
              <w:widowControl/>
              <w:suppressAutoHyphens w:val="0"/>
              <w:autoSpaceDE w:val="0"/>
              <w:adjustRightInd w:val="0"/>
              <w:jc w:val="both"/>
              <w:textAlignment w:val="auto"/>
              <w:rPr>
                <w:rFonts w:ascii="Arial" w:hAnsi="Arial" w:cs="Arial"/>
                <w:b/>
                <w:sz w:val="20"/>
                <w:szCs w:val="20"/>
              </w:rPr>
            </w:pPr>
            <w:r w:rsidRPr="009926FB">
              <w:rPr>
                <w:rFonts w:ascii="Arial" w:hAnsi="Arial" w:cs="Arial"/>
                <w:b/>
                <w:sz w:val="20"/>
                <w:szCs w:val="20"/>
              </w:rPr>
              <w:t>Neuvedení hodnotících kritérií v zadávacích podmínkách</w:t>
            </w:r>
          </w:p>
          <w:p w:rsidR="00352173" w:rsidRPr="009926FB" w:rsidRDefault="00352173" w:rsidP="008149E3">
            <w:pPr>
              <w:widowControl/>
              <w:suppressAutoHyphens w:val="0"/>
              <w:autoSpaceDE w:val="0"/>
              <w:adjustRightInd w:val="0"/>
              <w:jc w:val="both"/>
              <w:textAlignment w:val="auto"/>
              <w:rPr>
                <w:rFonts w:ascii="Arial" w:hAnsi="Arial" w:cs="Arial"/>
                <w:sz w:val="20"/>
                <w:szCs w:val="20"/>
              </w:rPr>
            </w:pPr>
            <w:r w:rsidRPr="009926FB">
              <w:rPr>
                <w:rFonts w:ascii="Arial" w:hAnsi="Arial" w:cs="Arial"/>
                <w:sz w:val="20"/>
                <w:szCs w:val="20"/>
              </w:rPr>
              <w:t>Hodnotící kritéria, případně jejich podrobná specifikace nejsou uvedena v zadávacích podmínkách.</w:t>
            </w:r>
          </w:p>
        </w:tc>
        <w:tc>
          <w:tcPr>
            <w:tcW w:w="4252" w:type="dxa"/>
            <w:vAlign w:val="center"/>
          </w:tcPr>
          <w:p w:rsidR="00352173" w:rsidRDefault="00352173" w:rsidP="0035217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min. 25 % nebo min. 10 %</w:t>
            </w:r>
          </w:p>
          <w:p w:rsidR="00352173" w:rsidRDefault="00352173" w:rsidP="00352173">
            <w:pPr>
              <w:widowControl/>
              <w:suppressAutoHyphens w:val="0"/>
              <w:autoSpaceDE w:val="0"/>
              <w:adjustRightInd w:val="0"/>
              <w:jc w:val="both"/>
              <w:textAlignment w:val="auto"/>
              <w:rPr>
                <w:rFonts w:ascii="Arial" w:hAnsi="Arial" w:cs="Arial"/>
                <w:sz w:val="20"/>
                <w:szCs w:val="20"/>
              </w:rPr>
            </w:pPr>
          </w:p>
          <w:p w:rsidR="00352173" w:rsidRPr="00954488" w:rsidRDefault="00352173" w:rsidP="0035217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nebo 5% pokud byla hodnotící kritéria v zadávacích podmínkách uvedena, ale nedostatečně podrobně popsána</w:t>
            </w:r>
          </w:p>
        </w:tc>
      </w:tr>
      <w:tr w:rsidR="00352173" w:rsidRPr="00954488" w:rsidTr="00352173">
        <w:trPr>
          <w:cantSplit/>
          <w:trHeight w:val="454"/>
        </w:trPr>
        <w:tc>
          <w:tcPr>
            <w:tcW w:w="740" w:type="dxa"/>
            <w:vAlign w:val="center"/>
          </w:tcPr>
          <w:p w:rsidR="00352173" w:rsidRPr="006002B9" w:rsidRDefault="00352173" w:rsidP="008149E3">
            <w:pPr>
              <w:jc w:val="center"/>
              <w:rPr>
                <w:rFonts w:ascii="Arial" w:hAnsi="Arial" w:cs="Arial"/>
                <w:b/>
                <w:sz w:val="20"/>
                <w:szCs w:val="20"/>
              </w:rPr>
            </w:pPr>
            <w:r w:rsidRPr="006002B9">
              <w:rPr>
                <w:rFonts w:ascii="Arial" w:hAnsi="Arial" w:cs="Arial"/>
                <w:b/>
                <w:sz w:val="20"/>
                <w:szCs w:val="20"/>
              </w:rPr>
              <w:t>7</w:t>
            </w:r>
          </w:p>
        </w:tc>
        <w:tc>
          <w:tcPr>
            <w:tcW w:w="4675" w:type="dxa"/>
          </w:tcPr>
          <w:p w:rsidR="00352173" w:rsidRDefault="00352173" w:rsidP="008149E3">
            <w:pPr>
              <w:widowControl/>
              <w:suppressAutoHyphens w:val="0"/>
              <w:autoSpaceDE w:val="0"/>
              <w:adjustRightInd w:val="0"/>
              <w:jc w:val="both"/>
              <w:textAlignment w:val="auto"/>
              <w:rPr>
                <w:rFonts w:ascii="Arial" w:hAnsi="Arial" w:cs="Arial"/>
                <w:b/>
                <w:sz w:val="20"/>
                <w:szCs w:val="20"/>
              </w:rPr>
            </w:pPr>
            <w:r w:rsidRPr="000D4005">
              <w:rPr>
                <w:rFonts w:ascii="Arial" w:hAnsi="Arial" w:cs="Arial"/>
                <w:b/>
                <w:sz w:val="20"/>
                <w:szCs w:val="20"/>
              </w:rPr>
              <w:t>Diskriminační kvalifikační požadavky</w:t>
            </w:r>
          </w:p>
          <w:p w:rsidR="00352173" w:rsidRDefault="00352173" w:rsidP="008149E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Stanovení diskriminačních kvalifikačních požadavků. Například:</w:t>
            </w:r>
          </w:p>
          <w:p w:rsidR="00352173" w:rsidRDefault="00352173" w:rsidP="00352173">
            <w:pPr>
              <w:pStyle w:val="Odstavecseseznamem"/>
              <w:widowControl/>
              <w:numPr>
                <w:ilvl w:val="0"/>
                <w:numId w:val="44"/>
              </w:numPr>
              <w:suppressAutoHyphens w:val="0"/>
              <w:autoSpaceDE w:val="0"/>
              <w:adjustRightInd w:val="0"/>
              <w:jc w:val="both"/>
              <w:textAlignment w:val="auto"/>
              <w:rPr>
                <w:rFonts w:ascii="Arial" w:hAnsi="Arial" w:cs="Arial"/>
                <w:sz w:val="20"/>
                <w:szCs w:val="20"/>
              </w:rPr>
            </w:pPr>
            <w:r>
              <w:rPr>
                <w:rFonts w:ascii="Arial" w:hAnsi="Arial" w:cs="Arial"/>
                <w:sz w:val="20"/>
                <w:szCs w:val="20"/>
              </w:rPr>
              <w:t>povinnost mít provozovnu nebo zástupce v dané zemi nebo regionu</w:t>
            </w:r>
          </w:p>
          <w:p w:rsidR="00352173" w:rsidRDefault="00352173" w:rsidP="00352173">
            <w:pPr>
              <w:pStyle w:val="Odstavecseseznamem"/>
              <w:widowControl/>
              <w:numPr>
                <w:ilvl w:val="0"/>
                <w:numId w:val="44"/>
              </w:numPr>
              <w:suppressAutoHyphens w:val="0"/>
              <w:autoSpaceDE w:val="0"/>
              <w:adjustRightInd w:val="0"/>
              <w:jc w:val="both"/>
              <w:textAlignment w:val="auto"/>
              <w:rPr>
                <w:rFonts w:ascii="Arial" w:hAnsi="Arial" w:cs="Arial"/>
                <w:sz w:val="20"/>
                <w:szCs w:val="20"/>
              </w:rPr>
            </w:pPr>
            <w:r>
              <w:rPr>
                <w:rFonts w:ascii="Arial" w:hAnsi="Arial" w:cs="Arial"/>
                <w:sz w:val="20"/>
                <w:szCs w:val="20"/>
              </w:rPr>
              <w:t>povinnost uchazečů mít zkušenosti v dané zemi nebo regionu</w:t>
            </w:r>
          </w:p>
          <w:p w:rsidR="00352173" w:rsidRPr="000D4005" w:rsidRDefault="00352173" w:rsidP="00352173">
            <w:pPr>
              <w:pStyle w:val="Odstavecseseznamem"/>
              <w:widowControl/>
              <w:numPr>
                <w:ilvl w:val="0"/>
                <w:numId w:val="44"/>
              </w:numPr>
              <w:suppressAutoHyphens w:val="0"/>
              <w:autoSpaceDE w:val="0"/>
              <w:adjustRightInd w:val="0"/>
              <w:jc w:val="both"/>
              <w:textAlignment w:val="auto"/>
              <w:rPr>
                <w:rFonts w:ascii="Arial" w:hAnsi="Arial" w:cs="Arial"/>
                <w:sz w:val="20"/>
                <w:szCs w:val="20"/>
              </w:rPr>
            </w:pPr>
            <w:r>
              <w:rPr>
                <w:rFonts w:ascii="Arial" w:hAnsi="Arial" w:cs="Arial"/>
                <w:sz w:val="20"/>
                <w:szCs w:val="20"/>
              </w:rPr>
              <w:t>stanovení kvalifikačních předpokladů, které neodpovídají předmětu zadávané zakázky.</w:t>
            </w:r>
          </w:p>
        </w:tc>
        <w:tc>
          <w:tcPr>
            <w:tcW w:w="4252" w:type="dxa"/>
            <w:vAlign w:val="center"/>
          </w:tcPr>
          <w:p w:rsidR="00352173" w:rsidRDefault="00352173" w:rsidP="00352173">
            <w:pPr>
              <w:jc w:val="both"/>
              <w:rPr>
                <w:rFonts w:ascii="Arial" w:hAnsi="Arial" w:cs="Arial"/>
                <w:sz w:val="20"/>
                <w:szCs w:val="20"/>
              </w:rPr>
            </w:pPr>
            <w:r>
              <w:rPr>
                <w:rFonts w:ascii="Arial" w:hAnsi="Arial" w:cs="Arial"/>
                <w:sz w:val="20"/>
                <w:szCs w:val="20"/>
              </w:rPr>
              <w:t xml:space="preserve">min. 25 % nebo min. 10 % </w:t>
            </w:r>
          </w:p>
          <w:p w:rsidR="00352173" w:rsidRDefault="00352173" w:rsidP="00352173">
            <w:pPr>
              <w:jc w:val="both"/>
              <w:rPr>
                <w:rFonts w:ascii="Arial" w:hAnsi="Arial" w:cs="Arial"/>
                <w:sz w:val="20"/>
                <w:szCs w:val="20"/>
              </w:rPr>
            </w:pPr>
          </w:p>
          <w:p w:rsidR="00352173" w:rsidRPr="00954488" w:rsidRDefault="00352173" w:rsidP="00352173">
            <w:pPr>
              <w:jc w:val="both"/>
              <w:rPr>
                <w:rFonts w:ascii="Arial" w:hAnsi="Arial" w:cs="Arial"/>
                <w:sz w:val="20"/>
                <w:szCs w:val="20"/>
              </w:rPr>
            </w:pPr>
            <w:r>
              <w:rPr>
                <w:rFonts w:ascii="Arial" w:hAnsi="Arial" w:cs="Arial"/>
                <w:sz w:val="20"/>
                <w:szCs w:val="20"/>
              </w:rPr>
              <w:t>nebo 5 % s ohledem na závažnost porušení</w:t>
            </w:r>
          </w:p>
        </w:tc>
      </w:tr>
      <w:tr w:rsidR="00352173" w:rsidRPr="00954488" w:rsidTr="00352173">
        <w:trPr>
          <w:cantSplit/>
          <w:trHeight w:val="454"/>
        </w:trPr>
        <w:tc>
          <w:tcPr>
            <w:tcW w:w="740" w:type="dxa"/>
            <w:vAlign w:val="center"/>
          </w:tcPr>
          <w:p w:rsidR="00352173" w:rsidRPr="006002B9" w:rsidRDefault="00352173" w:rsidP="008149E3">
            <w:pPr>
              <w:jc w:val="center"/>
              <w:rPr>
                <w:rFonts w:ascii="Arial" w:hAnsi="Arial" w:cs="Arial"/>
                <w:b/>
                <w:sz w:val="20"/>
                <w:szCs w:val="20"/>
              </w:rPr>
            </w:pPr>
            <w:r w:rsidRPr="006002B9">
              <w:rPr>
                <w:rFonts w:ascii="Arial" w:hAnsi="Arial" w:cs="Arial"/>
                <w:b/>
                <w:sz w:val="20"/>
                <w:szCs w:val="20"/>
              </w:rPr>
              <w:t>8</w:t>
            </w:r>
          </w:p>
        </w:tc>
        <w:tc>
          <w:tcPr>
            <w:tcW w:w="4675" w:type="dxa"/>
          </w:tcPr>
          <w:p w:rsidR="00352173" w:rsidRPr="000D4005" w:rsidRDefault="00352173" w:rsidP="008149E3">
            <w:pPr>
              <w:widowControl/>
              <w:suppressAutoHyphens w:val="0"/>
              <w:autoSpaceDE w:val="0"/>
              <w:adjustRightInd w:val="0"/>
              <w:jc w:val="both"/>
              <w:textAlignment w:val="auto"/>
              <w:rPr>
                <w:rFonts w:ascii="Arial" w:hAnsi="Arial" w:cs="Arial"/>
                <w:b/>
                <w:sz w:val="20"/>
                <w:szCs w:val="20"/>
              </w:rPr>
            </w:pPr>
            <w:r w:rsidRPr="000D4005">
              <w:rPr>
                <w:rFonts w:ascii="Arial" w:hAnsi="Arial" w:cs="Arial"/>
                <w:b/>
                <w:sz w:val="20"/>
                <w:szCs w:val="20"/>
              </w:rPr>
              <w:t>Hodnotící kritéria stanovená v rozporu se zásadami Pokynů pro zadávání zakázek</w:t>
            </w:r>
          </w:p>
          <w:p w:rsidR="00352173" w:rsidRPr="000D4005" w:rsidRDefault="00352173" w:rsidP="008149E3">
            <w:pPr>
              <w:widowControl/>
              <w:suppressAutoHyphens w:val="0"/>
              <w:autoSpaceDE w:val="0"/>
              <w:adjustRightInd w:val="0"/>
              <w:jc w:val="both"/>
              <w:textAlignment w:val="auto"/>
              <w:rPr>
                <w:rFonts w:ascii="Arial" w:hAnsi="Arial" w:cs="Arial"/>
                <w:sz w:val="20"/>
                <w:szCs w:val="20"/>
              </w:rPr>
            </w:pPr>
            <w:r w:rsidRPr="000D4005">
              <w:rPr>
                <w:rFonts w:ascii="Arial" w:hAnsi="Arial" w:cs="Arial"/>
                <w:sz w:val="20"/>
                <w:szCs w:val="20"/>
              </w:rPr>
              <w:t>Stanovení hodnotících kritérií, která nevyjadř</w:t>
            </w:r>
            <w:r w:rsidR="00480D35">
              <w:rPr>
                <w:rFonts w:ascii="Arial" w:hAnsi="Arial" w:cs="Arial"/>
                <w:sz w:val="20"/>
                <w:szCs w:val="20"/>
              </w:rPr>
              <w:t>ují vztah užitné hodnoty a ceny, nebo stanovení hodnotících kritérií, která se nevztahují k předmětu zakázky</w:t>
            </w:r>
          </w:p>
        </w:tc>
        <w:tc>
          <w:tcPr>
            <w:tcW w:w="4252" w:type="dxa"/>
            <w:vAlign w:val="center"/>
          </w:tcPr>
          <w:p w:rsidR="00352173" w:rsidRPr="00954488" w:rsidRDefault="00352173" w:rsidP="0035217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min. 25 % nebo 10 % nebo 5 % s ohledem na závažnost porušení</w:t>
            </w:r>
          </w:p>
        </w:tc>
      </w:tr>
      <w:tr w:rsidR="00352173" w:rsidRPr="00954488" w:rsidTr="00352173">
        <w:trPr>
          <w:cantSplit/>
          <w:trHeight w:val="454"/>
        </w:trPr>
        <w:tc>
          <w:tcPr>
            <w:tcW w:w="740" w:type="dxa"/>
            <w:vAlign w:val="center"/>
          </w:tcPr>
          <w:p w:rsidR="00352173" w:rsidRPr="006002B9" w:rsidRDefault="00352173" w:rsidP="008149E3">
            <w:pPr>
              <w:jc w:val="center"/>
              <w:rPr>
                <w:rFonts w:ascii="Arial" w:hAnsi="Arial" w:cs="Arial"/>
                <w:b/>
                <w:sz w:val="20"/>
                <w:szCs w:val="20"/>
              </w:rPr>
            </w:pPr>
            <w:r w:rsidRPr="006002B9">
              <w:rPr>
                <w:rFonts w:ascii="Arial" w:hAnsi="Arial" w:cs="Arial"/>
                <w:b/>
                <w:sz w:val="20"/>
                <w:szCs w:val="20"/>
              </w:rPr>
              <w:t>9</w:t>
            </w:r>
          </w:p>
        </w:tc>
        <w:tc>
          <w:tcPr>
            <w:tcW w:w="4675" w:type="dxa"/>
          </w:tcPr>
          <w:p w:rsidR="00352173" w:rsidRPr="000F53F6" w:rsidRDefault="00352173" w:rsidP="008149E3">
            <w:pPr>
              <w:widowControl/>
              <w:suppressAutoHyphens w:val="0"/>
              <w:autoSpaceDE w:val="0"/>
              <w:adjustRightInd w:val="0"/>
              <w:jc w:val="both"/>
              <w:textAlignment w:val="auto"/>
              <w:rPr>
                <w:rFonts w:ascii="Arial" w:hAnsi="Arial" w:cs="Arial"/>
                <w:b/>
                <w:sz w:val="20"/>
                <w:szCs w:val="20"/>
              </w:rPr>
            </w:pPr>
            <w:r w:rsidRPr="000F53F6">
              <w:rPr>
                <w:rFonts w:ascii="Arial" w:hAnsi="Arial" w:cs="Arial"/>
                <w:b/>
                <w:sz w:val="20"/>
                <w:szCs w:val="20"/>
              </w:rPr>
              <w:t>Diskriminační vymezení předmětu zakázky</w:t>
            </w:r>
          </w:p>
          <w:p w:rsidR="00352173" w:rsidRPr="000F53F6" w:rsidRDefault="00352173" w:rsidP="008149E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Předmět zakázky je v zadávacích podmínkách vymezen příliš konkrétně, tak že není zajištěn rovný přístup k jednotlivým dodavatelům, resp. někteří dodavatelé jsou takto vymezeným předmětem zakázky zvýhodněni.</w:t>
            </w:r>
          </w:p>
        </w:tc>
        <w:tc>
          <w:tcPr>
            <w:tcW w:w="4252" w:type="dxa"/>
            <w:vAlign w:val="center"/>
          </w:tcPr>
          <w:p w:rsidR="00352173" w:rsidRPr="00954488" w:rsidRDefault="00352173" w:rsidP="00352173">
            <w:pPr>
              <w:jc w:val="both"/>
              <w:rPr>
                <w:rFonts w:ascii="Arial" w:hAnsi="Arial" w:cs="Arial"/>
                <w:sz w:val="20"/>
                <w:szCs w:val="20"/>
              </w:rPr>
            </w:pPr>
            <w:r>
              <w:rPr>
                <w:rFonts w:ascii="Arial" w:hAnsi="Arial" w:cs="Arial"/>
                <w:sz w:val="20"/>
                <w:szCs w:val="20"/>
              </w:rPr>
              <w:t xml:space="preserve">min. 25 % nebo min. 10 % nebo </w:t>
            </w:r>
            <w:r>
              <w:rPr>
                <w:rFonts w:ascii="Arial" w:hAnsi="Arial" w:cs="Arial"/>
                <w:sz w:val="20"/>
                <w:szCs w:val="20"/>
              </w:rPr>
              <w:br/>
              <w:t>5 % s ohledem na závažnost porušení</w:t>
            </w:r>
          </w:p>
        </w:tc>
      </w:tr>
      <w:tr w:rsidR="00352173" w:rsidRPr="00954488" w:rsidTr="00352173">
        <w:trPr>
          <w:cantSplit/>
          <w:trHeight w:val="454"/>
        </w:trPr>
        <w:tc>
          <w:tcPr>
            <w:tcW w:w="740" w:type="dxa"/>
            <w:vAlign w:val="center"/>
          </w:tcPr>
          <w:p w:rsidR="00352173" w:rsidRPr="006002B9" w:rsidRDefault="00352173" w:rsidP="008149E3">
            <w:pPr>
              <w:jc w:val="center"/>
              <w:rPr>
                <w:rFonts w:ascii="Arial" w:hAnsi="Arial" w:cs="Arial"/>
                <w:b/>
                <w:sz w:val="20"/>
                <w:szCs w:val="20"/>
              </w:rPr>
            </w:pPr>
            <w:r w:rsidRPr="006002B9">
              <w:rPr>
                <w:rFonts w:ascii="Arial" w:hAnsi="Arial" w:cs="Arial"/>
                <w:b/>
                <w:sz w:val="20"/>
                <w:szCs w:val="20"/>
              </w:rPr>
              <w:t>10</w:t>
            </w:r>
          </w:p>
        </w:tc>
        <w:tc>
          <w:tcPr>
            <w:tcW w:w="4675" w:type="dxa"/>
          </w:tcPr>
          <w:p w:rsidR="00352173" w:rsidRPr="000F53F6" w:rsidRDefault="00352173" w:rsidP="008149E3">
            <w:pPr>
              <w:widowControl/>
              <w:suppressAutoHyphens w:val="0"/>
              <w:autoSpaceDE w:val="0"/>
              <w:adjustRightInd w:val="0"/>
              <w:jc w:val="both"/>
              <w:textAlignment w:val="auto"/>
              <w:rPr>
                <w:rFonts w:ascii="Arial" w:hAnsi="Arial" w:cs="Arial"/>
                <w:b/>
                <w:sz w:val="20"/>
                <w:szCs w:val="20"/>
              </w:rPr>
            </w:pPr>
            <w:r w:rsidRPr="000F53F6">
              <w:rPr>
                <w:rFonts w:ascii="Arial" w:hAnsi="Arial" w:cs="Arial"/>
                <w:b/>
                <w:sz w:val="20"/>
                <w:szCs w:val="20"/>
              </w:rPr>
              <w:t>Nedostatečné vymezení předmětu zakázky</w:t>
            </w:r>
          </w:p>
          <w:p w:rsidR="00352173" w:rsidRPr="000F53F6" w:rsidRDefault="00352173" w:rsidP="008149E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Předmět zakázky je v zadávacích podmínkách vymezen nedostatečně, tak že zadávací podmínky neobsahují veškeré informace podstatné pro zpracování nabídky.</w:t>
            </w:r>
          </w:p>
        </w:tc>
        <w:tc>
          <w:tcPr>
            <w:tcW w:w="4252" w:type="dxa"/>
            <w:vAlign w:val="center"/>
          </w:tcPr>
          <w:p w:rsidR="00352173" w:rsidRPr="00954488" w:rsidRDefault="00352173" w:rsidP="00352173">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min. 10 % nebo min. 5 % s ohledem na závažnost porušení</w:t>
            </w:r>
          </w:p>
        </w:tc>
      </w:tr>
    </w:tbl>
    <w:p w:rsidR="00480D35" w:rsidRDefault="00480D35" w:rsidP="00352173">
      <w:pPr>
        <w:spacing w:after="120"/>
        <w:rPr>
          <w:rFonts w:ascii="Arial" w:hAnsi="Arial" w:cs="Arial"/>
          <w:b/>
          <w:sz w:val="22"/>
          <w:szCs w:val="22"/>
        </w:rPr>
      </w:pPr>
    </w:p>
    <w:p w:rsidR="008149E3" w:rsidRDefault="008149E3" w:rsidP="00352173">
      <w:pPr>
        <w:spacing w:after="120"/>
        <w:rPr>
          <w:rFonts w:ascii="Arial" w:hAnsi="Arial" w:cs="Arial"/>
          <w:b/>
          <w:sz w:val="22"/>
          <w:szCs w:val="22"/>
        </w:rPr>
      </w:pPr>
    </w:p>
    <w:p w:rsidR="00352173" w:rsidRPr="000F53F6" w:rsidRDefault="00352173" w:rsidP="00352173">
      <w:pPr>
        <w:spacing w:after="120"/>
        <w:rPr>
          <w:rFonts w:ascii="Arial" w:hAnsi="Arial" w:cs="Arial"/>
          <w:b/>
          <w:sz w:val="22"/>
          <w:szCs w:val="22"/>
        </w:rPr>
      </w:pPr>
      <w:r w:rsidRPr="000F53F6">
        <w:rPr>
          <w:rFonts w:ascii="Arial" w:hAnsi="Arial" w:cs="Arial"/>
          <w:b/>
          <w:sz w:val="22"/>
          <w:szCs w:val="22"/>
        </w:rPr>
        <w:t xml:space="preserve">1.2 </w:t>
      </w:r>
      <w:r w:rsidR="00480D35">
        <w:rPr>
          <w:rFonts w:ascii="Arial" w:hAnsi="Arial" w:cs="Arial"/>
          <w:b/>
          <w:sz w:val="22"/>
          <w:szCs w:val="22"/>
        </w:rPr>
        <w:t>Posouzení, h</w:t>
      </w:r>
      <w:r w:rsidRPr="000F53F6">
        <w:rPr>
          <w:rFonts w:ascii="Arial" w:hAnsi="Arial" w:cs="Arial"/>
          <w:b/>
          <w:sz w:val="22"/>
          <w:szCs w:val="22"/>
        </w:rPr>
        <w:t xml:space="preserve">odnocení </w:t>
      </w:r>
      <w:r w:rsidR="00480D35">
        <w:rPr>
          <w:rFonts w:ascii="Arial" w:hAnsi="Arial" w:cs="Arial"/>
          <w:b/>
          <w:sz w:val="22"/>
          <w:szCs w:val="22"/>
        </w:rPr>
        <w:t xml:space="preserve">a výběr </w:t>
      </w:r>
      <w:r w:rsidRPr="000F53F6">
        <w:rPr>
          <w:rFonts w:ascii="Arial" w:hAnsi="Arial" w:cs="Arial"/>
          <w:b/>
          <w:sz w:val="22"/>
          <w:szCs w:val="22"/>
        </w:rPr>
        <w:t>nabídek</w:t>
      </w:r>
    </w:p>
    <w:tbl>
      <w:tblPr>
        <w:tblStyle w:val="Mkatabulky"/>
        <w:tblW w:w="9667" w:type="dxa"/>
        <w:tblLayout w:type="fixed"/>
        <w:tblCellMar>
          <w:top w:w="28" w:type="dxa"/>
          <w:left w:w="28" w:type="dxa"/>
          <w:bottom w:w="28" w:type="dxa"/>
          <w:right w:w="28" w:type="dxa"/>
        </w:tblCellMar>
        <w:tblLook w:val="04A0" w:firstRow="1" w:lastRow="0" w:firstColumn="1" w:lastColumn="0" w:noHBand="0" w:noVBand="1"/>
      </w:tblPr>
      <w:tblGrid>
        <w:gridCol w:w="740"/>
        <w:gridCol w:w="4675"/>
        <w:gridCol w:w="4252"/>
      </w:tblGrid>
      <w:tr w:rsidR="00352173" w:rsidRPr="00954488" w:rsidTr="00352173">
        <w:trPr>
          <w:trHeight w:val="567"/>
          <w:tblHeader/>
        </w:trPr>
        <w:tc>
          <w:tcPr>
            <w:tcW w:w="740"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sidRPr="00954488">
              <w:rPr>
                <w:rFonts w:ascii="Arial" w:hAnsi="Arial" w:cs="Arial"/>
                <w:b/>
                <w:sz w:val="20"/>
                <w:szCs w:val="20"/>
              </w:rPr>
              <w:t>Č.</w:t>
            </w:r>
          </w:p>
        </w:tc>
        <w:tc>
          <w:tcPr>
            <w:tcW w:w="4675"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sidRPr="00954488">
              <w:rPr>
                <w:rFonts w:ascii="Arial" w:hAnsi="Arial" w:cs="Arial"/>
                <w:b/>
                <w:sz w:val="20"/>
                <w:szCs w:val="20"/>
              </w:rPr>
              <w:t>Popis porušení</w:t>
            </w:r>
          </w:p>
        </w:tc>
        <w:tc>
          <w:tcPr>
            <w:tcW w:w="4252"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Pr>
                <w:rFonts w:ascii="Arial" w:hAnsi="Arial" w:cs="Arial"/>
                <w:b/>
                <w:sz w:val="20"/>
                <w:szCs w:val="20"/>
              </w:rPr>
              <w:t>Procentní rozmezí sazby pro výpočet sníženého odvodu</w:t>
            </w:r>
            <w:r>
              <w:rPr>
                <w:rStyle w:val="Znakapoznpodarou"/>
                <w:rFonts w:ascii="Arial" w:hAnsi="Arial" w:cs="Arial"/>
                <w:b/>
                <w:sz w:val="20"/>
                <w:szCs w:val="20"/>
              </w:rPr>
              <w:t>1</w:t>
            </w:r>
          </w:p>
        </w:tc>
      </w:tr>
      <w:tr w:rsidR="00352173" w:rsidRPr="00954488" w:rsidTr="00352173">
        <w:trPr>
          <w:trHeight w:val="567"/>
          <w:tblHeader/>
        </w:trPr>
        <w:tc>
          <w:tcPr>
            <w:tcW w:w="740" w:type="dxa"/>
            <w:shd w:val="clear" w:color="auto" w:fill="auto"/>
            <w:vAlign w:val="center"/>
          </w:tcPr>
          <w:p w:rsidR="00352173" w:rsidRPr="00352173" w:rsidRDefault="00352173" w:rsidP="008149E3">
            <w:pPr>
              <w:jc w:val="center"/>
              <w:rPr>
                <w:rFonts w:ascii="Arial" w:hAnsi="Arial" w:cs="Arial"/>
                <w:b/>
                <w:sz w:val="20"/>
                <w:szCs w:val="20"/>
              </w:rPr>
            </w:pPr>
            <w:r w:rsidRPr="00352173">
              <w:rPr>
                <w:rFonts w:ascii="Arial" w:hAnsi="Arial" w:cs="Arial"/>
                <w:b/>
                <w:sz w:val="20"/>
                <w:szCs w:val="20"/>
              </w:rPr>
              <w:t>11</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Změna kvalifikačních požadavků po otevření obálek s nabídkami</w:t>
            </w:r>
          </w:p>
          <w:p w:rsidR="00352173" w:rsidRPr="00C5711A" w:rsidRDefault="00352173" w:rsidP="008149E3">
            <w:pPr>
              <w:jc w:val="both"/>
              <w:rPr>
                <w:rFonts w:ascii="Arial" w:hAnsi="Arial" w:cs="Arial"/>
                <w:sz w:val="20"/>
                <w:szCs w:val="20"/>
              </w:rPr>
            </w:pPr>
            <w:r>
              <w:rPr>
                <w:rFonts w:ascii="Arial" w:hAnsi="Arial" w:cs="Arial"/>
                <w:sz w:val="20"/>
                <w:szCs w:val="20"/>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4252" w:type="dxa"/>
            <w:shd w:val="clear" w:color="auto" w:fill="auto"/>
            <w:vAlign w:val="center"/>
          </w:tcPr>
          <w:p w:rsidR="00352173" w:rsidRPr="00C5711A" w:rsidRDefault="00352173" w:rsidP="00352173">
            <w:pPr>
              <w:jc w:val="both"/>
              <w:rPr>
                <w:rFonts w:ascii="Arial" w:hAnsi="Arial" w:cs="Arial"/>
                <w:sz w:val="20"/>
                <w:szCs w:val="20"/>
              </w:rPr>
            </w:pPr>
            <w:r>
              <w:rPr>
                <w:rFonts w:ascii="Arial" w:hAnsi="Arial" w:cs="Arial"/>
                <w:sz w:val="20"/>
                <w:szCs w:val="20"/>
              </w:rPr>
              <w:t xml:space="preserve">min. 25 % nebo min. 10 % nebo </w:t>
            </w:r>
            <w:r>
              <w:rPr>
                <w:rFonts w:ascii="Arial" w:hAnsi="Arial" w:cs="Arial"/>
                <w:sz w:val="20"/>
                <w:szCs w:val="20"/>
              </w:rPr>
              <w:br/>
              <w:t>5 % s ohledem na závažnost porušení</w:t>
            </w:r>
          </w:p>
        </w:tc>
      </w:tr>
      <w:tr w:rsidR="00352173" w:rsidRPr="00954488" w:rsidTr="00352173">
        <w:trPr>
          <w:trHeight w:val="567"/>
          <w:tblHeader/>
        </w:trPr>
        <w:tc>
          <w:tcPr>
            <w:tcW w:w="740" w:type="dxa"/>
            <w:shd w:val="clear" w:color="auto" w:fill="auto"/>
            <w:vAlign w:val="center"/>
          </w:tcPr>
          <w:p w:rsidR="00352173" w:rsidRPr="00352173" w:rsidRDefault="00352173" w:rsidP="008149E3">
            <w:pPr>
              <w:jc w:val="center"/>
              <w:rPr>
                <w:rFonts w:ascii="Arial" w:hAnsi="Arial" w:cs="Arial"/>
                <w:b/>
                <w:sz w:val="20"/>
                <w:szCs w:val="20"/>
              </w:rPr>
            </w:pPr>
            <w:r w:rsidRPr="00352173">
              <w:rPr>
                <w:rFonts w:ascii="Arial" w:hAnsi="Arial" w:cs="Arial"/>
                <w:b/>
                <w:sz w:val="20"/>
                <w:szCs w:val="20"/>
              </w:rPr>
              <w:t>12</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Hodnocení nabídek podle jiných hodnotících kritérií, než byla uvedena v zadávacích podmínkách</w:t>
            </w:r>
          </w:p>
          <w:p w:rsidR="00352173" w:rsidRPr="00C5711A" w:rsidRDefault="00352173" w:rsidP="008149E3">
            <w:pPr>
              <w:jc w:val="both"/>
              <w:rPr>
                <w:rFonts w:ascii="Arial" w:hAnsi="Arial" w:cs="Arial"/>
                <w:sz w:val="20"/>
                <w:szCs w:val="20"/>
              </w:rPr>
            </w:pPr>
            <w:r>
              <w:rPr>
                <w:rFonts w:ascii="Arial" w:hAnsi="Arial" w:cs="Arial"/>
                <w:sz w:val="20"/>
                <w:szCs w:val="20"/>
              </w:rPr>
              <w:t>Při hodnocení nabídek byla použita jiná hodnotící kritéria (případně sub-kritéria nebo jejich váhy), než byla uvedena v zadávacích podmínkách a tato skutečnost měla vliv na výběr nejvhodnější nabídky.</w:t>
            </w:r>
          </w:p>
        </w:tc>
        <w:tc>
          <w:tcPr>
            <w:tcW w:w="4252" w:type="dxa"/>
            <w:shd w:val="clear" w:color="auto" w:fill="auto"/>
            <w:vAlign w:val="center"/>
          </w:tcPr>
          <w:p w:rsidR="00352173" w:rsidRDefault="00352173" w:rsidP="00352173">
            <w:pPr>
              <w:jc w:val="both"/>
              <w:rPr>
                <w:rFonts w:ascii="Arial" w:hAnsi="Arial" w:cs="Arial"/>
                <w:sz w:val="20"/>
                <w:szCs w:val="20"/>
              </w:rPr>
            </w:pPr>
            <w:r>
              <w:rPr>
                <w:rFonts w:ascii="Arial" w:hAnsi="Arial" w:cs="Arial"/>
                <w:sz w:val="20"/>
                <w:szCs w:val="20"/>
              </w:rPr>
              <w:t xml:space="preserve">min. 25 % nebo min. 10 % nebo </w:t>
            </w:r>
            <w:r>
              <w:rPr>
                <w:rFonts w:ascii="Arial" w:hAnsi="Arial" w:cs="Arial"/>
                <w:sz w:val="20"/>
                <w:szCs w:val="20"/>
              </w:rPr>
              <w:br/>
              <w:t>5 % s ohledem na závažnost porušení</w:t>
            </w:r>
          </w:p>
        </w:tc>
      </w:tr>
      <w:tr w:rsidR="00352173" w:rsidRPr="00954488" w:rsidTr="00352173">
        <w:trPr>
          <w:trHeight w:val="567"/>
          <w:tblHeader/>
        </w:trPr>
        <w:tc>
          <w:tcPr>
            <w:tcW w:w="740" w:type="dxa"/>
            <w:shd w:val="clear" w:color="auto" w:fill="auto"/>
            <w:vAlign w:val="center"/>
          </w:tcPr>
          <w:p w:rsidR="00352173" w:rsidRPr="00352173" w:rsidRDefault="00352173" w:rsidP="008149E3">
            <w:pPr>
              <w:jc w:val="center"/>
              <w:rPr>
                <w:rFonts w:ascii="Arial" w:hAnsi="Arial" w:cs="Arial"/>
                <w:b/>
                <w:sz w:val="20"/>
                <w:szCs w:val="20"/>
              </w:rPr>
            </w:pPr>
            <w:r w:rsidRPr="00352173">
              <w:rPr>
                <w:rFonts w:ascii="Arial" w:hAnsi="Arial" w:cs="Arial"/>
                <w:b/>
                <w:sz w:val="20"/>
                <w:szCs w:val="20"/>
              </w:rPr>
              <w:t>13</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Netransparentní posouzení a/nebo hodnocení nabídek</w:t>
            </w:r>
          </w:p>
          <w:p w:rsidR="00352173" w:rsidRPr="00C5711A" w:rsidRDefault="00352173" w:rsidP="008149E3">
            <w:pPr>
              <w:jc w:val="both"/>
              <w:rPr>
                <w:rFonts w:ascii="Arial" w:hAnsi="Arial" w:cs="Arial"/>
                <w:sz w:val="20"/>
                <w:szCs w:val="20"/>
              </w:rPr>
            </w:pPr>
            <w:r w:rsidRPr="00C5711A">
              <w:rPr>
                <w:rFonts w:ascii="Arial" w:hAnsi="Arial" w:cs="Arial"/>
                <w:sz w:val="20"/>
                <w:szCs w:val="20"/>
              </w:rPr>
              <w:t>Protokol/zápis o hodnocení nabídek neexistuje nebo neobsahuje všechny náležitosti dle Pokynů pro zadávání zakázek</w:t>
            </w:r>
            <w:r>
              <w:rPr>
                <w:rFonts w:ascii="Arial" w:hAnsi="Arial" w:cs="Arial"/>
                <w:sz w:val="20"/>
                <w:szCs w:val="20"/>
              </w:rPr>
              <w:t>.</w:t>
            </w:r>
          </w:p>
        </w:tc>
        <w:tc>
          <w:tcPr>
            <w:tcW w:w="4252" w:type="dxa"/>
            <w:shd w:val="clear" w:color="auto" w:fill="auto"/>
            <w:vAlign w:val="center"/>
          </w:tcPr>
          <w:p w:rsidR="00352173" w:rsidRDefault="00352173" w:rsidP="00352173">
            <w:pPr>
              <w:jc w:val="both"/>
              <w:rPr>
                <w:rFonts w:ascii="Arial" w:hAnsi="Arial" w:cs="Arial"/>
                <w:sz w:val="20"/>
                <w:szCs w:val="20"/>
              </w:rPr>
            </w:pPr>
            <w:r>
              <w:rPr>
                <w:rFonts w:ascii="Arial" w:hAnsi="Arial" w:cs="Arial"/>
                <w:sz w:val="20"/>
                <w:szCs w:val="20"/>
              </w:rPr>
              <w:t xml:space="preserve">min. 25 % nebo min. 10 % nebo </w:t>
            </w:r>
            <w:r>
              <w:rPr>
                <w:rFonts w:ascii="Arial" w:hAnsi="Arial" w:cs="Arial"/>
                <w:sz w:val="20"/>
                <w:szCs w:val="20"/>
              </w:rPr>
              <w:br/>
              <w:t>5 % s ohledem na závažnost porušení</w:t>
            </w:r>
          </w:p>
        </w:tc>
      </w:tr>
      <w:tr w:rsidR="00352173" w:rsidRPr="00954488" w:rsidTr="00352173">
        <w:trPr>
          <w:trHeight w:val="567"/>
          <w:tblHeader/>
        </w:trPr>
        <w:tc>
          <w:tcPr>
            <w:tcW w:w="740" w:type="dxa"/>
            <w:shd w:val="clear" w:color="auto" w:fill="auto"/>
            <w:vAlign w:val="center"/>
          </w:tcPr>
          <w:p w:rsidR="00352173" w:rsidRPr="00352173" w:rsidRDefault="00352173" w:rsidP="008149E3">
            <w:pPr>
              <w:jc w:val="center"/>
              <w:rPr>
                <w:rFonts w:ascii="Arial" w:hAnsi="Arial" w:cs="Arial"/>
                <w:b/>
                <w:sz w:val="20"/>
                <w:szCs w:val="20"/>
              </w:rPr>
            </w:pPr>
            <w:r w:rsidRPr="00352173">
              <w:rPr>
                <w:rFonts w:ascii="Arial" w:hAnsi="Arial" w:cs="Arial"/>
                <w:b/>
                <w:sz w:val="20"/>
                <w:szCs w:val="20"/>
              </w:rPr>
              <w:t>14</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Zvýhodnění některého dodavatele nebo některých dodavatelů</w:t>
            </w:r>
          </w:p>
          <w:p w:rsidR="00352173" w:rsidRPr="00F7467C" w:rsidRDefault="00352173" w:rsidP="008149E3">
            <w:pPr>
              <w:jc w:val="both"/>
              <w:rPr>
                <w:rFonts w:ascii="Arial" w:hAnsi="Arial" w:cs="Arial"/>
                <w:sz w:val="20"/>
                <w:szCs w:val="20"/>
              </w:rPr>
            </w:pPr>
            <w:r w:rsidRPr="00F7467C">
              <w:rPr>
                <w:rFonts w:ascii="Arial" w:hAnsi="Arial" w:cs="Arial"/>
                <w:sz w:val="20"/>
                <w:szCs w:val="20"/>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4252" w:type="dxa"/>
            <w:shd w:val="clear" w:color="auto" w:fill="auto"/>
            <w:vAlign w:val="center"/>
          </w:tcPr>
          <w:p w:rsidR="00352173" w:rsidRDefault="00352173" w:rsidP="00352173">
            <w:pPr>
              <w:jc w:val="both"/>
              <w:rPr>
                <w:rFonts w:ascii="Arial" w:hAnsi="Arial" w:cs="Arial"/>
                <w:sz w:val="20"/>
                <w:szCs w:val="20"/>
              </w:rPr>
            </w:pPr>
            <w:r>
              <w:rPr>
                <w:rFonts w:ascii="Arial" w:hAnsi="Arial" w:cs="Arial"/>
                <w:sz w:val="20"/>
                <w:szCs w:val="20"/>
              </w:rPr>
              <w:t xml:space="preserve">min. 25 % nebo min. 10 % nebo </w:t>
            </w:r>
            <w:r>
              <w:rPr>
                <w:rFonts w:ascii="Arial" w:hAnsi="Arial" w:cs="Arial"/>
                <w:sz w:val="20"/>
                <w:szCs w:val="20"/>
              </w:rPr>
              <w:br/>
              <w:t>5 % s ohledem na závažnost porušení</w:t>
            </w:r>
          </w:p>
        </w:tc>
      </w:tr>
      <w:tr w:rsidR="00352173" w:rsidRPr="00954488" w:rsidTr="00352173">
        <w:trPr>
          <w:trHeight w:val="567"/>
          <w:tblHeader/>
        </w:trPr>
        <w:tc>
          <w:tcPr>
            <w:tcW w:w="740" w:type="dxa"/>
            <w:shd w:val="clear" w:color="auto" w:fill="auto"/>
            <w:vAlign w:val="center"/>
          </w:tcPr>
          <w:p w:rsidR="00352173" w:rsidRPr="00352173" w:rsidRDefault="00352173" w:rsidP="008149E3">
            <w:pPr>
              <w:jc w:val="center"/>
              <w:rPr>
                <w:rFonts w:ascii="Arial" w:hAnsi="Arial" w:cs="Arial"/>
                <w:b/>
                <w:sz w:val="20"/>
                <w:szCs w:val="20"/>
              </w:rPr>
            </w:pPr>
            <w:r w:rsidRPr="00352173">
              <w:rPr>
                <w:rFonts w:ascii="Arial" w:hAnsi="Arial" w:cs="Arial"/>
                <w:b/>
                <w:sz w:val="20"/>
                <w:szCs w:val="20"/>
              </w:rPr>
              <w:t>15</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Změna nabídky během hodnocení</w:t>
            </w:r>
          </w:p>
          <w:p w:rsidR="00352173" w:rsidRPr="00F7467C" w:rsidRDefault="00352173" w:rsidP="008149E3">
            <w:pPr>
              <w:jc w:val="both"/>
              <w:rPr>
                <w:rFonts w:ascii="Arial" w:hAnsi="Arial" w:cs="Arial"/>
                <w:sz w:val="20"/>
                <w:szCs w:val="20"/>
              </w:rPr>
            </w:pPr>
            <w:r w:rsidRPr="00F7467C">
              <w:rPr>
                <w:rFonts w:ascii="Arial" w:hAnsi="Arial" w:cs="Arial"/>
                <w:sz w:val="20"/>
                <w:szCs w:val="20"/>
              </w:rPr>
              <w:t>Zadavatel umožní uchazeči/zájemci, aby upravil svou nabídku během hodnocení nabídek</w:t>
            </w:r>
            <w:r>
              <w:rPr>
                <w:rFonts w:ascii="Arial" w:hAnsi="Arial" w:cs="Arial"/>
                <w:sz w:val="20"/>
                <w:szCs w:val="20"/>
              </w:rPr>
              <w:t>.</w:t>
            </w:r>
          </w:p>
        </w:tc>
        <w:tc>
          <w:tcPr>
            <w:tcW w:w="4252" w:type="dxa"/>
            <w:shd w:val="clear" w:color="auto" w:fill="auto"/>
            <w:vAlign w:val="center"/>
          </w:tcPr>
          <w:p w:rsidR="00352173" w:rsidRDefault="00352173" w:rsidP="00352173">
            <w:pPr>
              <w:jc w:val="both"/>
              <w:rPr>
                <w:rFonts w:ascii="Arial" w:hAnsi="Arial" w:cs="Arial"/>
                <w:sz w:val="20"/>
                <w:szCs w:val="20"/>
              </w:rPr>
            </w:pPr>
            <w:r>
              <w:rPr>
                <w:rFonts w:ascii="Arial" w:hAnsi="Arial" w:cs="Arial"/>
                <w:sz w:val="20"/>
                <w:szCs w:val="20"/>
              </w:rPr>
              <w:t xml:space="preserve">min. 25 % nebo min. 10 % nebo </w:t>
            </w:r>
            <w:r>
              <w:rPr>
                <w:rFonts w:ascii="Arial" w:hAnsi="Arial" w:cs="Arial"/>
                <w:sz w:val="20"/>
                <w:szCs w:val="20"/>
              </w:rPr>
              <w:br/>
              <w:t>5 % s ohledem na závažnost porušení</w:t>
            </w:r>
          </w:p>
        </w:tc>
      </w:tr>
      <w:tr w:rsidR="00352173" w:rsidRPr="00954488" w:rsidTr="00352173">
        <w:trPr>
          <w:trHeight w:val="567"/>
          <w:tblHeader/>
        </w:trPr>
        <w:tc>
          <w:tcPr>
            <w:tcW w:w="740" w:type="dxa"/>
            <w:shd w:val="clear" w:color="auto" w:fill="auto"/>
            <w:vAlign w:val="center"/>
          </w:tcPr>
          <w:p w:rsidR="00352173" w:rsidRPr="00352173" w:rsidRDefault="00352173" w:rsidP="008149E3">
            <w:pPr>
              <w:jc w:val="center"/>
              <w:rPr>
                <w:rFonts w:ascii="Arial" w:hAnsi="Arial" w:cs="Arial"/>
                <w:b/>
                <w:sz w:val="20"/>
                <w:szCs w:val="20"/>
              </w:rPr>
            </w:pPr>
            <w:r w:rsidRPr="00352173">
              <w:rPr>
                <w:rFonts w:ascii="Arial" w:hAnsi="Arial" w:cs="Arial"/>
                <w:b/>
                <w:sz w:val="20"/>
                <w:szCs w:val="20"/>
              </w:rPr>
              <w:t>16</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Zásadní změna zadávacích podmínek</w:t>
            </w:r>
          </w:p>
          <w:p w:rsidR="00352173" w:rsidRPr="00F7467C" w:rsidRDefault="00352173" w:rsidP="008149E3">
            <w:pPr>
              <w:jc w:val="both"/>
              <w:rPr>
                <w:rFonts w:ascii="Arial" w:hAnsi="Arial" w:cs="Arial"/>
                <w:sz w:val="20"/>
                <w:szCs w:val="20"/>
              </w:rPr>
            </w:pPr>
            <w:r w:rsidRPr="00F7467C">
              <w:rPr>
                <w:rFonts w:ascii="Arial" w:hAnsi="Arial" w:cs="Arial"/>
                <w:sz w:val="20"/>
                <w:szCs w:val="20"/>
              </w:rPr>
              <w:t>Původní zadávací podmínky zakázky se podstatně změní po podání nabídek.</w:t>
            </w:r>
          </w:p>
        </w:tc>
        <w:tc>
          <w:tcPr>
            <w:tcW w:w="4252" w:type="dxa"/>
            <w:shd w:val="clear" w:color="auto" w:fill="auto"/>
            <w:vAlign w:val="center"/>
          </w:tcPr>
          <w:p w:rsidR="00352173" w:rsidRDefault="00352173" w:rsidP="00352173">
            <w:pPr>
              <w:jc w:val="both"/>
              <w:rPr>
                <w:rFonts w:ascii="Arial" w:hAnsi="Arial" w:cs="Arial"/>
                <w:sz w:val="20"/>
                <w:szCs w:val="20"/>
              </w:rPr>
            </w:pPr>
            <w:r>
              <w:rPr>
                <w:rFonts w:ascii="Arial" w:hAnsi="Arial" w:cs="Arial"/>
                <w:sz w:val="20"/>
                <w:szCs w:val="20"/>
              </w:rPr>
              <w:t xml:space="preserve">min. 25 % nebo min. 10 % nebo </w:t>
            </w:r>
            <w:r>
              <w:rPr>
                <w:rFonts w:ascii="Arial" w:hAnsi="Arial" w:cs="Arial"/>
                <w:sz w:val="20"/>
                <w:szCs w:val="20"/>
              </w:rPr>
              <w:br/>
              <w:t>5 % s ohledem na závažnost porušení</w:t>
            </w:r>
          </w:p>
        </w:tc>
      </w:tr>
      <w:tr w:rsidR="00352173" w:rsidRPr="00954488" w:rsidTr="00352173">
        <w:trPr>
          <w:trHeight w:val="567"/>
          <w:tblHeader/>
        </w:trPr>
        <w:tc>
          <w:tcPr>
            <w:tcW w:w="740" w:type="dxa"/>
            <w:shd w:val="clear" w:color="auto" w:fill="auto"/>
            <w:vAlign w:val="center"/>
          </w:tcPr>
          <w:p w:rsidR="00352173" w:rsidRPr="00352173" w:rsidRDefault="00352173" w:rsidP="008149E3">
            <w:pPr>
              <w:jc w:val="center"/>
              <w:rPr>
                <w:rFonts w:ascii="Arial" w:hAnsi="Arial" w:cs="Arial"/>
                <w:b/>
                <w:sz w:val="20"/>
                <w:szCs w:val="20"/>
              </w:rPr>
            </w:pPr>
            <w:r w:rsidRPr="00352173">
              <w:rPr>
                <w:rFonts w:ascii="Arial" w:hAnsi="Arial" w:cs="Arial"/>
                <w:b/>
                <w:sz w:val="20"/>
                <w:szCs w:val="20"/>
              </w:rPr>
              <w:t>17</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Odmítnutí mimořádně nízkých nabídek</w:t>
            </w:r>
          </w:p>
          <w:p w:rsidR="00352173" w:rsidRPr="00F7467C" w:rsidRDefault="00352173" w:rsidP="008149E3">
            <w:pPr>
              <w:jc w:val="both"/>
              <w:rPr>
                <w:rFonts w:ascii="Arial" w:hAnsi="Arial" w:cs="Arial"/>
                <w:sz w:val="20"/>
                <w:szCs w:val="20"/>
              </w:rPr>
            </w:pPr>
            <w:r>
              <w:rPr>
                <w:rFonts w:ascii="Arial" w:hAnsi="Arial" w:cs="Arial"/>
                <w:sz w:val="20"/>
                <w:szCs w:val="20"/>
              </w:rPr>
              <w:t>Nabídková cena se zdá být mimořádně nízká v poměru k výrobkům, stavebním pracím nebo službám, zadavatel však tyto nabídky vyřadí, aniž by nejdříve písemně požádal o upřesnění základních prvků nabídky, které považuje za důležité.</w:t>
            </w:r>
          </w:p>
        </w:tc>
        <w:tc>
          <w:tcPr>
            <w:tcW w:w="4252" w:type="dxa"/>
            <w:shd w:val="clear" w:color="auto" w:fill="auto"/>
            <w:vAlign w:val="center"/>
          </w:tcPr>
          <w:p w:rsidR="00352173" w:rsidRDefault="00352173" w:rsidP="00352173">
            <w:pPr>
              <w:jc w:val="both"/>
              <w:rPr>
                <w:rFonts w:ascii="Arial" w:hAnsi="Arial" w:cs="Arial"/>
                <w:sz w:val="20"/>
                <w:szCs w:val="20"/>
              </w:rPr>
            </w:pPr>
            <w:r>
              <w:rPr>
                <w:rFonts w:ascii="Arial" w:hAnsi="Arial" w:cs="Arial"/>
                <w:sz w:val="20"/>
                <w:szCs w:val="20"/>
              </w:rPr>
              <w:t>min. 25%</w:t>
            </w:r>
          </w:p>
        </w:tc>
      </w:tr>
      <w:tr w:rsidR="00480D35" w:rsidRPr="00954488" w:rsidTr="00352173">
        <w:trPr>
          <w:trHeight w:val="567"/>
          <w:tblHeader/>
        </w:trPr>
        <w:tc>
          <w:tcPr>
            <w:tcW w:w="740" w:type="dxa"/>
            <w:shd w:val="clear" w:color="auto" w:fill="auto"/>
            <w:vAlign w:val="center"/>
          </w:tcPr>
          <w:p w:rsidR="00480D35" w:rsidRPr="00352173" w:rsidRDefault="00480D35" w:rsidP="008149E3">
            <w:pPr>
              <w:jc w:val="center"/>
              <w:rPr>
                <w:rFonts w:ascii="Arial" w:hAnsi="Arial" w:cs="Arial"/>
                <w:b/>
                <w:sz w:val="20"/>
                <w:szCs w:val="20"/>
              </w:rPr>
            </w:pPr>
            <w:r>
              <w:rPr>
                <w:rFonts w:ascii="Arial" w:hAnsi="Arial" w:cs="Arial"/>
                <w:b/>
                <w:sz w:val="20"/>
                <w:szCs w:val="20"/>
              </w:rPr>
              <w:t>18</w:t>
            </w:r>
          </w:p>
        </w:tc>
        <w:tc>
          <w:tcPr>
            <w:tcW w:w="4675" w:type="dxa"/>
            <w:shd w:val="clear" w:color="auto" w:fill="auto"/>
            <w:vAlign w:val="center"/>
          </w:tcPr>
          <w:p w:rsidR="00480D35" w:rsidRPr="0063712E" w:rsidRDefault="00480D35" w:rsidP="00480D35">
            <w:pPr>
              <w:jc w:val="both"/>
              <w:rPr>
                <w:rFonts w:ascii="Arial" w:hAnsi="Arial" w:cs="Arial"/>
                <w:b/>
                <w:sz w:val="20"/>
                <w:szCs w:val="20"/>
              </w:rPr>
            </w:pPr>
            <w:r w:rsidRPr="0063712E">
              <w:rPr>
                <w:rFonts w:ascii="Arial" w:hAnsi="Arial" w:cs="Arial"/>
                <w:b/>
                <w:sz w:val="20"/>
                <w:szCs w:val="20"/>
              </w:rPr>
              <w:t>Uzavření smlouvy v rozporu s výsledky výběrového řízení</w:t>
            </w:r>
          </w:p>
          <w:p w:rsidR="00480D35" w:rsidRDefault="00480D35" w:rsidP="00480D35">
            <w:pPr>
              <w:pStyle w:val="Odstavecseseznamem"/>
              <w:numPr>
                <w:ilvl w:val="0"/>
                <w:numId w:val="45"/>
              </w:numPr>
              <w:jc w:val="both"/>
              <w:rPr>
                <w:rFonts w:ascii="Arial" w:hAnsi="Arial" w:cs="Arial"/>
                <w:sz w:val="20"/>
                <w:szCs w:val="20"/>
              </w:rPr>
            </w:pPr>
            <w:r>
              <w:rPr>
                <w:rFonts w:ascii="Arial" w:hAnsi="Arial" w:cs="Arial"/>
                <w:sz w:val="20"/>
                <w:szCs w:val="20"/>
              </w:rPr>
              <w:t>zadavatel uzavřel smlouvy s uchazečem v rozporu s Pokyny pro zadávání zakázek a v rozporu s výsledkem výběrového řízení</w:t>
            </w:r>
          </w:p>
          <w:p w:rsidR="00480D35" w:rsidRPr="00480D35" w:rsidRDefault="00480D35" w:rsidP="00480D35">
            <w:pPr>
              <w:pStyle w:val="Odstavecseseznamem"/>
              <w:numPr>
                <w:ilvl w:val="0"/>
                <w:numId w:val="45"/>
              </w:numPr>
              <w:jc w:val="both"/>
              <w:rPr>
                <w:rFonts w:ascii="Arial" w:hAnsi="Arial" w:cs="Arial"/>
                <w:sz w:val="20"/>
                <w:szCs w:val="20"/>
              </w:rPr>
            </w:pPr>
            <w:r w:rsidRPr="00480D35">
              <w:rPr>
                <w:rFonts w:ascii="Arial" w:hAnsi="Arial" w:cs="Arial"/>
                <w:sz w:val="20"/>
                <w:szCs w:val="20"/>
              </w:rPr>
              <w:t>zadavatel uzavřel smlouvy s uchazečem v rozporu s výsledkem výběrového řízení</w:t>
            </w:r>
          </w:p>
        </w:tc>
        <w:tc>
          <w:tcPr>
            <w:tcW w:w="4252" w:type="dxa"/>
            <w:shd w:val="clear" w:color="auto" w:fill="auto"/>
            <w:vAlign w:val="center"/>
          </w:tcPr>
          <w:p w:rsidR="00480D35" w:rsidRDefault="00480D35" w:rsidP="00480D35">
            <w:pPr>
              <w:jc w:val="center"/>
              <w:rPr>
                <w:rFonts w:ascii="Arial" w:hAnsi="Arial" w:cs="Arial"/>
                <w:sz w:val="20"/>
                <w:szCs w:val="20"/>
              </w:rPr>
            </w:pPr>
            <w:r>
              <w:rPr>
                <w:rFonts w:ascii="Arial" w:hAnsi="Arial" w:cs="Arial"/>
                <w:sz w:val="20"/>
                <w:szCs w:val="20"/>
              </w:rPr>
              <w:t>25 – 30 %</w:t>
            </w:r>
          </w:p>
          <w:p w:rsidR="00480D35" w:rsidRDefault="00480D35" w:rsidP="00480D35">
            <w:pPr>
              <w:jc w:val="center"/>
              <w:rPr>
                <w:rFonts w:ascii="Arial" w:hAnsi="Arial" w:cs="Arial"/>
                <w:sz w:val="20"/>
                <w:szCs w:val="20"/>
              </w:rPr>
            </w:pPr>
          </w:p>
          <w:p w:rsidR="00480D35" w:rsidRDefault="00480D35" w:rsidP="00480D35">
            <w:pPr>
              <w:jc w:val="center"/>
              <w:rPr>
                <w:rFonts w:ascii="Arial" w:hAnsi="Arial" w:cs="Arial"/>
                <w:sz w:val="20"/>
                <w:szCs w:val="20"/>
              </w:rPr>
            </w:pPr>
          </w:p>
          <w:p w:rsidR="00480D35" w:rsidRDefault="00480D35" w:rsidP="00480D35">
            <w:pPr>
              <w:jc w:val="center"/>
              <w:rPr>
                <w:rFonts w:ascii="Arial" w:hAnsi="Arial" w:cs="Arial"/>
                <w:sz w:val="20"/>
                <w:szCs w:val="20"/>
              </w:rPr>
            </w:pPr>
            <w:r>
              <w:rPr>
                <w:rFonts w:ascii="Arial" w:hAnsi="Arial" w:cs="Arial"/>
                <w:sz w:val="20"/>
                <w:szCs w:val="20"/>
              </w:rPr>
              <w:t>10 – 15 %</w:t>
            </w:r>
          </w:p>
        </w:tc>
      </w:tr>
      <w:tr w:rsidR="00480D35" w:rsidRPr="00954488" w:rsidTr="00352173">
        <w:trPr>
          <w:trHeight w:val="567"/>
          <w:tblHeader/>
        </w:trPr>
        <w:tc>
          <w:tcPr>
            <w:tcW w:w="740" w:type="dxa"/>
            <w:shd w:val="clear" w:color="auto" w:fill="auto"/>
            <w:vAlign w:val="center"/>
          </w:tcPr>
          <w:p w:rsidR="00480D35" w:rsidRPr="00352173" w:rsidRDefault="00480D35" w:rsidP="008149E3">
            <w:pPr>
              <w:jc w:val="center"/>
              <w:rPr>
                <w:rFonts w:ascii="Arial" w:hAnsi="Arial" w:cs="Arial"/>
                <w:b/>
                <w:sz w:val="20"/>
                <w:szCs w:val="20"/>
              </w:rPr>
            </w:pPr>
            <w:r>
              <w:rPr>
                <w:rFonts w:ascii="Arial" w:hAnsi="Arial" w:cs="Arial"/>
                <w:b/>
                <w:sz w:val="20"/>
                <w:szCs w:val="20"/>
              </w:rPr>
              <w:t>19</w:t>
            </w:r>
          </w:p>
        </w:tc>
        <w:tc>
          <w:tcPr>
            <w:tcW w:w="4675" w:type="dxa"/>
            <w:shd w:val="clear" w:color="auto" w:fill="auto"/>
            <w:vAlign w:val="center"/>
          </w:tcPr>
          <w:p w:rsidR="00480D35" w:rsidRDefault="00480D35" w:rsidP="00480D35">
            <w:pPr>
              <w:jc w:val="both"/>
              <w:rPr>
                <w:rFonts w:ascii="Arial" w:hAnsi="Arial" w:cs="Arial"/>
                <w:b/>
                <w:sz w:val="20"/>
                <w:szCs w:val="20"/>
              </w:rPr>
            </w:pPr>
            <w:r>
              <w:rPr>
                <w:rFonts w:ascii="Arial" w:hAnsi="Arial" w:cs="Arial"/>
                <w:b/>
                <w:sz w:val="20"/>
                <w:szCs w:val="20"/>
              </w:rPr>
              <w:t>Porušení povinnosti zrušit výběrové řízení</w:t>
            </w:r>
          </w:p>
          <w:p w:rsidR="00480D35" w:rsidRDefault="00480D35" w:rsidP="00480D35">
            <w:pPr>
              <w:jc w:val="both"/>
              <w:rPr>
                <w:rFonts w:ascii="Arial" w:hAnsi="Arial" w:cs="Arial"/>
                <w:b/>
                <w:sz w:val="20"/>
                <w:szCs w:val="20"/>
              </w:rPr>
            </w:pPr>
            <w:r w:rsidRPr="00BA3A13">
              <w:rPr>
                <w:rFonts w:ascii="Arial" w:hAnsi="Arial" w:cs="Arial"/>
                <w:sz w:val="20"/>
                <w:szCs w:val="20"/>
              </w:rPr>
              <w:t>zadavatel nezrušil výběrové řízení, ačkoliv byl povinen tak dle Pokynů pro zadávání zakázek učinit</w:t>
            </w:r>
          </w:p>
        </w:tc>
        <w:tc>
          <w:tcPr>
            <w:tcW w:w="4252" w:type="dxa"/>
            <w:shd w:val="clear" w:color="auto" w:fill="auto"/>
            <w:vAlign w:val="center"/>
          </w:tcPr>
          <w:p w:rsidR="00480D35" w:rsidRDefault="00480D35" w:rsidP="00480D35">
            <w:pPr>
              <w:jc w:val="center"/>
              <w:rPr>
                <w:rFonts w:ascii="Arial" w:hAnsi="Arial" w:cs="Arial"/>
                <w:sz w:val="20"/>
                <w:szCs w:val="20"/>
              </w:rPr>
            </w:pPr>
            <w:r>
              <w:rPr>
                <w:rFonts w:ascii="Arial" w:hAnsi="Arial" w:cs="Arial"/>
                <w:sz w:val="20"/>
                <w:szCs w:val="20"/>
              </w:rPr>
              <w:t>25 – 40 %</w:t>
            </w:r>
          </w:p>
        </w:tc>
      </w:tr>
      <w:tr w:rsidR="00352173" w:rsidRPr="00954488" w:rsidTr="00352173">
        <w:trPr>
          <w:trHeight w:val="567"/>
          <w:tblHeader/>
        </w:trPr>
        <w:tc>
          <w:tcPr>
            <w:tcW w:w="740" w:type="dxa"/>
            <w:shd w:val="clear" w:color="auto" w:fill="auto"/>
            <w:vAlign w:val="center"/>
          </w:tcPr>
          <w:p w:rsidR="00352173" w:rsidRPr="00352173" w:rsidRDefault="00480D35" w:rsidP="008149E3">
            <w:pPr>
              <w:jc w:val="center"/>
              <w:rPr>
                <w:rFonts w:ascii="Arial" w:hAnsi="Arial" w:cs="Arial"/>
                <w:b/>
                <w:sz w:val="20"/>
                <w:szCs w:val="20"/>
              </w:rPr>
            </w:pPr>
            <w:r>
              <w:rPr>
                <w:rFonts w:ascii="Arial" w:hAnsi="Arial" w:cs="Arial"/>
                <w:b/>
                <w:sz w:val="20"/>
                <w:szCs w:val="20"/>
              </w:rPr>
              <w:t>20</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Střet zájmů</w:t>
            </w:r>
          </w:p>
          <w:p w:rsidR="00352173" w:rsidRPr="00463C59" w:rsidRDefault="00352173" w:rsidP="008149E3">
            <w:pPr>
              <w:jc w:val="both"/>
              <w:rPr>
                <w:rFonts w:ascii="Arial" w:hAnsi="Arial" w:cs="Arial"/>
                <w:sz w:val="20"/>
                <w:szCs w:val="20"/>
              </w:rPr>
            </w:pPr>
            <w:r w:rsidRPr="00463C59">
              <w:rPr>
                <w:rFonts w:ascii="Arial" w:hAnsi="Arial" w:cs="Arial"/>
                <w:sz w:val="20"/>
                <w:szCs w:val="20"/>
              </w:rPr>
              <w:t>Zadání zakázky v rozporu s Pokyny pro zadávání zakázek</w:t>
            </w:r>
          </w:p>
        </w:tc>
        <w:tc>
          <w:tcPr>
            <w:tcW w:w="4252" w:type="dxa"/>
            <w:shd w:val="clear" w:color="auto" w:fill="auto"/>
            <w:vAlign w:val="center"/>
          </w:tcPr>
          <w:p w:rsidR="00352173" w:rsidRDefault="00352173" w:rsidP="00480D35">
            <w:pPr>
              <w:jc w:val="center"/>
              <w:rPr>
                <w:rFonts w:ascii="Arial" w:hAnsi="Arial" w:cs="Arial"/>
                <w:sz w:val="20"/>
                <w:szCs w:val="20"/>
              </w:rPr>
            </w:pPr>
            <w:r>
              <w:rPr>
                <w:rFonts w:ascii="Arial" w:hAnsi="Arial" w:cs="Arial"/>
                <w:sz w:val="20"/>
                <w:szCs w:val="20"/>
              </w:rPr>
              <w:t>100 %</w:t>
            </w:r>
          </w:p>
        </w:tc>
      </w:tr>
    </w:tbl>
    <w:p w:rsidR="00352173" w:rsidRDefault="00352173" w:rsidP="00352173"/>
    <w:p w:rsidR="00352173" w:rsidRDefault="00352173" w:rsidP="00352173">
      <w:pPr>
        <w:rPr>
          <w:rFonts w:ascii="Arial" w:hAnsi="Arial" w:cs="Arial"/>
          <w:b/>
          <w:sz w:val="22"/>
          <w:szCs w:val="22"/>
        </w:rPr>
      </w:pPr>
    </w:p>
    <w:p w:rsidR="00352173" w:rsidRDefault="00352173" w:rsidP="00352173">
      <w:pPr>
        <w:spacing w:after="120"/>
        <w:rPr>
          <w:rFonts w:ascii="Arial" w:hAnsi="Arial" w:cs="Arial"/>
          <w:b/>
          <w:sz w:val="22"/>
          <w:szCs w:val="22"/>
        </w:rPr>
      </w:pPr>
      <w:r w:rsidRPr="00463C59">
        <w:rPr>
          <w:rFonts w:ascii="Arial" w:hAnsi="Arial" w:cs="Arial"/>
          <w:b/>
          <w:sz w:val="22"/>
          <w:szCs w:val="22"/>
        </w:rPr>
        <w:t>1. 3 Plnění zakázky</w:t>
      </w:r>
    </w:p>
    <w:tbl>
      <w:tblPr>
        <w:tblStyle w:val="Mkatabulky"/>
        <w:tblW w:w="9667" w:type="dxa"/>
        <w:tblLayout w:type="fixed"/>
        <w:tblCellMar>
          <w:top w:w="28" w:type="dxa"/>
          <w:left w:w="28" w:type="dxa"/>
          <w:bottom w:w="28" w:type="dxa"/>
          <w:right w:w="28" w:type="dxa"/>
        </w:tblCellMar>
        <w:tblLook w:val="04A0" w:firstRow="1" w:lastRow="0" w:firstColumn="1" w:lastColumn="0" w:noHBand="0" w:noVBand="1"/>
      </w:tblPr>
      <w:tblGrid>
        <w:gridCol w:w="740"/>
        <w:gridCol w:w="4675"/>
        <w:gridCol w:w="4252"/>
      </w:tblGrid>
      <w:tr w:rsidR="00352173" w:rsidRPr="00954488" w:rsidTr="00352173">
        <w:trPr>
          <w:trHeight w:val="567"/>
          <w:tblHeader/>
        </w:trPr>
        <w:tc>
          <w:tcPr>
            <w:tcW w:w="740"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sidRPr="00954488">
              <w:rPr>
                <w:rFonts w:ascii="Arial" w:hAnsi="Arial" w:cs="Arial"/>
                <w:b/>
                <w:sz w:val="20"/>
                <w:szCs w:val="20"/>
              </w:rPr>
              <w:t>Č.</w:t>
            </w:r>
          </w:p>
        </w:tc>
        <w:tc>
          <w:tcPr>
            <w:tcW w:w="4675"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sidRPr="00954488">
              <w:rPr>
                <w:rFonts w:ascii="Arial" w:hAnsi="Arial" w:cs="Arial"/>
                <w:b/>
                <w:sz w:val="20"/>
                <w:szCs w:val="20"/>
              </w:rPr>
              <w:t>Popis porušení</w:t>
            </w:r>
          </w:p>
        </w:tc>
        <w:tc>
          <w:tcPr>
            <w:tcW w:w="4252"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Pr>
                <w:rFonts w:ascii="Arial" w:hAnsi="Arial" w:cs="Arial"/>
                <w:b/>
                <w:sz w:val="20"/>
                <w:szCs w:val="20"/>
              </w:rPr>
              <w:t>Procentní rozmezí sazby pro výpočet sníženého odvodu</w:t>
            </w:r>
            <w:r>
              <w:rPr>
                <w:rStyle w:val="Znakapoznpodarou"/>
                <w:rFonts w:ascii="Arial" w:hAnsi="Arial" w:cs="Arial"/>
                <w:b/>
                <w:sz w:val="20"/>
                <w:szCs w:val="20"/>
              </w:rPr>
              <w:t>1</w:t>
            </w:r>
          </w:p>
        </w:tc>
      </w:tr>
      <w:tr w:rsidR="00352173" w:rsidRPr="00954488" w:rsidTr="00352173">
        <w:trPr>
          <w:trHeight w:val="567"/>
          <w:tblHeader/>
        </w:trPr>
        <w:tc>
          <w:tcPr>
            <w:tcW w:w="740" w:type="dxa"/>
            <w:shd w:val="clear" w:color="auto" w:fill="auto"/>
            <w:vAlign w:val="center"/>
          </w:tcPr>
          <w:p w:rsidR="00352173" w:rsidRPr="00352173" w:rsidRDefault="00480D35" w:rsidP="008149E3">
            <w:pPr>
              <w:jc w:val="center"/>
              <w:rPr>
                <w:rFonts w:ascii="Arial" w:hAnsi="Arial" w:cs="Arial"/>
                <w:b/>
                <w:sz w:val="20"/>
                <w:szCs w:val="20"/>
              </w:rPr>
            </w:pPr>
            <w:r>
              <w:rPr>
                <w:rFonts w:ascii="Arial" w:hAnsi="Arial" w:cs="Arial"/>
                <w:b/>
                <w:sz w:val="20"/>
                <w:szCs w:val="20"/>
              </w:rPr>
              <w:t>21</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Podstatná změna smlouvy na plnění zakázky</w:t>
            </w:r>
          </w:p>
          <w:p w:rsidR="00352173" w:rsidRPr="00463C59" w:rsidRDefault="00352173" w:rsidP="008149E3">
            <w:pPr>
              <w:jc w:val="both"/>
              <w:rPr>
                <w:rFonts w:ascii="Arial" w:hAnsi="Arial" w:cs="Arial"/>
                <w:sz w:val="20"/>
                <w:szCs w:val="20"/>
              </w:rPr>
            </w:pPr>
            <w:r w:rsidRPr="00463C59">
              <w:rPr>
                <w:rFonts w:ascii="Arial" w:hAnsi="Arial" w:cs="Arial"/>
                <w:sz w:val="20"/>
                <w:szCs w:val="20"/>
              </w:rPr>
              <w:t>Podstatná změna smlouvy na plnění zakázky dle Pokynů pro zadávání zakázek, která by mohla mít vliv na výběr nejvhodnější nabídky.</w:t>
            </w:r>
          </w:p>
        </w:tc>
        <w:tc>
          <w:tcPr>
            <w:tcW w:w="4252" w:type="dxa"/>
            <w:shd w:val="clear" w:color="auto" w:fill="auto"/>
            <w:vAlign w:val="center"/>
          </w:tcPr>
          <w:p w:rsidR="00352173" w:rsidRPr="00463C59" w:rsidRDefault="00352173" w:rsidP="00352173">
            <w:pPr>
              <w:jc w:val="both"/>
              <w:rPr>
                <w:rFonts w:ascii="Arial" w:hAnsi="Arial" w:cs="Arial"/>
                <w:sz w:val="20"/>
                <w:szCs w:val="20"/>
              </w:rPr>
            </w:pPr>
            <w:r w:rsidRPr="00463C59">
              <w:rPr>
                <w:rFonts w:ascii="Arial" w:hAnsi="Arial" w:cs="Arial"/>
                <w:sz w:val="20"/>
                <w:szCs w:val="20"/>
              </w:rPr>
              <w:t>100 % z hodnoty dodatečných zakázek vyplývajících z podstatné změny smlouvy a min. 25 % ze smluvní ceny původní zakázky</w:t>
            </w:r>
          </w:p>
        </w:tc>
      </w:tr>
      <w:tr w:rsidR="00352173" w:rsidRPr="00954488" w:rsidTr="00352173">
        <w:trPr>
          <w:trHeight w:val="567"/>
          <w:tblHeader/>
        </w:trPr>
        <w:tc>
          <w:tcPr>
            <w:tcW w:w="740" w:type="dxa"/>
            <w:shd w:val="clear" w:color="auto" w:fill="auto"/>
            <w:vAlign w:val="center"/>
          </w:tcPr>
          <w:p w:rsidR="00352173" w:rsidRPr="00352173" w:rsidRDefault="00480D35" w:rsidP="008149E3">
            <w:pPr>
              <w:jc w:val="center"/>
              <w:rPr>
                <w:rFonts w:ascii="Arial" w:hAnsi="Arial" w:cs="Arial"/>
                <w:b/>
                <w:sz w:val="20"/>
                <w:szCs w:val="20"/>
              </w:rPr>
            </w:pPr>
            <w:r>
              <w:rPr>
                <w:rFonts w:ascii="Arial" w:hAnsi="Arial" w:cs="Arial"/>
                <w:b/>
                <w:sz w:val="20"/>
                <w:szCs w:val="20"/>
              </w:rPr>
              <w:t>22</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Snížení rozsahu smlouvy na plnění zakázky</w:t>
            </w:r>
          </w:p>
          <w:p w:rsidR="00352173" w:rsidRPr="00463C59" w:rsidRDefault="00352173" w:rsidP="008149E3">
            <w:pPr>
              <w:jc w:val="both"/>
              <w:rPr>
                <w:rFonts w:ascii="Arial" w:hAnsi="Arial" w:cs="Arial"/>
                <w:sz w:val="20"/>
                <w:szCs w:val="20"/>
              </w:rPr>
            </w:pPr>
            <w:r w:rsidRPr="00463C59">
              <w:rPr>
                <w:rFonts w:ascii="Arial" w:hAnsi="Arial" w:cs="Arial"/>
                <w:sz w:val="20"/>
                <w:szCs w:val="20"/>
              </w:rPr>
              <w:t>Snížení rozsahu smlouvy na plnění zakázky dle Pokynů pro zadávání zakázek, které by mohlo mít vliv na výběr nejvhodnější nabídky.</w:t>
            </w:r>
          </w:p>
        </w:tc>
        <w:tc>
          <w:tcPr>
            <w:tcW w:w="4252" w:type="dxa"/>
            <w:shd w:val="clear" w:color="auto" w:fill="auto"/>
            <w:vAlign w:val="center"/>
          </w:tcPr>
          <w:p w:rsidR="00352173" w:rsidRPr="00463C59" w:rsidRDefault="00352173" w:rsidP="00352173">
            <w:pPr>
              <w:jc w:val="both"/>
              <w:rPr>
                <w:rFonts w:ascii="Arial" w:hAnsi="Arial" w:cs="Arial"/>
                <w:sz w:val="20"/>
                <w:szCs w:val="20"/>
              </w:rPr>
            </w:pPr>
            <w:r w:rsidRPr="00463C59">
              <w:rPr>
                <w:rFonts w:ascii="Arial" w:hAnsi="Arial" w:cs="Arial"/>
                <w:sz w:val="20"/>
                <w:szCs w:val="20"/>
              </w:rPr>
              <w:t>min. 25% ze smluvní ceny po jejím snížení</w:t>
            </w:r>
          </w:p>
        </w:tc>
      </w:tr>
      <w:tr w:rsidR="00352173" w:rsidRPr="00954488" w:rsidTr="00352173">
        <w:trPr>
          <w:trHeight w:val="567"/>
          <w:tblHeader/>
        </w:trPr>
        <w:tc>
          <w:tcPr>
            <w:tcW w:w="740" w:type="dxa"/>
            <w:shd w:val="clear" w:color="auto" w:fill="auto"/>
            <w:vAlign w:val="center"/>
          </w:tcPr>
          <w:p w:rsidR="00352173" w:rsidRPr="00352173" w:rsidRDefault="00480D35" w:rsidP="008149E3">
            <w:pPr>
              <w:jc w:val="center"/>
              <w:rPr>
                <w:rFonts w:ascii="Arial" w:hAnsi="Arial" w:cs="Arial"/>
                <w:b/>
                <w:sz w:val="20"/>
                <w:szCs w:val="20"/>
              </w:rPr>
            </w:pPr>
            <w:r>
              <w:rPr>
                <w:rFonts w:ascii="Arial" w:hAnsi="Arial" w:cs="Arial"/>
                <w:b/>
                <w:sz w:val="20"/>
                <w:szCs w:val="20"/>
              </w:rPr>
              <w:t>23</w:t>
            </w:r>
          </w:p>
        </w:tc>
        <w:tc>
          <w:tcPr>
            <w:tcW w:w="4675" w:type="dxa"/>
            <w:shd w:val="clear" w:color="auto" w:fill="auto"/>
            <w:vAlign w:val="center"/>
          </w:tcPr>
          <w:p w:rsidR="00352173" w:rsidRDefault="00352173" w:rsidP="008149E3">
            <w:pPr>
              <w:rPr>
                <w:rFonts w:ascii="Arial" w:hAnsi="Arial" w:cs="Arial"/>
                <w:b/>
                <w:sz w:val="20"/>
                <w:szCs w:val="20"/>
              </w:rPr>
            </w:pPr>
            <w:r>
              <w:rPr>
                <w:rFonts w:ascii="Arial" w:hAnsi="Arial" w:cs="Arial"/>
                <w:b/>
                <w:sz w:val="20"/>
                <w:szCs w:val="20"/>
              </w:rPr>
              <w:t>Zadání dodatečných stavebních prací/služeb/dodávek bez důvodu dle Pokynů pro zadávání zakázek</w:t>
            </w:r>
          </w:p>
          <w:p w:rsidR="00352173" w:rsidRPr="00463C59" w:rsidRDefault="00352173" w:rsidP="008149E3">
            <w:pPr>
              <w:jc w:val="both"/>
              <w:rPr>
                <w:rFonts w:ascii="Arial" w:hAnsi="Arial" w:cs="Arial"/>
                <w:sz w:val="20"/>
                <w:szCs w:val="20"/>
              </w:rPr>
            </w:pPr>
            <w:r>
              <w:rPr>
                <w:rFonts w:ascii="Arial" w:hAnsi="Arial" w:cs="Arial"/>
                <w:sz w:val="20"/>
                <w:szCs w:val="20"/>
              </w:rPr>
              <w:t>Původní zakázka byla zadána v souladu s Pokyny pro zadávání zakázek, ale dodatečné zakázky byly zadány bez důvodu</w:t>
            </w:r>
          </w:p>
        </w:tc>
        <w:tc>
          <w:tcPr>
            <w:tcW w:w="4252" w:type="dxa"/>
            <w:shd w:val="clear" w:color="auto" w:fill="auto"/>
            <w:vAlign w:val="center"/>
          </w:tcPr>
          <w:p w:rsidR="00352173" w:rsidRPr="00870067" w:rsidRDefault="00352173" w:rsidP="00352173">
            <w:pPr>
              <w:jc w:val="both"/>
              <w:rPr>
                <w:rFonts w:ascii="Arial" w:hAnsi="Arial" w:cs="Arial"/>
                <w:sz w:val="20"/>
                <w:szCs w:val="20"/>
              </w:rPr>
            </w:pPr>
            <w:r w:rsidRPr="00870067">
              <w:rPr>
                <w:rFonts w:ascii="Arial" w:hAnsi="Arial" w:cs="Arial"/>
                <w:sz w:val="20"/>
                <w:szCs w:val="20"/>
              </w:rPr>
              <w:t>100 % z hodnoty dodatečných zakázek nebo min. 25 % v případě, kdy dodatečné zakázky nepřekročí 50 % hodnoty původní zakázky</w:t>
            </w:r>
          </w:p>
        </w:tc>
      </w:tr>
      <w:tr w:rsidR="00352173" w:rsidRPr="00954488" w:rsidTr="00352173">
        <w:trPr>
          <w:trHeight w:val="567"/>
          <w:tblHeader/>
        </w:trPr>
        <w:tc>
          <w:tcPr>
            <w:tcW w:w="740" w:type="dxa"/>
            <w:shd w:val="clear" w:color="auto" w:fill="auto"/>
            <w:vAlign w:val="center"/>
          </w:tcPr>
          <w:p w:rsidR="00352173" w:rsidRPr="00352173" w:rsidRDefault="00480D35" w:rsidP="008149E3">
            <w:pPr>
              <w:jc w:val="center"/>
              <w:rPr>
                <w:rFonts w:ascii="Arial" w:hAnsi="Arial" w:cs="Arial"/>
                <w:b/>
                <w:sz w:val="20"/>
                <w:szCs w:val="20"/>
              </w:rPr>
            </w:pPr>
            <w:r>
              <w:rPr>
                <w:rFonts w:ascii="Arial" w:hAnsi="Arial" w:cs="Arial"/>
                <w:b/>
                <w:sz w:val="20"/>
                <w:szCs w:val="20"/>
              </w:rPr>
              <w:t>24</w:t>
            </w:r>
          </w:p>
        </w:tc>
        <w:tc>
          <w:tcPr>
            <w:tcW w:w="4675"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Zadání dodatečných stavebních prací nebo služeb ve vyšším rozsahu než 50 % původní zakázky</w:t>
            </w:r>
          </w:p>
          <w:p w:rsidR="00352173" w:rsidRPr="00870067" w:rsidRDefault="00352173" w:rsidP="008149E3">
            <w:pPr>
              <w:jc w:val="both"/>
              <w:rPr>
                <w:rFonts w:ascii="Arial" w:hAnsi="Arial" w:cs="Arial"/>
                <w:sz w:val="20"/>
                <w:szCs w:val="20"/>
              </w:rPr>
            </w:pPr>
            <w:r w:rsidRPr="00870067">
              <w:rPr>
                <w:rFonts w:ascii="Arial" w:hAnsi="Arial" w:cs="Arial"/>
                <w:sz w:val="20"/>
                <w:szCs w:val="20"/>
              </w:rPr>
              <w:t>Původní zakázka byla zadána v souladu s Pokyny pro zadávání zakázek, ale dodatečné stavební práce nebo služby zadané podle Pokynů pro zadávání zakázek byly zadány v objemu vyšším než 50 % hodnoty původní zakázky.</w:t>
            </w:r>
          </w:p>
        </w:tc>
        <w:tc>
          <w:tcPr>
            <w:tcW w:w="4252" w:type="dxa"/>
            <w:shd w:val="clear" w:color="auto" w:fill="auto"/>
            <w:vAlign w:val="center"/>
          </w:tcPr>
          <w:p w:rsidR="00352173" w:rsidRPr="00870067" w:rsidRDefault="00352173" w:rsidP="00352173">
            <w:pPr>
              <w:jc w:val="both"/>
              <w:rPr>
                <w:rFonts w:ascii="Arial" w:hAnsi="Arial" w:cs="Arial"/>
                <w:sz w:val="20"/>
                <w:szCs w:val="20"/>
              </w:rPr>
            </w:pPr>
            <w:r>
              <w:rPr>
                <w:rFonts w:ascii="Arial" w:hAnsi="Arial" w:cs="Arial"/>
                <w:sz w:val="20"/>
                <w:szCs w:val="20"/>
              </w:rPr>
              <w:t>100 % z částky přesahující 50 % ceny původní zakázky</w:t>
            </w:r>
          </w:p>
        </w:tc>
      </w:tr>
    </w:tbl>
    <w:p w:rsidR="00352173" w:rsidRDefault="00352173" w:rsidP="00352173"/>
    <w:p w:rsidR="00352173" w:rsidRDefault="00352173" w:rsidP="00352173">
      <w:pPr>
        <w:rPr>
          <w:rFonts w:ascii="Arial" w:hAnsi="Arial" w:cs="Arial"/>
          <w:b/>
          <w:sz w:val="22"/>
          <w:szCs w:val="22"/>
        </w:rPr>
      </w:pPr>
      <w:r w:rsidRPr="00870067">
        <w:rPr>
          <w:rFonts w:ascii="Arial" w:hAnsi="Arial" w:cs="Arial"/>
          <w:b/>
          <w:sz w:val="22"/>
          <w:szCs w:val="22"/>
        </w:rPr>
        <w:t>1.4 Jiné porušení</w:t>
      </w:r>
    </w:p>
    <w:p w:rsidR="00352173" w:rsidRDefault="00352173" w:rsidP="00352173">
      <w:pPr>
        <w:rPr>
          <w:rFonts w:ascii="Arial" w:hAnsi="Arial" w:cs="Arial"/>
          <w:b/>
          <w:sz w:val="22"/>
          <w:szCs w:val="22"/>
        </w:rPr>
      </w:pPr>
    </w:p>
    <w:tbl>
      <w:tblPr>
        <w:tblStyle w:val="Mkatabulky"/>
        <w:tblW w:w="9667" w:type="dxa"/>
        <w:tblLayout w:type="fixed"/>
        <w:tblCellMar>
          <w:top w:w="28" w:type="dxa"/>
          <w:left w:w="28" w:type="dxa"/>
          <w:bottom w:w="28" w:type="dxa"/>
          <w:right w:w="28" w:type="dxa"/>
        </w:tblCellMar>
        <w:tblLook w:val="04A0" w:firstRow="1" w:lastRow="0" w:firstColumn="1" w:lastColumn="0" w:noHBand="0" w:noVBand="1"/>
      </w:tblPr>
      <w:tblGrid>
        <w:gridCol w:w="740"/>
        <w:gridCol w:w="4533"/>
        <w:gridCol w:w="4394"/>
      </w:tblGrid>
      <w:tr w:rsidR="00352173" w:rsidRPr="00954488" w:rsidTr="00352173">
        <w:trPr>
          <w:trHeight w:val="567"/>
          <w:tblHeader/>
        </w:trPr>
        <w:tc>
          <w:tcPr>
            <w:tcW w:w="740"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sidRPr="00954488">
              <w:rPr>
                <w:rFonts w:ascii="Arial" w:hAnsi="Arial" w:cs="Arial"/>
                <w:b/>
                <w:sz w:val="20"/>
                <w:szCs w:val="20"/>
              </w:rPr>
              <w:t>Č.</w:t>
            </w:r>
          </w:p>
        </w:tc>
        <w:tc>
          <w:tcPr>
            <w:tcW w:w="4533"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sidRPr="00954488">
              <w:rPr>
                <w:rFonts w:ascii="Arial" w:hAnsi="Arial" w:cs="Arial"/>
                <w:b/>
                <w:sz w:val="20"/>
                <w:szCs w:val="20"/>
              </w:rPr>
              <w:t>Popis porušení</w:t>
            </w:r>
          </w:p>
        </w:tc>
        <w:tc>
          <w:tcPr>
            <w:tcW w:w="4394" w:type="dxa"/>
            <w:shd w:val="clear" w:color="auto" w:fill="D9D9D9" w:themeFill="background1" w:themeFillShade="D9"/>
            <w:vAlign w:val="center"/>
          </w:tcPr>
          <w:p w:rsidR="00352173" w:rsidRPr="00954488" w:rsidRDefault="00352173" w:rsidP="008149E3">
            <w:pPr>
              <w:jc w:val="center"/>
              <w:rPr>
                <w:rFonts w:ascii="Arial" w:hAnsi="Arial" w:cs="Arial"/>
                <w:b/>
                <w:sz w:val="20"/>
                <w:szCs w:val="20"/>
              </w:rPr>
            </w:pPr>
            <w:r>
              <w:rPr>
                <w:rFonts w:ascii="Arial" w:hAnsi="Arial" w:cs="Arial"/>
                <w:b/>
                <w:sz w:val="20"/>
                <w:szCs w:val="20"/>
              </w:rPr>
              <w:t>Procentní rozmezí sazby pro výpočet sníženého odvodu</w:t>
            </w:r>
            <w:r>
              <w:rPr>
                <w:rStyle w:val="Znakapoznpodarou"/>
                <w:rFonts w:ascii="Arial" w:hAnsi="Arial" w:cs="Arial"/>
                <w:b/>
                <w:sz w:val="20"/>
                <w:szCs w:val="20"/>
              </w:rPr>
              <w:t>1</w:t>
            </w:r>
          </w:p>
        </w:tc>
      </w:tr>
      <w:tr w:rsidR="00352173" w:rsidRPr="00463C59" w:rsidTr="00352173">
        <w:trPr>
          <w:trHeight w:val="567"/>
          <w:tblHeader/>
        </w:trPr>
        <w:tc>
          <w:tcPr>
            <w:tcW w:w="740" w:type="dxa"/>
            <w:shd w:val="clear" w:color="auto" w:fill="auto"/>
            <w:vAlign w:val="center"/>
          </w:tcPr>
          <w:p w:rsidR="00352173" w:rsidRPr="00352173" w:rsidRDefault="00352173" w:rsidP="008149E3">
            <w:pPr>
              <w:jc w:val="center"/>
              <w:rPr>
                <w:rFonts w:ascii="Arial" w:hAnsi="Arial" w:cs="Arial"/>
                <w:b/>
                <w:sz w:val="20"/>
                <w:szCs w:val="20"/>
              </w:rPr>
            </w:pPr>
            <w:r w:rsidRPr="00352173">
              <w:rPr>
                <w:rFonts w:ascii="Arial" w:hAnsi="Arial" w:cs="Arial"/>
                <w:b/>
                <w:sz w:val="20"/>
                <w:szCs w:val="20"/>
              </w:rPr>
              <w:t>23</w:t>
            </w:r>
          </w:p>
        </w:tc>
        <w:tc>
          <w:tcPr>
            <w:tcW w:w="4533" w:type="dxa"/>
            <w:shd w:val="clear" w:color="auto" w:fill="auto"/>
            <w:vAlign w:val="center"/>
          </w:tcPr>
          <w:p w:rsidR="00352173" w:rsidRDefault="00352173" w:rsidP="008149E3">
            <w:pPr>
              <w:jc w:val="both"/>
              <w:rPr>
                <w:rFonts w:ascii="Arial" w:hAnsi="Arial" w:cs="Arial"/>
                <w:b/>
                <w:sz w:val="20"/>
                <w:szCs w:val="20"/>
              </w:rPr>
            </w:pPr>
            <w:r>
              <w:rPr>
                <w:rFonts w:ascii="Arial" w:hAnsi="Arial" w:cs="Arial"/>
                <w:b/>
                <w:sz w:val="20"/>
                <w:szCs w:val="20"/>
              </w:rPr>
              <w:t>Jiné porušení výše neuvedené</w:t>
            </w:r>
          </w:p>
          <w:p w:rsidR="00352173" w:rsidRPr="00870067" w:rsidRDefault="00352173" w:rsidP="008149E3">
            <w:pPr>
              <w:jc w:val="both"/>
              <w:rPr>
                <w:rFonts w:ascii="Arial" w:hAnsi="Arial" w:cs="Arial"/>
                <w:sz w:val="20"/>
                <w:szCs w:val="20"/>
              </w:rPr>
            </w:pPr>
            <w:r w:rsidRPr="00870067">
              <w:rPr>
                <w:rFonts w:ascii="Arial" w:hAnsi="Arial" w:cs="Arial"/>
                <w:sz w:val="20"/>
                <w:szCs w:val="20"/>
              </w:rPr>
              <w:t>Jiné porušení Pokynů pro zadávání zakázek, výše neuvedené, které mělo nebo mohlo mít vliv na výběr nejvhodnější nabídky.</w:t>
            </w:r>
          </w:p>
        </w:tc>
        <w:tc>
          <w:tcPr>
            <w:tcW w:w="4394" w:type="dxa"/>
            <w:shd w:val="clear" w:color="auto" w:fill="auto"/>
            <w:vAlign w:val="center"/>
          </w:tcPr>
          <w:p w:rsidR="00352173" w:rsidRPr="00463C59" w:rsidRDefault="00352173" w:rsidP="00352173">
            <w:pPr>
              <w:jc w:val="both"/>
              <w:rPr>
                <w:rFonts w:ascii="Arial" w:hAnsi="Arial" w:cs="Arial"/>
                <w:sz w:val="20"/>
                <w:szCs w:val="20"/>
              </w:rPr>
            </w:pPr>
            <w:r>
              <w:rPr>
                <w:rFonts w:ascii="Arial" w:hAnsi="Arial" w:cs="Arial"/>
                <w:sz w:val="20"/>
                <w:szCs w:val="20"/>
              </w:rPr>
              <w:t xml:space="preserve">min. 25 % nebo min. 10 % nebo </w:t>
            </w:r>
            <w:r>
              <w:rPr>
                <w:rFonts w:ascii="Arial" w:hAnsi="Arial" w:cs="Arial"/>
                <w:sz w:val="20"/>
                <w:szCs w:val="20"/>
              </w:rPr>
              <w:br/>
              <w:t>5 % s ohledem na závažnost porušení</w:t>
            </w:r>
          </w:p>
        </w:tc>
      </w:tr>
      <w:tr w:rsidR="00480D35" w:rsidRPr="00463C59" w:rsidTr="00480D35">
        <w:trPr>
          <w:trHeight w:val="567"/>
          <w:tblHeader/>
        </w:trPr>
        <w:tc>
          <w:tcPr>
            <w:tcW w:w="740" w:type="dxa"/>
            <w:shd w:val="clear" w:color="auto" w:fill="auto"/>
            <w:vAlign w:val="center"/>
          </w:tcPr>
          <w:p w:rsidR="00480D35" w:rsidRPr="00480D35" w:rsidRDefault="00480D35" w:rsidP="008149E3">
            <w:pPr>
              <w:jc w:val="center"/>
              <w:rPr>
                <w:rFonts w:ascii="Arial" w:hAnsi="Arial" w:cs="Arial"/>
                <w:b/>
                <w:sz w:val="20"/>
                <w:szCs w:val="20"/>
              </w:rPr>
            </w:pPr>
            <w:r w:rsidRPr="00480D35">
              <w:rPr>
                <w:rFonts w:ascii="Arial" w:hAnsi="Arial" w:cs="Arial"/>
                <w:b/>
                <w:sz w:val="20"/>
                <w:szCs w:val="20"/>
              </w:rPr>
              <w:t>24</w:t>
            </w:r>
          </w:p>
        </w:tc>
        <w:tc>
          <w:tcPr>
            <w:tcW w:w="4533" w:type="dxa"/>
            <w:shd w:val="clear" w:color="auto" w:fill="auto"/>
            <w:vAlign w:val="center"/>
          </w:tcPr>
          <w:p w:rsidR="00480D35" w:rsidRDefault="00480D35" w:rsidP="008149E3">
            <w:pPr>
              <w:jc w:val="both"/>
              <w:rPr>
                <w:rFonts w:ascii="Arial" w:hAnsi="Arial" w:cs="Arial"/>
                <w:b/>
                <w:sz w:val="20"/>
                <w:szCs w:val="20"/>
              </w:rPr>
            </w:pPr>
            <w:r>
              <w:rPr>
                <w:rFonts w:ascii="Arial" w:hAnsi="Arial" w:cs="Arial"/>
                <w:b/>
                <w:sz w:val="20"/>
                <w:szCs w:val="20"/>
              </w:rPr>
              <w:t>Porušení povinnosti uchovávat dokumentaci výběrového řízení</w:t>
            </w:r>
          </w:p>
          <w:p w:rsidR="00480D35" w:rsidRPr="00BA3A13" w:rsidRDefault="00480D35" w:rsidP="00352173">
            <w:pPr>
              <w:pStyle w:val="Odstavecseseznamem"/>
              <w:numPr>
                <w:ilvl w:val="0"/>
                <w:numId w:val="46"/>
              </w:numPr>
              <w:jc w:val="both"/>
              <w:rPr>
                <w:rFonts w:ascii="Arial" w:hAnsi="Arial" w:cs="Arial"/>
                <w:sz w:val="20"/>
                <w:szCs w:val="20"/>
              </w:rPr>
            </w:pPr>
            <w:r w:rsidRPr="00BA3A13">
              <w:rPr>
                <w:rFonts w:ascii="Arial" w:hAnsi="Arial" w:cs="Arial"/>
                <w:sz w:val="20"/>
                <w:szCs w:val="20"/>
              </w:rPr>
              <w:t>zadavatel neuchoval dokumentaci o zakázce a záznamy o elektronických úkonech souvisejících s realizací zakázky v stanoveném rozsahu</w:t>
            </w:r>
          </w:p>
        </w:tc>
        <w:tc>
          <w:tcPr>
            <w:tcW w:w="4394" w:type="dxa"/>
            <w:shd w:val="clear" w:color="auto" w:fill="auto"/>
            <w:vAlign w:val="center"/>
          </w:tcPr>
          <w:p w:rsidR="00480D35" w:rsidRDefault="00480D35" w:rsidP="008149E3">
            <w:pPr>
              <w:jc w:val="center"/>
              <w:rPr>
                <w:rFonts w:ascii="Arial" w:hAnsi="Arial" w:cs="Arial"/>
                <w:sz w:val="20"/>
                <w:szCs w:val="20"/>
              </w:rPr>
            </w:pPr>
            <w:r>
              <w:rPr>
                <w:rFonts w:ascii="Arial" w:hAnsi="Arial" w:cs="Arial"/>
                <w:sz w:val="20"/>
                <w:szCs w:val="20"/>
              </w:rPr>
              <w:t>5 – 20 %</w:t>
            </w:r>
          </w:p>
        </w:tc>
      </w:tr>
    </w:tbl>
    <w:p w:rsidR="00352173" w:rsidRDefault="00352173" w:rsidP="00352173"/>
    <w:p w:rsidR="00A3679C" w:rsidRDefault="00A3679C"/>
    <w:tbl>
      <w:tblPr>
        <w:tblStyle w:val="Mkatabulky"/>
        <w:tblW w:w="9781" w:type="dxa"/>
        <w:tblInd w:w="108" w:type="dxa"/>
        <w:shd w:val="clear" w:color="auto" w:fill="D38389"/>
        <w:tblLook w:val="04A0" w:firstRow="1" w:lastRow="0" w:firstColumn="1" w:lastColumn="0" w:noHBand="0" w:noVBand="1"/>
      </w:tblPr>
      <w:tblGrid>
        <w:gridCol w:w="9781"/>
      </w:tblGrid>
      <w:tr w:rsidR="005E1A50" w:rsidTr="00D92319">
        <w:trPr>
          <w:trHeight w:val="1554"/>
        </w:trPr>
        <w:tc>
          <w:tcPr>
            <w:tcW w:w="9781" w:type="dxa"/>
            <w:shd w:val="clear" w:color="auto" w:fill="D38389"/>
            <w:vAlign w:val="center"/>
          </w:tcPr>
          <w:p w:rsidR="005E1A50" w:rsidRPr="000104E5" w:rsidRDefault="005E1A50" w:rsidP="005768BD">
            <w:pPr>
              <w:jc w:val="center"/>
              <w:rPr>
                <w:rFonts w:ascii="Arial" w:hAnsi="Arial" w:cs="Arial"/>
                <w:b/>
                <w:sz w:val="22"/>
                <w:szCs w:val="22"/>
              </w:rPr>
            </w:pPr>
            <w:r w:rsidRPr="000104E5">
              <w:rPr>
                <w:rFonts w:ascii="Arial" w:hAnsi="Arial" w:cs="Arial"/>
                <w:b/>
                <w:sz w:val="22"/>
                <w:szCs w:val="22"/>
              </w:rPr>
              <w:t>ČÁST III</w:t>
            </w:r>
          </w:p>
          <w:p w:rsidR="005E1A50" w:rsidRPr="000104E5" w:rsidRDefault="005E1A50" w:rsidP="005768BD">
            <w:pPr>
              <w:jc w:val="center"/>
              <w:rPr>
                <w:rFonts w:ascii="Arial" w:hAnsi="Arial" w:cs="Arial"/>
                <w:sz w:val="22"/>
                <w:szCs w:val="22"/>
              </w:rPr>
            </w:pPr>
            <w:r w:rsidRPr="000104E5">
              <w:rPr>
                <w:rFonts w:ascii="Arial" w:hAnsi="Arial" w:cs="Arial"/>
                <w:sz w:val="22"/>
                <w:szCs w:val="22"/>
              </w:rPr>
              <w:t xml:space="preserve">Sazby </w:t>
            </w:r>
            <w:r w:rsidR="00187652" w:rsidRPr="000104E5">
              <w:rPr>
                <w:rFonts w:ascii="Arial" w:hAnsi="Arial" w:cs="Arial"/>
                <w:sz w:val="22"/>
                <w:szCs w:val="22"/>
              </w:rPr>
              <w:t>snížených</w:t>
            </w:r>
            <w:r w:rsidRPr="000104E5">
              <w:rPr>
                <w:rFonts w:ascii="Arial" w:hAnsi="Arial" w:cs="Arial"/>
                <w:sz w:val="22"/>
                <w:szCs w:val="22"/>
              </w:rPr>
              <w:t xml:space="preserve"> odvodů</w:t>
            </w:r>
          </w:p>
          <w:p w:rsidR="005E1A50" w:rsidRPr="00814A27" w:rsidRDefault="005E1A50" w:rsidP="005768BD">
            <w:pPr>
              <w:jc w:val="center"/>
              <w:rPr>
                <w:rFonts w:ascii="Arial" w:hAnsi="Arial" w:cs="Arial"/>
              </w:rPr>
            </w:pPr>
            <w:r w:rsidRPr="000104E5">
              <w:rPr>
                <w:rFonts w:ascii="Arial" w:hAnsi="Arial" w:cs="Arial"/>
                <w:sz w:val="22"/>
                <w:szCs w:val="22"/>
              </w:rPr>
              <w:t>v ostatních případech</w:t>
            </w:r>
          </w:p>
        </w:tc>
      </w:tr>
    </w:tbl>
    <w:p w:rsidR="00443FAF" w:rsidRDefault="00443FAF" w:rsidP="0066566F"/>
    <w:tbl>
      <w:tblPr>
        <w:tblStyle w:val="Mkatabulky"/>
        <w:tblW w:w="9809" w:type="dxa"/>
        <w:tblLayout w:type="fixed"/>
        <w:tblCellMar>
          <w:top w:w="28" w:type="dxa"/>
          <w:left w:w="28" w:type="dxa"/>
          <w:bottom w:w="28" w:type="dxa"/>
          <w:right w:w="28" w:type="dxa"/>
        </w:tblCellMar>
        <w:tblLook w:val="04A0" w:firstRow="1" w:lastRow="0" w:firstColumn="1" w:lastColumn="0" w:noHBand="0" w:noVBand="1"/>
      </w:tblPr>
      <w:tblGrid>
        <w:gridCol w:w="514"/>
        <w:gridCol w:w="5326"/>
        <w:gridCol w:w="1843"/>
        <w:gridCol w:w="2126"/>
      </w:tblGrid>
      <w:tr w:rsidR="003868DF" w:rsidTr="00BC7873">
        <w:trPr>
          <w:trHeight w:val="567"/>
          <w:tblHeader/>
        </w:trPr>
        <w:tc>
          <w:tcPr>
            <w:tcW w:w="514" w:type="dxa"/>
            <w:tcBorders>
              <w:bottom w:val="single" w:sz="4" w:space="0" w:color="auto"/>
            </w:tcBorders>
            <w:shd w:val="clear" w:color="auto" w:fill="D9D9D9" w:themeFill="background1" w:themeFillShade="D9"/>
            <w:vAlign w:val="center"/>
          </w:tcPr>
          <w:p w:rsidR="003868DF" w:rsidRPr="00F32A9B" w:rsidRDefault="003868DF" w:rsidP="00E70596">
            <w:pPr>
              <w:jc w:val="center"/>
              <w:rPr>
                <w:rFonts w:ascii="Arial" w:hAnsi="Arial" w:cs="Arial"/>
                <w:sz w:val="20"/>
                <w:szCs w:val="20"/>
              </w:rPr>
            </w:pPr>
            <w:r w:rsidRPr="00F32A9B">
              <w:rPr>
                <w:rFonts w:ascii="Arial" w:hAnsi="Arial" w:cs="Arial"/>
                <w:sz w:val="20"/>
                <w:szCs w:val="20"/>
              </w:rPr>
              <w:t>Č.</w:t>
            </w:r>
          </w:p>
        </w:tc>
        <w:tc>
          <w:tcPr>
            <w:tcW w:w="5326" w:type="dxa"/>
            <w:tcBorders>
              <w:bottom w:val="single" w:sz="4" w:space="0" w:color="auto"/>
            </w:tcBorders>
            <w:shd w:val="clear" w:color="auto" w:fill="D9D9D9" w:themeFill="background1" w:themeFillShade="D9"/>
            <w:vAlign w:val="center"/>
          </w:tcPr>
          <w:p w:rsidR="003868DF" w:rsidRPr="00954488" w:rsidRDefault="003868DF" w:rsidP="00E70596">
            <w:pPr>
              <w:jc w:val="center"/>
              <w:rPr>
                <w:rFonts w:ascii="Arial" w:hAnsi="Arial" w:cs="Arial"/>
                <w:b/>
                <w:sz w:val="20"/>
                <w:szCs w:val="20"/>
              </w:rPr>
            </w:pPr>
            <w:r w:rsidRPr="00954488">
              <w:rPr>
                <w:rFonts w:ascii="Arial" w:hAnsi="Arial" w:cs="Arial"/>
                <w:b/>
                <w:sz w:val="20"/>
                <w:szCs w:val="20"/>
              </w:rPr>
              <w:t>Popis porušení</w:t>
            </w:r>
          </w:p>
        </w:tc>
        <w:tc>
          <w:tcPr>
            <w:tcW w:w="1843" w:type="dxa"/>
            <w:tcBorders>
              <w:bottom w:val="single" w:sz="4" w:space="0" w:color="auto"/>
            </w:tcBorders>
            <w:shd w:val="clear" w:color="auto" w:fill="D9D9D9" w:themeFill="background1" w:themeFillShade="D9"/>
            <w:vAlign w:val="center"/>
          </w:tcPr>
          <w:p w:rsidR="003868DF" w:rsidRPr="00954488" w:rsidRDefault="003868DF" w:rsidP="00E70596">
            <w:pPr>
              <w:jc w:val="center"/>
              <w:rPr>
                <w:rFonts w:ascii="Arial" w:hAnsi="Arial" w:cs="Arial"/>
                <w:b/>
                <w:sz w:val="20"/>
                <w:szCs w:val="20"/>
              </w:rPr>
            </w:pPr>
            <w:r>
              <w:rPr>
                <w:rFonts w:ascii="Arial" w:hAnsi="Arial" w:cs="Arial"/>
                <w:b/>
                <w:sz w:val="20"/>
                <w:szCs w:val="20"/>
              </w:rPr>
              <w:t>Procentní rozmezí sazby pro výpočet sníženého odvodu</w:t>
            </w:r>
          </w:p>
        </w:tc>
        <w:tc>
          <w:tcPr>
            <w:tcW w:w="2126" w:type="dxa"/>
            <w:tcBorders>
              <w:bottom w:val="single" w:sz="4" w:space="0" w:color="auto"/>
            </w:tcBorders>
            <w:shd w:val="clear" w:color="auto" w:fill="D9D9D9" w:themeFill="background1" w:themeFillShade="D9"/>
            <w:vAlign w:val="center"/>
          </w:tcPr>
          <w:p w:rsidR="003868DF" w:rsidRPr="00954488" w:rsidRDefault="003868DF" w:rsidP="003868DF">
            <w:pPr>
              <w:jc w:val="center"/>
              <w:rPr>
                <w:rFonts w:ascii="Arial" w:hAnsi="Arial" w:cs="Arial"/>
                <w:b/>
                <w:sz w:val="20"/>
                <w:szCs w:val="20"/>
              </w:rPr>
            </w:pPr>
            <w:r>
              <w:rPr>
                <w:rFonts w:ascii="Arial" w:hAnsi="Arial" w:cs="Arial"/>
                <w:b/>
                <w:sz w:val="20"/>
                <w:szCs w:val="20"/>
              </w:rPr>
              <w:t>Výchozí částka pro výpočet sníženého odvodu</w:t>
            </w:r>
          </w:p>
        </w:tc>
      </w:tr>
      <w:tr w:rsidR="003868DF" w:rsidRPr="00954488" w:rsidTr="00187652">
        <w:trPr>
          <w:trHeight w:val="454"/>
        </w:trPr>
        <w:tc>
          <w:tcPr>
            <w:tcW w:w="9809" w:type="dxa"/>
            <w:gridSpan w:val="4"/>
            <w:vAlign w:val="center"/>
          </w:tcPr>
          <w:p w:rsidR="003868DF" w:rsidRPr="003868DF" w:rsidRDefault="003868DF" w:rsidP="003868DF">
            <w:pPr>
              <w:pStyle w:val="Standard"/>
              <w:jc w:val="center"/>
              <w:rPr>
                <w:b/>
              </w:rPr>
            </w:pPr>
            <w:r w:rsidRPr="003868DF">
              <w:rPr>
                <w:b/>
              </w:rPr>
              <w:t>Účetnictví</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1</w:t>
            </w:r>
          </w:p>
        </w:tc>
        <w:tc>
          <w:tcPr>
            <w:tcW w:w="5326" w:type="dxa"/>
            <w:vAlign w:val="center"/>
          </w:tcPr>
          <w:p w:rsidR="003868DF" w:rsidRDefault="003868DF" w:rsidP="00BC7873">
            <w:pPr>
              <w:pStyle w:val="Standard"/>
              <w:jc w:val="left"/>
            </w:pPr>
            <w:r>
              <w:t>Proplacení způsobilých výdajů z jiného než projektového (případně úvěrového) účtu uvedeného ve Smlouvě o poskytnutí dotace (dále jen „Smlouva“)</w:t>
            </w:r>
          </w:p>
        </w:tc>
        <w:tc>
          <w:tcPr>
            <w:tcW w:w="1843" w:type="dxa"/>
            <w:vAlign w:val="center"/>
          </w:tcPr>
          <w:p w:rsidR="003868DF" w:rsidRDefault="003868DF" w:rsidP="004A5EAC">
            <w:pPr>
              <w:pStyle w:val="Standard"/>
              <w:jc w:val="center"/>
            </w:pPr>
            <w:r>
              <w:t>0,5 – 1 %</w:t>
            </w:r>
          </w:p>
        </w:tc>
        <w:tc>
          <w:tcPr>
            <w:tcW w:w="2126" w:type="dxa"/>
            <w:vAlign w:val="center"/>
          </w:tcPr>
          <w:p w:rsidR="003868DF" w:rsidRDefault="003868DF" w:rsidP="00E70596">
            <w:pPr>
              <w:pStyle w:val="Standard"/>
              <w:jc w:val="left"/>
            </w:pPr>
            <w:r>
              <w:t>dotace</w:t>
            </w:r>
            <w:r>
              <w:rPr>
                <w:rStyle w:val="Znakapoznpodarou"/>
              </w:rPr>
              <w:footnoteReference w:id="8"/>
            </w:r>
            <w:r>
              <w:t>, ke které se dané porušení váže</w:t>
            </w:r>
          </w:p>
        </w:tc>
      </w:tr>
      <w:tr w:rsidR="003868DF" w:rsidRPr="00954488" w:rsidTr="00BC7873">
        <w:trPr>
          <w:trHeight w:val="454"/>
        </w:trPr>
        <w:tc>
          <w:tcPr>
            <w:tcW w:w="514" w:type="dxa"/>
            <w:vAlign w:val="center"/>
          </w:tcPr>
          <w:p w:rsidR="003868DF" w:rsidRPr="00F32A9B" w:rsidRDefault="003868DF" w:rsidP="003868DF">
            <w:pPr>
              <w:pStyle w:val="Standard"/>
              <w:jc w:val="center"/>
              <w:rPr>
                <w:bCs/>
              </w:rPr>
            </w:pPr>
            <w:r w:rsidRPr="00F32A9B">
              <w:rPr>
                <w:bCs/>
              </w:rPr>
              <w:t>2</w:t>
            </w:r>
          </w:p>
        </w:tc>
        <w:tc>
          <w:tcPr>
            <w:tcW w:w="5326" w:type="dxa"/>
            <w:vAlign w:val="center"/>
          </w:tcPr>
          <w:p w:rsidR="003868DF" w:rsidRDefault="003868DF" w:rsidP="00BC7873">
            <w:pPr>
              <w:pStyle w:val="Standard"/>
              <w:autoSpaceDE w:val="0"/>
              <w:jc w:val="left"/>
              <w:rPr>
                <w:rFonts w:eastAsia="TimesNewRomanPSMT" w:cs="TimesNewRomanPSMT"/>
              </w:rPr>
            </w:pPr>
            <w:r>
              <w:rPr>
                <w:rFonts w:eastAsia="TimesNewRomanPSMT" w:cs="TimesNewRomanPSMT"/>
              </w:rPr>
              <w:t>Proplacení způsobilých výdajů v hotovosti nad 10.000 Kč</w:t>
            </w:r>
          </w:p>
        </w:tc>
        <w:tc>
          <w:tcPr>
            <w:tcW w:w="1843" w:type="dxa"/>
            <w:vAlign w:val="center"/>
          </w:tcPr>
          <w:p w:rsidR="003868DF" w:rsidRDefault="003868DF" w:rsidP="00E70596">
            <w:pPr>
              <w:pStyle w:val="Standard"/>
              <w:jc w:val="center"/>
            </w:pPr>
            <w:r>
              <w:t>100 %</w:t>
            </w:r>
          </w:p>
        </w:tc>
        <w:tc>
          <w:tcPr>
            <w:tcW w:w="2126" w:type="dxa"/>
            <w:vAlign w:val="center"/>
          </w:tcPr>
          <w:p w:rsidR="003868DF" w:rsidRDefault="003868DF" w:rsidP="00E70596">
            <w:pPr>
              <w:pStyle w:val="Standard"/>
              <w:jc w:val="left"/>
            </w:pPr>
            <w:r>
              <w:t>dotace, ke které se dané porušení váže</w:t>
            </w:r>
            <w:r>
              <w:rPr>
                <w:rStyle w:val="Znakapoznpodarou"/>
              </w:rPr>
              <w:footnoteReference w:id="9"/>
            </w:r>
          </w:p>
        </w:tc>
      </w:tr>
      <w:tr w:rsidR="003868DF" w:rsidRPr="00954488" w:rsidTr="00BC7873">
        <w:trPr>
          <w:trHeight w:val="454"/>
        </w:trPr>
        <w:tc>
          <w:tcPr>
            <w:tcW w:w="514" w:type="dxa"/>
            <w:vAlign w:val="center"/>
          </w:tcPr>
          <w:p w:rsidR="003868DF" w:rsidRPr="00F32A9B" w:rsidRDefault="003868DF" w:rsidP="003868DF">
            <w:pPr>
              <w:pStyle w:val="Standard"/>
              <w:jc w:val="center"/>
              <w:rPr>
                <w:bCs/>
              </w:rPr>
            </w:pPr>
            <w:r w:rsidRPr="00F32A9B">
              <w:rPr>
                <w:bCs/>
              </w:rPr>
              <w:t>3</w:t>
            </w:r>
          </w:p>
        </w:tc>
        <w:tc>
          <w:tcPr>
            <w:tcW w:w="5326" w:type="dxa"/>
            <w:vAlign w:val="center"/>
          </w:tcPr>
          <w:p w:rsidR="003868DF" w:rsidRDefault="003868DF" w:rsidP="00BC7873">
            <w:pPr>
              <w:pStyle w:val="Standard"/>
              <w:autoSpaceDE w:val="0"/>
              <w:jc w:val="left"/>
              <w:rPr>
                <w:rFonts w:eastAsia="TimesNewRomanPSMT" w:cs="TimesNewRomanPSMT"/>
              </w:rPr>
            </w:pPr>
            <w:r>
              <w:rPr>
                <w:rFonts w:eastAsia="TimesNewRomanPSMT" w:cs="TimesNewRomanPSMT"/>
              </w:rPr>
              <w:t>Nesprávné prokazování způsobilých výdajů (absence bankovních výpisů, pokladních dokladů apod.)</w:t>
            </w:r>
          </w:p>
        </w:tc>
        <w:tc>
          <w:tcPr>
            <w:tcW w:w="1843" w:type="dxa"/>
            <w:vAlign w:val="center"/>
          </w:tcPr>
          <w:p w:rsidR="003868DF" w:rsidRDefault="003868DF" w:rsidP="00E70596">
            <w:pPr>
              <w:pStyle w:val="Standard"/>
              <w:jc w:val="center"/>
            </w:pPr>
            <w:r>
              <w:t>100 %</w:t>
            </w:r>
          </w:p>
        </w:tc>
        <w:tc>
          <w:tcPr>
            <w:tcW w:w="2126" w:type="dxa"/>
            <w:vAlign w:val="center"/>
          </w:tcPr>
          <w:p w:rsidR="003868DF" w:rsidRDefault="003868DF" w:rsidP="00E70596">
            <w:pPr>
              <w:pStyle w:val="Standard"/>
              <w:jc w:val="left"/>
            </w:pPr>
            <w:r>
              <w:t>dotace, ke které se dané porušení váže</w:t>
            </w:r>
          </w:p>
        </w:tc>
      </w:tr>
      <w:tr w:rsidR="003868DF" w:rsidRPr="00954488" w:rsidTr="00187652">
        <w:trPr>
          <w:trHeight w:val="567"/>
        </w:trPr>
        <w:tc>
          <w:tcPr>
            <w:tcW w:w="514" w:type="dxa"/>
            <w:tcBorders>
              <w:bottom w:val="single" w:sz="4" w:space="0" w:color="auto"/>
            </w:tcBorders>
            <w:vAlign w:val="center"/>
          </w:tcPr>
          <w:p w:rsidR="003868DF" w:rsidRPr="00F32A9B" w:rsidRDefault="003868DF" w:rsidP="003868DF">
            <w:pPr>
              <w:pStyle w:val="Standard"/>
              <w:jc w:val="center"/>
              <w:rPr>
                <w:bCs/>
              </w:rPr>
            </w:pPr>
            <w:r w:rsidRPr="00F32A9B">
              <w:rPr>
                <w:bCs/>
              </w:rPr>
              <w:t>4</w:t>
            </w:r>
          </w:p>
        </w:tc>
        <w:tc>
          <w:tcPr>
            <w:tcW w:w="5326" w:type="dxa"/>
            <w:tcBorders>
              <w:bottom w:val="single" w:sz="4" w:space="0" w:color="auto"/>
            </w:tcBorders>
            <w:vAlign w:val="center"/>
          </w:tcPr>
          <w:p w:rsidR="003868DF" w:rsidRDefault="003868DF" w:rsidP="00BC7873">
            <w:pPr>
              <w:pStyle w:val="Standard"/>
              <w:jc w:val="left"/>
            </w:pPr>
            <w:r>
              <w:t>Neoznámení nebo nesprávný výpočet příjmů projektu v souladu se Smlouvou; nevedení příjmů projektu na projektovém účtu</w:t>
            </w:r>
          </w:p>
        </w:tc>
        <w:tc>
          <w:tcPr>
            <w:tcW w:w="1843" w:type="dxa"/>
            <w:tcBorders>
              <w:bottom w:val="single" w:sz="4" w:space="0" w:color="auto"/>
            </w:tcBorders>
            <w:vAlign w:val="center"/>
          </w:tcPr>
          <w:p w:rsidR="003868DF" w:rsidRDefault="003868DF" w:rsidP="00E70596">
            <w:pPr>
              <w:pStyle w:val="Standard"/>
              <w:jc w:val="center"/>
            </w:pPr>
            <w:r>
              <w:t>100 %</w:t>
            </w:r>
          </w:p>
        </w:tc>
        <w:tc>
          <w:tcPr>
            <w:tcW w:w="2126" w:type="dxa"/>
            <w:tcBorders>
              <w:bottom w:val="single" w:sz="4" w:space="0" w:color="auto"/>
            </w:tcBorders>
            <w:vAlign w:val="center"/>
          </w:tcPr>
          <w:p w:rsidR="003868DF" w:rsidRDefault="00187652" w:rsidP="00E70596">
            <w:pPr>
              <w:pStyle w:val="Standard"/>
              <w:jc w:val="left"/>
            </w:pPr>
            <w:r>
              <w:t xml:space="preserve">dotace proplacené v rozporu </w:t>
            </w:r>
            <w:r w:rsidR="003868DF">
              <w:t>se skutečnými příjmy projektu</w:t>
            </w:r>
          </w:p>
        </w:tc>
      </w:tr>
      <w:tr w:rsidR="003868DF" w:rsidRPr="00954488" w:rsidTr="00187652">
        <w:trPr>
          <w:trHeight w:val="567"/>
        </w:trPr>
        <w:tc>
          <w:tcPr>
            <w:tcW w:w="514" w:type="dxa"/>
            <w:tcBorders>
              <w:bottom w:val="single" w:sz="4" w:space="0" w:color="auto"/>
            </w:tcBorders>
            <w:vAlign w:val="center"/>
          </w:tcPr>
          <w:p w:rsidR="003868DF" w:rsidRPr="00F32A9B" w:rsidRDefault="003868DF" w:rsidP="003868DF">
            <w:pPr>
              <w:pStyle w:val="Standard"/>
              <w:jc w:val="center"/>
              <w:rPr>
                <w:bCs/>
              </w:rPr>
            </w:pPr>
            <w:r w:rsidRPr="00F32A9B">
              <w:rPr>
                <w:bCs/>
              </w:rPr>
              <w:t>5</w:t>
            </w:r>
          </w:p>
        </w:tc>
        <w:tc>
          <w:tcPr>
            <w:tcW w:w="5326" w:type="dxa"/>
            <w:tcBorders>
              <w:bottom w:val="single" w:sz="4" w:space="0" w:color="auto"/>
            </w:tcBorders>
            <w:vAlign w:val="center"/>
          </w:tcPr>
          <w:p w:rsidR="003868DF" w:rsidRDefault="003868DF" w:rsidP="00BC7873">
            <w:pPr>
              <w:pStyle w:val="Standard"/>
              <w:jc w:val="left"/>
            </w:pPr>
            <w:r>
              <w:t>Nedostatky v předložených účetních dokladech, které sice nejsou formálního charakteru, avšak nemají vliv na jiné podmínky dotace</w:t>
            </w:r>
          </w:p>
        </w:tc>
        <w:tc>
          <w:tcPr>
            <w:tcW w:w="1843" w:type="dxa"/>
            <w:tcBorders>
              <w:bottom w:val="single" w:sz="4" w:space="0" w:color="auto"/>
            </w:tcBorders>
            <w:vAlign w:val="center"/>
          </w:tcPr>
          <w:p w:rsidR="003868DF" w:rsidRDefault="003868DF" w:rsidP="00E70596">
            <w:pPr>
              <w:pStyle w:val="Standard"/>
              <w:jc w:val="center"/>
            </w:pPr>
            <w:r>
              <w:t>0,5 – 1 %</w:t>
            </w:r>
          </w:p>
        </w:tc>
        <w:tc>
          <w:tcPr>
            <w:tcW w:w="2126" w:type="dxa"/>
            <w:tcBorders>
              <w:bottom w:val="single" w:sz="4" w:space="0" w:color="auto"/>
            </w:tcBorders>
            <w:vAlign w:val="center"/>
          </w:tcPr>
          <w:p w:rsidR="003868DF" w:rsidRDefault="003868DF" w:rsidP="00443FAF">
            <w:pPr>
              <w:pStyle w:val="Standard"/>
              <w:jc w:val="left"/>
            </w:pPr>
            <w:r>
              <w:t>způsobilé výdaje vážící se k dané faktuře</w:t>
            </w:r>
          </w:p>
        </w:tc>
      </w:tr>
      <w:tr w:rsidR="003868DF" w:rsidRPr="00954488" w:rsidTr="00BC7873">
        <w:trPr>
          <w:trHeight w:val="567"/>
        </w:trPr>
        <w:tc>
          <w:tcPr>
            <w:tcW w:w="514" w:type="dxa"/>
            <w:tcBorders>
              <w:bottom w:val="single" w:sz="4" w:space="0" w:color="auto"/>
            </w:tcBorders>
            <w:vAlign w:val="center"/>
          </w:tcPr>
          <w:p w:rsidR="003868DF" w:rsidRPr="00F32A9B" w:rsidRDefault="003868DF" w:rsidP="003868DF">
            <w:pPr>
              <w:pStyle w:val="Standard"/>
              <w:jc w:val="center"/>
              <w:rPr>
                <w:bCs/>
              </w:rPr>
            </w:pPr>
            <w:r w:rsidRPr="00F32A9B">
              <w:rPr>
                <w:bCs/>
              </w:rPr>
              <w:t>6</w:t>
            </w:r>
          </w:p>
        </w:tc>
        <w:tc>
          <w:tcPr>
            <w:tcW w:w="5326" w:type="dxa"/>
            <w:tcBorders>
              <w:bottom w:val="single" w:sz="4" w:space="0" w:color="auto"/>
            </w:tcBorders>
            <w:vAlign w:val="center"/>
          </w:tcPr>
          <w:p w:rsidR="003868DF" w:rsidRDefault="003868DF" w:rsidP="00BC7873">
            <w:pPr>
              <w:pStyle w:val="Standard"/>
              <w:jc w:val="left"/>
            </w:pPr>
            <w:r>
              <w:t>Neoznámení nebo nesprávný výpočet příjmů projektu v souladu se Smlouvou; nevedení příjmů projektu na projektovém účtu</w:t>
            </w:r>
          </w:p>
        </w:tc>
        <w:tc>
          <w:tcPr>
            <w:tcW w:w="1843" w:type="dxa"/>
            <w:tcBorders>
              <w:bottom w:val="single" w:sz="4" w:space="0" w:color="auto"/>
            </w:tcBorders>
            <w:vAlign w:val="center"/>
          </w:tcPr>
          <w:p w:rsidR="003868DF" w:rsidRDefault="003868DF" w:rsidP="00E70596">
            <w:pPr>
              <w:pStyle w:val="Standard"/>
              <w:jc w:val="center"/>
            </w:pPr>
            <w:r>
              <w:t>100 %</w:t>
            </w:r>
          </w:p>
        </w:tc>
        <w:tc>
          <w:tcPr>
            <w:tcW w:w="2126" w:type="dxa"/>
            <w:tcBorders>
              <w:bottom w:val="single" w:sz="4" w:space="0" w:color="auto"/>
            </w:tcBorders>
            <w:vAlign w:val="center"/>
          </w:tcPr>
          <w:p w:rsidR="003868DF" w:rsidRDefault="003868DF" w:rsidP="00E70596">
            <w:pPr>
              <w:pStyle w:val="Standard"/>
              <w:jc w:val="left"/>
            </w:pPr>
            <w:r>
              <w:t>dotace vyplacená navíc</w:t>
            </w:r>
          </w:p>
        </w:tc>
      </w:tr>
      <w:tr w:rsidR="003868DF" w:rsidRPr="00954488" w:rsidTr="00BC7873">
        <w:trPr>
          <w:trHeight w:val="567"/>
        </w:trPr>
        <w:tc>
          <w:tcPr>
            <w:tcW w:w="514" w:type="dxa"/>
            <w:tcBorders>
              <w:bottom w:val="single" w:sz="4" w:space="0" w:color="auto"/>
            </w:tcBorders>
            <w:vAlign w:val="center"/>
          </w:tcPr>
          <w:p w:rsidR="003868DF" w:rsidRPr="00F32A9B" w:rsidRDefault="003868DF" w:rsidP="003868DF">
            <w:pPr>
              <w:pStyle w:val="Standard"/>
              <w:jc w:val="center"/>
              <w:rPr>
                <w:bCs/>
              </w:rPr>
            </w:pPr>
            <w:r w:rsidRPr="00F32A9B">
              <w:rPr>
                <w:bCs/>
              </w:rPr>
              <w:t>7</w:t>
            </w:r>
          </w:p>
        </w:tc>
        <w:tc>
          <w:tcPr>
            <w:tcW w:w="5326" w:type="dxa"/>
            <w:tcBorders>
              <w:bottom w:val="single" w:sz="4" w:space="0" w:color="auto"/>
            </w:tcBorders>
            <w:vAlign w:val="center"/>
          </w:tcPr>
          <w:p w:rsidR="003868DF" w:rsidRDefault="003868DF" w:rsidP="00BC7873">
            <w:pPr>
              <w:pStyle w:val="Standard"/>
              <w:jc w:val="left"/>
            </w:pPr>
            <w:r>
              <w:t>Z dotace proplacený, ale nerealizovaný výdaj</w:t>
            </w:r>
          </w:p>
        </w:tc>
        <w:tc>
          <w:tcPr>
            <w:tcW w:w="1843" w:type="dxa"/>
            <w:tcBorders>
              <w:bottom w:val="single" w:sz="4" w:space="0" w:color="auto"/>
            </w:tcBorders>
            <w:vAlign w:val="center"/>
          </w:tcPr>
          <w:p w:rsidR="003868DF" w:rsidRDefault="003868DF" w:rsidP="00E70596">
            <w:pPr>
              <w:pStyle w:val="Standard"/>
              <w:jc w:val="center"/>
            </w:pPr>
            <w:r>
              <w:t>100 %</w:t>
            </w:r>
          </w:p>
        </w:tc>
        <w:tc>
          <w:tcPr>
            <w:tcW w:w="2126" w:type="dxa"/>
            <w:tcBorders>
              <w:bottom w:val="single" w:sz="4" w:space="0" w:color="auto"/>
            </w:tcBorders>
            <w:vAlign w:val="center"/>
          </w:tcPr>
          <w:p w:rsidR="003868DF" w:rsidRDefault="003868DF" w:rsidP="00E70596">
            <w:pPr>
              <w:pStyle w:val="Standard"/>
              <w:jc w:val="left"/>
            </w:pPr>
            <w:r>
              <w:t>dotace vztahující se k nerealizovanému výdaji</w:t>
            </w:r>
          </w:p>
        </w:tc>
      </w:tr>
      <w:tr w:rsidR="003868DF" w:rsidRPr="00954488" w:rsidTr="00187652">
        <w:trPr>
          <w:trHeight w:val="454"/>
        </w:trPr>
        <w:tc>
          <w:tcPr>
            <w:tcW w:w="514" w:type="dxa"/>
            <w:tcBorders>
              <w:bottom w:val="single" w:sz="4" w:space="0" w:color="auto"/>
            </w:tcBorders>
            <w:vAlign w:val="center"/>
          </w:tcPr>
          <w:p w:rsidR="003868DF" w:rsidRPr="00F32A9B" w:rsidRDefault="003868DF" w:rsidP="003868DF">
            <w:pPr>
              <w:pStyle w:val="Standard"/>
              <w:jc w:val="center"/>
              <w:rPr>
                <w:bCs/>
              </w:rPr>
            </w:pPr>
            <w:r w:rsidRPr="00F32A9B">
              <w:rPr>
                <w:bCs/>
              </w:rPr>
              <w:t>8</w:t>
            </w:r>
          </w:p>
        </w:tc>
        <w:tc>
          <w:tcPr>
            <w:tcW w:w="5326" w:type="dxa"/>
            <w:tcBorders>
              <w:bottom w:val="single" w:sz="4" w:space="0" w:color="auto"/>
            </w:tcBorders>
            <w:vAlign w:val="center"/>
          </w:tcPr>
          <w:p w:rsidR="003868DF" w:rsidRDefault="003868DF" w:rsidP="00BC7873">
            <w:pPr>
              <w:pStyle w:val="Standard"/>
              <w:jc w:val="left"/>
            </w:pPr>
            <w:r>
              <w:t>Předčasné vyřazení majetku z evidence v době udržitelnosti projektu</w:t>
            </w:r>
          </w:p>
        </w:tc>
        <w:tc>
          <w:tcPr>
            <w:tcW w:w="1843" w:type="dxa"/>
            <w:tcBorders>
              <w:bottom w:val="single" w:sz="4" w:space="0" w:color="auto"/>
            </w:tcBorders>
            <w:vAlign w:val="center"/>
          </w:tcPr>
          <w:p w:rsidR="003868DF" w:rsidRDefault="003868DF" w:rsidP="00E70596">
            <w:pPr>
              <w:pStyle w:val="Standard"/>
              <w:jc w:val="center"/>
            </w:pPr>
            <w:r>
              <w:t>100 %</w:t>
            </w:r>
          </w:p>
        </w:tc>
        <w:tc>
          <w:tcPr>
            <w:tcW w:w="2126" w:type="dxa"/>
            <w:tcBorders>
              <w:bottom w:val="single" w:sz="4" w:space="0" w:color="auto"/>
            </w:tcBorders>
            <w:vAlign w:val="center"/>
          </w:tcPr>
          <w:p w:rsidR="003868DF" w:rsidRDefault="003868DF" w:rsidP="005B6221">
            <w:pPr>
              <w:pStyle w:val="Standard"/>
              <w:jc w:val="left"/>
            </w:pPr>
            <w:r>
              <w:t>dotace vztahující se k majetku</w:t>
            </w:r>
          </w:p>
        </w:tc>
      </w:tr>
      <w:tr w:rsidR="003868DF" w:rsidRPr="00954488" w:rsidTr="00187652">
        <w:trPr>
          <w:trHeight w:val="454"/>
        </w:trPr>
        <w:tc>
          <w:tcPr>
            <w:tcW w:w="514" w:type="dxa"/>
            <w:tcBorders>
              <w:bottom w:val="single" w:sz="4" w:space="0" w:color="auto"/>
            </w:tcBorders>
            <w:vAlign w:val="center"/>
          </w:tcPr>
          <w:p w:rsidR="003868DF" w:rsidRPr="00F32A9B" w:rsidRDefault="003868DF" w:rsidP="003868DF">
            <w:pPr>
              <w:pStyle w:val="Standard"/>
              <w:jc w:val="center"/>
              <w:rPr>
                <w:bCs/>
              </w:rPr>
            </w:pPr>
            <w:r w:rsidRPr="00F32A9B">
              <w:rPr>
                <w:bCs/>
              </w:rPr>
              <w:t>9</w:t>
            </w:r>
          </w:p>
        </w:tc>
        <w:tc>
          <w:tcPr>
            <w:tcW w:w="5326" w:type="dxa"/>
            <w:tcBorders>
              <w:bottom w:val="single" w:sz="4" w:space="0" w:color="auto"/>
            </w:tcBorders>
            <w:vAlign w:val="center"/>
          </w:tcPr>
          <w:p w:rsidR="003868DF" w:rsidRDefault="003868DF" w:rsidP="00BC7873">
            <w:pPr>
              <w:pStyle w:val="Standard"/>
              <w:jc w:val="left"/>
            </w:pPr>
            <w:r>
              <w:t>Nezařazení majetku podpořeného z dotace do účetní nebo majetkové evidence</w:t>
            </w:r>
          </w:p>
        </w:tc>
        <w:tc>
          <w:tcPr>
            <w:tcW w:w="1843" w:type="dxa"/>
            <w:tcBorders>
              <w:bottom w:val="single" w:sz="4" w:space="0" w:color="auto"/>
            </w:tcBorders>
            <w:vAlign w:val="center"/>
          </w:tcPr>
          <w:p w:rsidR="003868DF" w:rsidRDefault="003868DF" w:rsidP="00E70596">
            <w:pPr>
              <w:pStyle w:val="Standard"/>
              <w:jc w:val="center"/>
            </w:pPr>
            <w:r>
              <w:t>100 %</w:t>
            </w:r>
          </w:p>
        </w:tc>
        <w:tc>
          <w:tcPr>
            <w:tcW w:w="2126" w:type="dxa"/>
            <w:tcBorders>
              <w:bottom w:val="single" w:sz="4" w:space="0" w:color="auto"/>
            </w:tcBorders>
            <w:vAlign w:val="center"/>
          </w:tcPr>
          <w:p w:rsidR="003868DF" w:rsidRDefault="003868DF" w:rsidP="005B6221">
            <w:pPr>
              <w:pStyle w:val="Standard"/>
              <w:jc w:val="left"/>
            </w:pPr>
            <w:r>
              <w:t>dotace vztahující se k majetku</w:t>
            </w:r>
          </w:p>
        </w:tc>
      </w:tr>
      <w:tr w:rsidR="006E0A51" w:rsidRPr="00954488" w:rsidTr="00187652">
        <w:trPr>
          <w:trHeight w:val="454"/>
        </w:trPr>
        <w:tc>
          <w:tcPr>
            <w:tcW w:w="514" w:type="dxa"/>
            <w:tcBorders>
              <w:bottom w:val="single" w:sz="4" w:space="0" w:color="auto"/>
            </w:tcBorders>
            <w:vAlign w:val="center"/>
          </w:tcPr>
          <w:p w:rsidR="006E0A51" w:rsidRDefault="006E0A51" w:rsidP="003868DF">
            <w:pPr>
              <w:pStyle w:val="Standard"/>
              <w:jc w:val="center"/>
              <w:rPr>
                <w:bCs/>
              </w:rPr>
            </w:pPr>
            <w:r>
              <w:rPr>
                <w:bCs/>
              </w:rPr>
              <w:t>10</w:t>
            </w:r>
          </w:p>
        </w:tc>
        <w:tc>
          <w:tcPr>
            <w:tcW w:w="5326" w:type="dxa"/>
            <w:tcBorders>
              <w:bottom w:val="single" w:sz="4" w:space="0" w:color="auto"/>
            </w:tcBorders>
            <w:vAlign w:val="center"/>
          </w:tcPr>
          <w:p w:rsidR="006E0A51" w:rsidRDefault="006E0A51" w:rsidP="00B1430C">
            <w:pPr>
              <w:pStyle w:val="Standard"/>
              <w:jc w:val="left"/>
            </w:pPr>
            <w:r>
              <w:t>Přesun finančních prostředků mezi investičními a neinvestičními položkami rozpočtu do 10 % CZV</w:t>
            </w:r>
            <w:r w:rsidR="00B1430C">
              <w:t xml:space="preserve"> včetně</w:t>
            </w:r>
          </w:p>
        </w:tc>
        <w:tc>
          <w:tcPr>
            <w:tcW w:w="1843" w:type="dxa"/>
            <w:tcBorders>
              <w:bottom w:val="single" w:sz="4" w:space="0" w:color="auto"/>
            </w:tcBorders>
            <w:vAlign w:val="center"/>
          </w:tcPr>
          <w:p w:rsidR="006E0A51" w:rsidRDefault="006E0A51" w:rsidP="00E70596">
            <w:pPr>
              <w:pStyle w:val="Standard"/>
              <w:jc w:val="center"/>
            </w:pPr>
            <w:r>
              <w:t>0 %</w:t>
            </w:r>
          </w:p>
        </w:tc>
        <w:tc>
          <w:tcPr>
            <w:tcW w:w="2126" w:type="dxa"/>
            <w:tcBorders>
              <w:bottom w:val="single" w:sz="4" w:space="0" w:color="auto"/>
            </w:tcBorders>
            <w:vAlign w:val="center"/>
          </w:tcPr>
          <w:p w:rsidR="006E0A51" w:rsidRDefault="00B1430C" w:rsidP="005B6221">
            <w:pPr>
              <w:pStyle w:val="Standard"/>
              <w:jc w:val="left"/>
            </w:pPr>
            <w:r>
              <w:t>částka</w:t>
            </w:r>
            <w:r w:rsidR="006E0A51">
              <w:t>, která je přesunem dotčena</w:t>
            </w:r>
          </w:p>
        </w:tc>
      </w:tr>
      <w:tr w:rsidR="00123B17" w:rsidRPr="00954488" w:rsidTr="00187652">
        <w:trPr>
          <w:trHeight w:val="454"/>
        </w:trPr>
        <w:tc>
          <w:tcPr>
            <w:tcW w:w="514" w:type="dxa"/>
            <w:tcBorders>
              <w:bottom w:val="single" w:sz="4" w:space="0" w:color="auto"/>
            </w:tcBorders>
            <w:vAlign w:val="center"/>
          </w:tcPr>
          <w:p w:rsidR="00123B17" w:rsidRPr="00F32A9B" w:rsidRDefault="006E0A51" w:rsidP="003868DF">
            <w:pPr>
              <w:pStyle w:val="Standard"/>
              <w:jc w:val="center"/>
              <w:rPr>
                <w:bCs/>
              </w:rPr>
            </w:pPr>
            <w:r>
              <w:rPr>
                <w:bCs/>
              </w:rPr>
              <w:t>11</w:t>
            </w:r>
          </w:p>
        </w:tc>
        <w:tc>
          <w:tcPr>
            <w:tcW w:w="5326" w:type="dxa"/>
            <w:tcBorders>
              <w:bottom w:val="single" w:sz="4" w:space="0" w:color="auto"/>
            </w:tcBorders>
            <w:vAlign w:val="center"/>
          </w:tcPr>
          <w:p w:rsidR="00123B17" w:rsidRDefault="00123B17" w:rsidP="00BC7873">
            <w:pPr>
              <w:pStyle w:val="Standard"/>
              <w:jc w:val="left"/>
            </w:pPr>
            <w:r>
              <w:t>Přesun finančních prostředků mezi investičními a neinvestičními položkami rozpočtu</w:t>
            </w:r>
            <w:r w:rsidR="006E0A51">
              <w:t xml:space="preserve"> nad 10 % CZV</w:t>
            </w:r>
          </w:p>
        </w:tc>
        <w:tc>
          <w:tcPr>
            <w:tcW w:w="1843" w:type="dxa"/>
            <w:tcBorders>
              <w:bottom w:val="single" w:sz="4" w:space="0" w:color="auto"/>
            </w:tcBorders>
            <w:vAlign w:val="center"/>
          </w:tcPr>
          <w:p w:rsidR="00123B17" w:rsidRDefault="00123B17" w:rsidP="00E70596">
            <w:pPr>
              <w:pStyle w:val="Standard"/>
              <w:jc w:val="center"/>
            </w:pPr>
            <w:r>
              <w:t>5 – 10 %</w:t>
            </w:r>
          </w:p>
        </w:tc>
        <w:tc>
          <w:tcPr>
            <w:tcW w:w="2126" w:type="dxa"/>
            <w:tcBorders>
              <w:bottom w:val="single" w:sz="4" w:space="0" w:color="auto"/>
            </w:tcBorders>
            <w:vAlign w:val="center"/>
          </w:tcPr>
          <w:p w:rsidR="00123B17" w:rsidRDefault="00B1430C" w:rsidP="006E0A51">
            <w:pPr>
              <w:pStyle w:val="Standard"/>
              <w:jc w:val="left"/>
            </w:pPr>
            <w:r>
              <w:t>částka</w:t>
            </w:r>
            <w:r w:rsidR="00123B17">
              <w:t>, která je přesunem dotčena</w:t>
            </w:r>
          </w:p>
        </w:tc>
      </w:tr>
      <w:tr w:rsidR="00BC7873" w:rsidRPr="00954488" w:rsidTr="00187652">
        <w:trPr>
          <w:trHeight w:val="454"/>
        </w:trPr>
        <w:tc>
          <w:tcPr>
            <w:tcW w:w="9809" w:type="dxa"/>
            <w:gridSpan w:val="4"/>
            <w:tcBorders>
              <w:top w:val="single" w:sz="4" w:space="0" w:color="auto"/>
            </w:tcBorders>
            <w:vAlign w:val="center"/>
          </w:tcPr>
          <w:p w:rsidR="00BC7873" w:rsidRPr="00BC7873" w:rsidRDefault="00BC7873" w:rsidP="00BC7873">
            <w:pPr>
              <w:pStyle w:val="Standard"/>
              <w:jc w:val="center"/>
              <w:rPr>
                <w:b/>
              </w:rPr>
            </w:pPr>
            <w:r w:rsidRPr="00BC7873">
              <w:rPr>
                <w:b/>
              </w:rPr>
              <w:t>Projekt a jeho změny</w:t>
            </w:r>
          </w:p>
        </w:tc>
      </w:tr>
      <w:tr w:rsidR="003868DF" w:rsidRPr="00954488" w:rsidTr="00187652">
        <w:trPr>
          <w:trHeight w:val="454"/>
        </w:trPr>
        <w:tc>
          <w:tcPr>
            <w:tcW w:w="514" w:type="dxa"/>
            <w:tcBorders>
              <w:top w:val="single" w:sz="4" w:space="0" w:color="auto"/>
            </w:tcBorders>
            <w:vAlign w:val="center"/>
          </w:tcPr>
          <w:p w:rsidR="003868DF" w:rsidRPr="00F32A9B" w:rsidRDefault="003868DF" w:rsidP="003868DF">
            <w:pPr>
              <w:pStyle w:val="Standard"/>
              <w:jc w:val="center"/>
              <w:rPr>
                <w:bCs/>
              </w:rPr>
            </w:pPr>
            <w:r w:rsidRPr="00F32A9B">
              <w:rPr>
                <w:bCs/>
              </w:rPr>
              <w:t>1</w:t>
            </w:r>
          </w:p>
        </w:tc>
        <w:tc>
          <w:tcPr>
            <w:tcW w:w="5326" w:type="dxa"/>
            <w:tcBorders>
              <w:top w:val="single" w:sz="4" w:space="0" w:color="auto"/>
            </w:tcBorders>
            <w:vAlign w:val="center"/>
          </w:tcPr>
          <w:p w:rsidR="003868DF" w:rsidRDefault="003868DF" w:rsidP="00BC7873">
            <w:pPr>
              <w:pStyle w:val="Standard"/>
              <w:spacing w:after="57"/>
              <w:jc w:val="left"/>
              <w:rPr>
                <w:rFonts w:eastAsia="TimesNewRomanPSMT" w:cs="TimesNewRomanPSMT"/>
              </w:rPr>
            </w:pPr>
            <w:r>
              <w:rPr>
                <w:rFonts w:eastAsia="TimesNewRomanPSMT" w:cs="TimesNewRomanPSMT"/>
              </w:rPr>
              <w:t>Nesplnění povinnosti zahájit fyzickou realizaci projektu nejpozději do 6 měsíců od podpisu Smlouvy</w:t>
            </w:r>
            <w:r>
              <w:rPr>
                <w:rStyle w:val="Znakapoznpodarou"/>
                <w:rFonts w:eastAsia="TimesNewRomanPSMT" w:cs="TimesNewRomanPSMT"/>
              </w:rPr>
              <w:footnoteReference w:id="10"/>
            </w:r>
          </w:p>
        </w:tc>
        <w:tc>
          <w:tcPr>
            <w:tcW w:w="1843" w:type="dxa"/>
            <w:tcBorders>
              <w:top w:val="single" w:sz="4" w:space="0" w:color="auto"/>
            </w:tcBorders>
            <w:vAlign w:val="center"/>
          </w:tcPr>
          <w:p w:rsidR="003868DF" w:rsidRDefault="003868DF" w:rsidP="00E70596">
            <w:pPr>
              <w:pStyle w:val="Standard"/>
              <w:spacing w:after="57"/>
              <w:jc w:val="center"/>
            </w:pPr>
            <w:r>
              <w:t>0,5 – 1 %</w:t>
            </w:r>
          </w:p>
        </w:tc>
        <w:tc>
          <w:tcPr>
            <w:tcW w:w="2126" w:type="dxa"/>
            <w:tcBorders>
              <w:top w:val="single" w:sz="4" w:space="0" w:color="auto"/>
            </w:tcBorders>
            <w:vAlign w:val="center"/>
          </w:tcPr>
          <w:p w:rsidR="003868DF" w:rsidRDefault="003868DF" w:rsidP="005B6221">
            <w:pPr>
              <w:pStyle w:val="Standard"/>
              <w:jc w:val="left"/>
            </w:pPr>
            <w:r>
              <w:t>dotace</w:t>
            </w:r>
            <w:r>
              <w:rPr>
                <w:rStyle w:val="Znakapoznpodarou"/>
              </w:rPr>
              <w:footnoteReference w:id="11"/>
            </w:r>
          </w:p>
        </w:tc>
      </w:tr>
      <w:tr w:rsidR="003868DF" w:rsidRPr="00954488" w:rsidTr="00BC7873">
        <w:trPr>
          <w:cantSplit/>
          <w:trHeight w:val="567"/>
        </w:trPr>
        <w:tc>
          <w:tcPr>
            <w:tcW w:w="514" w:type="dxa"/>
            <w:vAlign w:val="center"/>
          </w:tcPr>
          <w:p w:rsidR="003868DF" w:rsidRPr="00F32A9B" w:rsidRDefault="003868DF" w:rsidP="003868DF">
            <w:pPr>
              <w:pStyle w:val="Standard"/>
              <w:jc w:val="center"/>
              <w:rPr>
                <w:bCs/>
              </w:rPr>
            </w:pPr>
            <w:r w:rsidRPr="00F32A9B">
              <w:rPr>
                <w:bCs/>
              </w:rPr>
              <w:t>2</w:t>
            </w:r>
          </w:p>
        </w:tc>
        <w:tc>
          <w:tcPr>
            <w:tcW w:w="5326" w:type="dxa"/>
            <w:vAlign w:val="center"/>
          </w:tcPr>
          <w:p w:rsidR="003868DF" w:rsidRDefault="003868DF" w:rsidP="00BC7873">
            <w:pPr>
              <w:pStyle w:val="Standard"/>
              <w:jc w:val="left"/>
            </w:pPr>
            <w:r>
              <w:t>Opakované (druhé a každé další) provedení podstatné změny projektu bez oznámení v souladu s Příručkou pro příjemce (za předpokladu event. kladného stanoviska řídícího orgánu)</w:t>
            </w:r>
          </w:p>
        </w:tc>
        <w:tc>
          <w:tcPr>
            <w:tcW w:w="1843" w:type="dxa"/>
            <w:vAlign w:val="center"/>
          </w:tcPr>
          <w:p w:rsidR="003868DF" w:rsidRDefault="003868DF" w:rsidP="00E70596">
            <w:pPr>
              <w:widowControl/>
              <w:suppressAutoHyphens w:val="0"/>
              <w:autoSpaceDE w:val="0"/>
              <w:adjustRightInd w:val="0"/>
              <w:jc w:val="center"/>
              <w:textAlignment w:val="auto"/>
              <w:rPr>
                <w:rFonts w:ascii="Arial" w:hAnsi="Arial" w:cs="Arial"/>
                <w:kern w:val="0"/>
                <w:sz w:val="20"/>
                <w:szCs w:val="20"/>
              </w:rPr>
            </w:pPr>
            <w:r>
              <w:rPr>
                <w:rFonts w:ascii="Arial" w:hAnsi="Arial" w:cs="Arial"/>
                <w:kern w:val="0"/>
                <w:sz w:val="20"/>
                <w:szCs w:val="20"/>
              </w:rPr>
              <w:t>0,5 – 1 %</w:t>
            </w:r>
          </w:p>
        </w:tc>
        <w:tc>
          <w:tcPr>
            <w:tcW w:w="2126" w:type="dxa"/>
            <w:vAlign w:val="center"/>
          </w:tcPr>
          <w:p w:rsidR="003868DF" w:rsidRDefault="003868DF" w:rsidP="00E70596">
            <w:pPr>
              <w:pStyle w:val="Standard"/>
              <w:jc w:val="left"/>
            </w:pPr>
            <w:r>
              <w:t>dotace</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3</w:t>
            </w:r>
          </w:p>
        </w:tc>
        <w:tc>
          <w:tcPr>
            <w:tcW w:w="5326" w:type="dxa"/>
            <w:vAlign w:val="center"/>
          </w:tcPr>
          <w:p w:rsidR="003868DF" w:rsidRDefault="003868DF" w:rsidP="00BC7873">
            <w:pPr>
              <w:pStyle w:val="Standard"/>
              <w:jc w:val="left"/>
            </w:pPr>
            <w:r>
              <w:t xml:space="preserve">Provedení podstatné změny projektu bez oznámení v souladu s Příručkou pro příjemce </w:t>
            </w:r>
          </w:p>
          <w:p w:rsidR="003868DF" w:rsidRDefault="003868DF" w:rsidP="00BC7873">
            <w:pPr>
              <w:pStyle w:val="Standard"/>
              <w:jc w:val="left"/>
            </w:pPr>
            <w:r>
              <w:t>(za předpokladu event. negativního stanoviska řídícího orgánu)</w:t>
            </w:r>
          </w:p>
        </w:tc>
        <w:tc>
          <w:tcPr>
            <w:tcW w:w="1843" w:type="dxa"/>
            <w:vAlign w:val="center"/>
          </w:tcPr>
          <w:p w:rsidR="003868DF" w:rsidRDefault="003868DF" w:rsidP="00E70596">
            <w:pPr>
              <w:pStyle w:val="Standard"/>
              <w:jc w:val="center"/>
            </w:pPr>
            <w:r>
              <w:t>100 %</w:t>
            </w:r>
          </w:p>
        </w:tc>
        <w:tc>
          <w:tcPr>
            <w:tcW w:w="2126" w:type="dxa"/>
            <w:vAlign w:val="center"/>
          </w:tcPr>
          <w:p w:rsidR="003868DF" w:rsidRDefault="003868DF" w:rsidP="00E70596">
            <w:pPr>
              <w:pStyle w:val="Standard"/>
              <w:jc w:val="left"/>
            </w:pPr>
            <w:r>
              <w:t>dotace</w:t>
            </w:r>
          </w:p>
        </w:tc>
      </w:tr>
      <w:tr w:rsidR="00BB15D8" w:rsidRPr="00954488" w:rsidTr="00912DF6">
        <w:trPr>
          <w:trHeight w:val="640"/>
        </w:trPr>
        <w:tc>
          <w:tcPr>
            <w:tcW w:w="514" w:type="dxa"/>
            <w:vAlign w:val="center"/>
          </w:tcPr>
          <w:p w:rsidR="00BB15D8" w:rsidRPr="00F32A9B" w:rsidRDefault="00BB15D8" w:rsidP="003868DF">
            <w:pPr>
              <w:pStyle w:val="Standard"/>
              <w:jc w:val="center"/>
              <w:rPr>
                <w:bCs/>
              </w:rPr>
            </w:pPr>
            <w:r>
              <w:rPr>
                <w:bCs/>
              </w:rPr>
              <w:t>4</w:t>
            </w:r>
          </w:p>
        </w:tc>
        <w:tc>
          <w:tcPr>
            <w:tcW w:w="5326" w:type="dxa"/>
            <w:vAlign w:val="center"/>
          </w:tcPr>
          <w:p w:rsidR="00BB15D8" w:rsidRDefault="00BB15D8" w:rsidP="00BC7873">
            <w:pPr>
              <w:pStyle w:val="Standard"/>
              <w:jc w:val="left"/>
            </w:pPr>
            <w:r>
              <w:t>Nenaplnění monitorovacích indikátorů 0 – 10 % včetně</w:t>
            </w:r>
          </w:p>
        </w:tc>
        <w:tc>
          <w:tcPr>
            <w:tcW w:w="1843" w:type="dxa"/>
            <w:vAlign w:val="center"/>
          </w:tcPr>
          <w:p w:rsidR="00BB15D8" w:rsidRDefault="00BB15D8" w:rsidP="00FC3D26">
            <w:pPr>
              <w:pStyle w:val="Standard"/>
              <w:jc w:val="center"/>
            </w:pPr>
            <w:r>
              <w:t>0 %</w:t>
            </w:r>
          </w:p>
        </w:tc>
        <w:tc>
          <w:tcPr>
            <w:tcW w:w="2126" w:type="dxa"/>
            <w:vAlign w:val="center"/>
          </w:tcPr>
          <w:p w:rsidR="00BB15D8" w:rsidRDefault="00BB15D8" w:rsidP="00E70596">
            <w:pPr>
              <w:pStyle w:val="Standard"/>
              <w:jc w:val="left"/>
            </w:pPr>
            <w:r>
              <w:t>dotace</w:t>
            </w:r>
          </w:p>
        </w:tc>
      </w:tr>
      <w:tr w:rsidR="003868DF" w:rsidRPr="00954488" w:rsidTr="000104E5">
        <w:trPr>
          <w:trHeight w:val="628"/>
        </w:trPr>
        <w:tc>
          <w:tcPr>
            <w:tcW w:w="514" w:type="dxa"/>
            <w:vAlign w:val="center"/>
          </w:tcPr>
          <w:p w:rsidR="003868DF" w:rsidRPr="00F32A9B" w:rsidRDefault="00BB15D8" w:rsidP="003868DF">
            <w:pPr>
              <w:pStyle w:val="Standard"/>
              <w:jc w:val="center"/>
              <w:rPr>
                <w:bCs/>
              </w:rPr>
            </w:pPr>
            <w:r>
              <w:rPr>
                <w:bCs/>
              </w:rPr>
              <w:t>5</w:t>
            </w:r>
          </w:p>
        </w:tc>
        <w:tc>
          <w:tcPr>
            <w:tcW w:w="5326" w:type="dxa"/>
            <w:vAlign w:val="center"/>
          </w:tcPr>
          <w:p w:rsidR="003868DF" w:rsidRPr="00A46BED" w:rsidRDefault="003868DF" w:rsidP="00BC7873">
            <w:pPr>
              <w:pStyle w:val="Standard"/>
              <w:jc w:val="left"/>
            </w:pPr>
            <w:r>
              <w:t>N</w:t>
            </w:r>
            <w:r w:rsidRPr="00A46BED">
              <w:t xml:space="preserve">enaplnění monitorovacích indikátorů o více než 10 </w:t>
            </w:r>
            <w:r>
              <w:t>% až</w:t>
            </w:r>
            <w:r w:rsidRPr="00A46BED">
              <w:t xml:space="preserve"> 30</w:t>
            </w:r>
            <w:r>
              <w:t xml:space="preserve"> </w:t>
            </w:r>
            <w:r w:rsidRPr="00A46BED">
              <w:t xml:space="preserve">% </w:t>
            </w:r>
            <w:r>
              <w:t>včetně</w:t>
            </w:r>
          </w:p>
        </w:tc>
        <w:tc>
          <w:tcPr>
            <w:tcW w:w="1843" w:type="dxa"/>
            <w:vAlign w:val="center"/>
          </w:tcPr>
          <w:p w:rsidR="003868DF" w:rsidRDefault="003868DF" w:rsidP="000B69F5">
            <w:pPr>
              <w:pStyle w:val="Standard"/>
              <w:jc w:val="center"/>
            </w:pPr>
            <w:r>
              <w:t>0,5 – 1 %</w:t>
            </w:r>
          </w:p>
        </w:tc>
        <w:tc>
          <w:tcPr>
            <w:tcW w:w="2126" w:type="dxa"/>
            <w:vAlign w:val="center"/>
          </w:tcPr>
          <w:p w:rsidR="003868DF" w:rsidRDefault="003868DF" w:rsidP="00E70596">
            <w:pPr>
              <w:pStyle w:val="Standard"/>
              <w:jc w:val="left"/>
            </w:pPr>
            <w:r>
              <w:t>dotace</w:t>
            </w:r>
          </w:p>
        </w:tc>
      </w:tr>
      <w:tr w:rsidR="003868DF" w:rsidRPr="00954488" w:rsidTr="000104E5">
        <w:trPr>
          <w:trHeight w:val="820"/>
        </w:trPr>
        <w:tc>
          <w:tcPr>
            <w:tcW w:w="514" w:type="dxa"/>
            <w:vAlign w:val="center"/>
          </w:tcPr>
          <w:p w:rsidR="003868DF" w:rsidRPr="00F32A9B" w:rsidRDefault="00BB15D8" w:rsidP="003868DF">
            <w:pPr>
              <w:pStyle w:val="Standard"/>
              <w:jc w:val="center"/>
              <w:rPr>
                <w:bCs/>
              </w:rPr>
            </w:pPr>
            <w:r>
              <w:rPr>
                <w:bCs/>
              </w:rPr>
              <w:t>6</w:t>
            </w:r>
          </w:p>
        </w:tc>
        <w:tc>
          <w:tcPr>
            <w:tcW w:w="5326" w:type="dxa"/>
            <w:vAlign w:val="center"/>
          </w:tcPr>
          <w:p w:rsidR="003868DF" w:rsidRDefault="003868DF" w:rsidP="00BC7873">
            <w:pPr>
              <w:pStyle w:val="Standard"/>
              <w:jc w:val="left"/>
            </w:pPr>
            <w:r>
              <w:t xml:space="preserve">Nenaplnění monitorovacích indikátorů o více než 30 % </w:t>
            </w:r>
          </w:p>
        </w:tc>
        <w:tc>
          <w:tcPr>
            <w:tcW w:w="1843" w:type="dxa"/>
            <w:vAlign w:val="center"/>
          </w:tcPr>
          <w:p w:rsidR="003868DF" w:rsidRDefault="00BB15D8" w:rsidP="00E70596">
            <w:pPr>
              <w:pStyle w:val="Standard"/>
              <w:jc w:val="center"/>
            </w:pPr>
            <w:r>
              <w:t>proporcionálně s ohledem na výši plnění</w:t>
            </w:r>
            <w:r>
              <w:rPr>
                <w:rStyle w:val="Znakapoznpodarou"/>
              </w:rPr>
              <w:footnoteReference w:id="12"/>
            </w:r>
          </w:p>
        </w:tc>
        <w:tc>
          <w:tcPr>
            <w:tcW w:w="2126" w:type="dxa"/>
            <w:vAlign w:val="center"/>
          </w:tcPr>
          <w:p w:rsidR="003868DF" w:rsidRDefault="003868DF" w:rsidP="00E70596">
            <w:pPr>
              <w:pStyle w:val="Standard"/>
              <w:jc w:val="left"/>
            </w:pPr>
            <w:r>
              <w:t>dotace</w:t>
            </w:r>
          </w:p>
        </w:tc>
      </w:tr>
      <w:tr w:rsidR="003868DF" w:rsidRPr="00954488" w:rsidTr="000104E5">
        <w:trPr>
          <w:trHeight w:val="1200"/>
        </w:trPr>
        <w:tc>
          <w:tcPr>
            <w:tcW w:w="514" w:type="dxa"/>
            <w:vAlign w:val="center"/>
          </w:tcPr>
          <w:p w:rsidR="003868DF" w:rsidRPr="00F32A9B" w:rsidRDefault="00BB15D8" w:rsidP="003868DF">
            <w:pPr>
              <w:pStyle w:val="Standard"/>
              <w:jc w:val="center"/>
              <w:rPr>
                <w:bCs/>
              </w:rPr>
            </w:pPr>
            <w:r>
              <w:rPr>
                <w:bCs/>
              </w:rPr>
              <w:t>7</w:t>
            </w:r>
          </w:p>
        </w:tc>
        <w:tc>
          <w:tcPr>
            <w:tcW w:w="5326" w:type="dxa"/>
            <w:vAlign w:val="center"/>
          </w:tcPr>
          <w:p w:rsidR="003868DF" w:rsidRDefault="003868DF" w:rsidP="00BC7873">
            <w:pPr>
              <w:pStyle w:val="Standard"/>
              <w:jc w:val="left"/>
            </w:pPr>
            <w:r>
              <w:t>Provedení úprav projektu, které sice nevedou k nenaplnění cíle a účelu projektu, nicméně jsou takové četnosti, rozsahu a charakteru, že vedou k chybovosti napříč celým projektem</w:t>
            </w:r>
          </w:p>
        </w:tc>
        <w:tc>
          <w:tcPr>
            <w:tcW w:w="1843" w:type="dxa"/>
            <w:vAlign w:val="center"/>
          </w:tcPr>
          <w:p w:rsidR="003868DF" w:rsidRDefault="003868DF" w:rsidP="00717F23">
            <w:pPr>
              <w:widowControl/>
              <w:suppressAutoHyphens w:val="0"/>
              <w:autoSpaceDE w:val="0"/>
              <w:adjustRightInd w:val="0"/>
              <w:jc w:val="center"/>
              <w:textAlignment w:val="auto"/>
              <w:rPr>
                <w:rFonts w:ascii="Arial" w:hAnsi="Arial" w:cs="Arial"/>
                <w:kern w:val="0"/>
                <w:sz w:val="20"/>
                <w:szCs w:val="20"/>
              </w:rPr>
            </w:pPr>
            <w:r>
              <w:rPr>
                <w:rFonts w:ascii="Arial" w:hAnsi="Arial" w:cs="Arial"/>
                <w:kern w:val="0"/>
                <w:sz w:val="20"/>
                <w:szCs w:val="20"/>
              </w:rPr>
              <w:t xml:space="preserve">5 </w:t>
            </w:r>
            <w:r>
              <w:t xml:space="preserve">– </w:t>
            </w:r>
            <w:r>
              <w:rPr>
                <w:rFonts w:ascii="Arial" w:hAnsi="Arial" w:cs="Arial"/>
                <w:kern w:val="0"/>
                <w:sz w:val="20"/>
                <w:szCs w:val="20"/>
              </w:rPr>
              <w:t>25 %</w:t>
            </w:r>
          </w:p>
          <w:p w:rsidR="00BC7873" w:rsidRDefault="003868DF" w:rsidP="00717F23">
            <w:pPr>
              <w:pStyle w:val="Standard"/>
              <w:jc w:val="center"/>
              <w:rPr>
                <w:rFonts w:cs="Arial"/>
                <w:kern w:val="0"/>
              </w:rPr>
            </w:pPr>
            <w:r>
              <w:rPr>
                <w:rFonts w:cs="Arial"/>
                <w:kern w:val="0"/>
              </w:rPr>
              <w:t xml:space="preserve">(obvyklé odstupňování </w:t>
            </w:r>
          </w:p>
          <w:p w:rsidR="003868DF" w:rsidRDefault="003868DF" w:rsidP="00717F23">
            <w:pPr>
              <w:pStyle w:val="Standard"/>
              <w:jc w:val="center"/>
            </w:pPr>
            <w:r>
              <w:rPr>
                <w:rFonts w:cs="Arial"/>
                <w:kern w:val="0"/>
              </w:rPr>
              <w:t>5 %, 10 %, 25 %)</w:t>
            </w:r>
          </w:p>
        </w:tc>
        <w:tc>
          <w:tcPr>
            <w:tcW w:w="2126" w:type="dxa"/>
            <w:vAlign w:val="center"/>
          </w:tcPr>
          <w:p w:rsidR="003868DF" w:rsidRDefault="003868DF" w:rsidP="00E70596">
            <w:pPr>
              <w:pStyle w:val="Standard"/>
              <w:jc w:val="left"/>
            </w:pPr>
            <w:r>
              <w:t>dotace</w:t>
            </w:r>
          </w:p>
        </w:tc>
      </w:tr>
      <w:tr w:rsidR="003868DF" w:rsidRPr="00954488" w:rsidTr="000104E5">
        <w:trPr>
          <w:trHeight w:val="1585"/>
        </w:trPr>
        <w:tc>
          <w:tcPr>
            <w:tcW w:w="514" w:type="dxa"/>
            <w:vAlign w:val="center"/>
          </w:tcPr>
          <w:p w:rsidR="003868DF" w:rsidRPr="00F32A9B" w:rsidRDefault="00BB15D8" w:rsidP="003868DF">
            <w:pPr>
              <w:pStyle w:val="Standard"/>
              <w:jc w:val="center"/>
              <w:rPr>
                <w:bCs/>
              </w:rPr>
            </w:pPr>
            <w:r>
              <w:rPr>
                <w:bCs/>
              </w:rPr>
              <w:t>8</w:t>
            </w:r>
          </w:p>
        </w:tc>
        <w:tc>
          <w:tcPr>
            <w:tcW w:w="5326" w:type="dxa"/>
            <w:vAlign w:val="center"/>
          </w:tcPr>
          <w:p w:rsidR="003868DF" w:rsidRDefault="003868DF" w:rsidP="00BC7873">
            <w:pPr>
              <w:pStyle w:val="Standard"/>
              <w:jc w:val="left"/>
            </w:pPr>
            <w:r>
              <w:t>Nezajištění povinné udržitelnosti projektu</w:t>
            </w:r>
          </w:p>
        </w:tc>
        <w:tc>
          <w:tcPr>
            <w:tcW w:w="1843" w:type="dxa"/>
            <w:vAlign w:val="center"/>
          </w:tcPr>
          <w:p w:rsidR="003868DF" w:rsidRDefault="003868DF" w:rsidP="00A96A78">
            <w:pPr>
              <w:pStyle w:val="Standard"/>
              <w:jc w:val="center"/>
            </w:pPr>
            <w:r>
              <w:t>proporcionálně s ohledem na dobu, po kterou neb</w:t>
            </w:r>
            <w:r w:rsidR="00BC7873">
              <w:t xml:space="preserve">yly výsledky realizace projektu </w:t>
            </w:r>
            <w:r>
              <w:t>zachovány</w:t>
            </w:r>
            <w:r>
              <w:rPr>
                <w:rStyle w:val="Znakapoznpodarou"/>
              </w:rPr>
              <w:footnoteReference w:id="13"/>
            </w:r>
          </w:p>
        </w:tc>
        <w:tc>
          <w:tcPr>
            <w:tcW w:w="2126" w:type="dxa"/>
            <w:vAlign w:val="center"/>
          </w:tcPr>
          <w:p w:rsidR="003868DF" w:rsidRDefault="003868DF" w:rsidP="00E70596">
            <w:pPr>
              <w:pStyle w:val="Standard"/>
              <w:jc w:val="left"/>
            </w:pPr>
            <w:r>
              <w:t>dotace</w:t>
            </w:r>
          </w:p>
        </w:tc>
      </w:tr>
      <w:tr w:rsidR="0072411F" w:rsidRPr="00954488" w:rsidTr="00912DF6">
        <w:trPr>
          <w:cantSplit/>
          <w:trHeight w:val="743"/>
        </w:trPr>
        <w:tc>
          <w:tcPr>
            <w:tcW w:w="9809" w:type="dxa"/>
            <w:gridSpan w:val="4"/>
            <w:tcBorders>
              <w:bottom w:val="single" w:sz="4" w:space="0" w:color="auto"/>
            </w:tcBorders>
            <w:vAlign w:val="center"/>
          </w:tcPr>
          <w:p w:rsidR="0072411F" w:rsidRPr="00912DF6" w:rsidRDefault="0072411F" w:rsidP="00912DF6">
            <w:pPr>
              <w:pStyle w:val="Standard"/>
              <w:jc w:val="center"/>
              <w:rPr>
                <w:b/>
              </w:rPr>
            </w:pPr>
            <w:r w:rsidRPr="00912DF6">
              <w:rPr>
                <w:b/>
              </w:rPr>
              <w:t>Horizontální témata</w:t>
            </w:r>
            <w:r w:rsidR="00BB15D8">
              <w:rPr>
                <w:b/>
              </w:rPr>
              <w:t>/udržitelný rozvoj</w:t>
            </w:r>
            <w:r w:rsidR="00BB15D8">
              <w:rPr>
                <w:rStyle w:val="Znakapoznpodarou"/>
                <w:b/>
              </w:rPr>
              <w:footnoteReference w:id="14"/>
            </w:r>
          </w:p>
        </w:tc>
      </w:tr>
      <w:tr w:rsidR="0072411F" w:rsidRPr="00954488" w:rsidTr="00912DF6">
        <w:trPr>
          <w:cantSplit/>
          <w:trHeight w:val="676"/>
        </w:trPr>
        <w:tc>
          <w:tcPr>
            <w:tcW w:w="514" w:type="dxa"/>
            <w:tcBorders>
              <w:bottom w:val="single" w:sz="4" w:space="0" w:color="auto"/>
            </w:tcBorders>
            <w:vAlign w:val="center"/>
          </w:tcPr>
          <w:p w:rsidR="0072411F" w:rsidRPr="00F32A9B" w:rsidRDefault="0072411F" w:rsidP="003868DF">
            <w:pPr>
              <w:pStyle w:val="Standard"/>
              <w:jc w:val="center"/>
              <w:rPr>
                <w:bCs/>
              </w:rPr>
            </w:pPr>
            <w:r>
              <w:rPr>
                <w:bCs/>
              </w:rPr>
              <w:t>1</w:t>
            </w:r>
          </w:p>
        </w:tc>
        <w:tc>
          <w:tcPr>
            <w:tcW w:w="5326" w:type="dxa"/>
            <w:tcBorders>
              <w:bottom w:val="single" w:sz="4" w:space="0" w:color="auto"/>
            </w:tcBorders>
            <w:vAlign w:val="center"/>
          </w:tcPr>
          <w:p w:rsidR="0072411F" w:rsidRPr="0072411F" w:rsidRDefault="0072411F" w:rsidP="0072411F">
            <w:pPr>
              <w:pStyle w:val="Standard"/>
              <w:jc w:val="left"/>
              <w:rPr>
                <w:rFonts w:cs="Arial"/>
              </w:rPr>
            </w:pPr>
            <w:r w:rsidRPr="0072411F">
              <w:rPr>
                <w:rFonts w:cs="Arial"/>
              </w:rPr>
              <w:t>Nenaplnění kvantifikovatelného kritéria o více než 10 % až 50 % včetně</w:t>
            </w:r>
          </w:p>
        </w:tc>
        <w:tc>
          <w:tcPr>
            <w:tcW w:w="1843" w:type="dxa"/>
            <w:tcBorders>
              <w:bottom w:val="single" w:sz="4" w:space="0" w:color="auto"/>
            </w:tcBorders>
            <w:vAlign w:val="center"/>
          </w:tcPr>
          <w:p w:rsidR="0072411F" w:rsidRPr="0072411F" w:rsidRDefault="0072411F" w:rsidP="0072411F">
            <w:pPr>
              <w:widowControl/>
              <w:suppressAutoHyphens w:val="0"/>
              <w:autoSpaceDE w:val="0"/>
              <w:adjustRightInd w:val="0"/>
              <w:jc w:val="center"/>
              <w:textAlignment w:val="auto"/>
              <w:rPr>
                <w:rFonts w:ascii="Arial" w:hAnsi="Arial" w:cs="Arial"/>
                <w:kern w:val="0"/>
                <w:sz w:val="20"/>
                <w:szCs w:val="20"/>
              </w:rPr>
            </w:pPr>
            <w:r w:rsidRPr="00912DF6">
              <w:rPr>
                <w:rFonts w:ascii="Arial" w:hAnsi="Arial" w:cs="Arial"/>
                <w:sz w:val="20"/>
                <w:szCs w:val="20"/>
              </w:rPr>
              <w:t xml:space="preserve">0,5 </w:t>
            </w:r>
            <w:r w:rsidR="000B69F5" w:rsidRPr="00912DF6">
              <w:rPr>
                <w:rFonts w:ascii="Arial" w:hAnsi="Arial" w:cs="Arial"/>
                <w:sz w:val="20"/>
                <w:szCs w:val="20"/>
              </w:rPr>
              <w:t>– 0,9</w:t>
            </w:r>
            <w:r w:rsidR="000B69F5">
              <w:t xml:space="preserve"> </w:t>
            </w:r>
            <w:r w:rsidRPr="00912DF6">
              <w:rPr>
                <w:rFonts w:ascii="Arial" w:hAnsi="Arial" w:cs="Arial"/>
                <w:sz w:val="20"/>
                <w:szCs w:val="20"/>
              </w:rPr>
              <w:t>%</w:t>
            </w:r>
          </w:p>
        </w:tc>
        <w:tc>
          <w:tcPr>
            <w:tcW w:w="2126" w:type="dxa"/>
            <w:tcBorders>
              <w:bottom w:val="single" w:sz="4" w:space="0" w:color="auto"/>
            </w:tcBorders>
            <w:vAlign w:val="center"/>
          </w:tcPr>
          <w:p w:rsidR="0072411F" w:rsidRPr="0072411F" w:rsidRDefault="0072411F" w:rsidP="00912DF6">
            <w:pPr>
              <w:pStyle w:val="Standard"/>
              <w:jc w:val="center"/>
              <w:rPr>
                <w:rFonts w:cs="Arial"/>
              </w:rPr>
            </w:pPr>
            <w:r>
              <w:rPr>
                <w:rFonts w:cs="Arial"/>
              </w:rPr>
              <w:t>dotace</w:t>
            </w:r>
          </w:p>
        </w:tc>
      </w:tr>
      <w:tr w:rsidR="0072411F" w:rsidRPr="00954488" w:rsidTr="00912DF6">
        <w:trPr>
          <w:cantSplit/>
          <w:trHeight w:val="647"/>
        </w:trPr>
        <w:tc>
          <w:tcPr>
            <w:tcW w:w="514" w:type="dxa"/>
            <w:tcBorders>
              <w:bottom w:val="single" w:sz="4" w:space="0" w:color="auto"/>
            </w:tcBorders>
            <w:vAlign w:val="center"/>
          </w:tcPr>
          <w:p w:rsidR="0072411F" w:rsidRPr="00F32A9B" w:rsidRDefault="0072411F" w:rsidP="003868DF">
            <w:pPr>
              <w:pStyle w:val="Standard"/>
              <w:jc w:val="center"/>
              <w:rPr>
                <w:bCs/>
              </w:rPr>
            </w:pPr>
            <w:r>
              <w:rPr>
                <w:bCs/>
              </w:rPr>
              <w:t>2</w:t>
            </w:r>
          </w:p>
        </w:tc>
        <w:tc>
          <w:tcPr>
            <w:tcW w:w="5326" w:type="dxa"/>
            <w:tcBorders>
              <w:bottom w:val="single" w:sz="4" w:space="0" w:color="auto"/>
            </w:tcBorders>
            <w:vAlign w:val="center"/>
          </w:tcPr>
          <w:p w:rsidR="0072411F" w:rsidRPr="0072411F" w:rsidRDefault="0072411F" w:rsidP="0072411F">
            <w:pPr>
              <w:pStyle w:val="Standard"/>
              <w:jc w:val="left"/>
              <w:rPr>
                <w:rFonts w:cs="Arial"/>
              </w:rPr>
            </w:pPr>
            <w:r w:rsidRPr="0072411F">
              <w:rPr>
                <w:rFonts w:cs="Arial"/>
              </w:rPr>
              <w:t>Nenaplnění kvantifikovatelného kritéria o více než 50 %</w:t>
            </w:r>
          </w:p>
        </w:tc>
        <w:tc>
          <w:tcPr>
            <w:tcW w:w="1843" w:type="dxa"/>
            <w:tcBorders>
              <w:bottom w:val="single" w:sz="4" w:space="0" w:color="auto"/>
            </w:tcBorders>
            <w:vAlign w:val="center"/>
          </w:tcPr>
          <w:p w:rsidR="0072411F" w:rsidRPr="0072411F" w:rsidRDefault="0072411F" w:rsidP="0072411F">
            <w:pPr>
              <w:widowControl/>
              <w:suppressAutoHyphens w:val="0"/>
              <w:autoSpaceDE w:val="0"/>
              <w:adjustRightInd w:val="0"/>
              <w:jc w:val="center"/>
              <w:textAlignment w:val="auto"/>
              <w:rPr>
                <w:rFonts w:ascii="Arial" w:hAnsi="Arial" w:cs="Arial"/>
                <w:kern w:val="0"/>
                <w:sz w:val="20"/>
                <w:szCs w:val="20"/>
              </w:rPr>
            </w:pPr>
            <w:r w:rsidRPr="00912DF6">
              <w:rPr>
                <w:rFonts w:ascii="Arial" w:hAnsi="Arial" w:cs="Arial"/>
                <w:sz w:val="20"/>
                <w:szCs w:val="20"/>
              </w:rPr>
              <w:t>1</w:t>
            </w:r>
            <w:r w:rsidR="000B69F5">
              <w:rPr>
                <w:rFonts w:ascii="Arial" w:hAnsi="Arial" w:cs="Arial"/>
                <w:sz w:val="20"/>
                <w:szCs w:val="20"/>
              </w:rPr>
              <w:t xml:space="preserve"> </w:t>
            </w:r>
            <w:r w:rsidR="000B69F5">
              <w:t xml:space="preserve">– </w:t>
            </w:r>
            <w:r w:rsidR="000B69F5" w:rsidRPr="00912DF6">
              <w:rPr>
                <w:rFonts w:ascii="Arial" w:hAnsi="Arial" w:cs="Arial"/>
                <w:sz w:val="20"/>
                <w:szCs w:val="20"/>
              </w:rPr>
              <w:t>2</w:t>
            </w:r>
            <w:r w:rsidRPr="00912DF6">
              <w:rPr>
                <w:rFonts w:ascii="Arial" w:hAnsi="Arial" w:cs="Arial"/>
                <w:sz w:val="20"/>
                <w:szCs w:val="20"/>
              </w:rPr>
              <w:t xml:space="preserve"> %</w:t>
            </w:r>
          </w:p>
        </w:tc>
        <w:tc>
          <w:tcPr>
            <w:tcW w:w="2126" w:type="dxa"/>
            <w:tcBorders>
              <w:bottom w:val="single" w:sz="4" w:space="0" w:color="auto"/>
            </w:tcBorders>
            <w:vAlign w:val="center"/>
          </w:tcPr>
          <w:p w:rsidR="0072411F" w:rsidRPr="0072411F" w:rsidRDefault="0072411F" w:rsidP="00912DF6">
            <w:pPr>
              <w:pStyle w:val="Standard"/>
              <w:jc w:val="center"/>
              <w:rPr>
                <w:rFonts w:cs="Arial"/>
              </w:rPr>
            </w:pPr>
            <w:r>
              <w:rPr>
                <w:rFonts w:cs="Arial"/>
              </w:rPr>
              <w:t>dotace</w:t>
            </w:r>
          </w:p>
        </w:tc>
      </w:tr>
      <w:tr w:rsidR="0072411F" w:rsidRPr="00954488" w:rsidTr="000104E5">
        <w:trPr>
          <w:cantSplit/>
          <w:trHeight w:val="858"/>
        </w:trPr>
        <w:tc>
          <w:tcPr>
            <w:tcW w:w="514" w:type="dxa"/>
            <w:tcBorders>
              <w:bottom w:val="single" w:sz="4" w:space="0" w:color="auto"/>
            </w:tcBorders>
            <w:vAlign w:val="center"/>
          </w:tcPr>
          <w:p w:rsidR="0072411F" w:rsidRPr="00F32A9B" w:rsidRDefault="0072411F" w:rsidP="003868DF">
            <w:pPr>
              <w:pStyle w:val="Standard"/>
              <w:jc w:val="center"/>
              <w:rPr>
                <w:bCs/>
              </w:rPr>
            </w:pPr>
            <w:r>
              <w:rPr>
                <w:bCs/>
              </w:rPr>
              <w:t>3</w:t>
            </w:r>
          </w:p>
        </w:tc>
        <w:tc>
          <w:tcPr>
            <w:tcW w:w="5326" w:type="dxa"/>
            <w:tcBorders>
              <w:bottom w:val="single" w:sz="4" w:space="0" w:color="auto"/>
            </w:tcBorders>
            <w:vAlign w:val="center"/>
          </w:tcPr>
          <w:p w:rsidR="0072411F" w:rsidRPr="0072411F" w:rsidRDefault="0072411F" w:rsidP="00BB15D8">
            <w:pPr>
              <w:pStyle w:val="Standard"/>
              <w:jc w:val="left"/>
              <w:rPr>
                <w:rFonts w:cs="Arial"/>
              </w:rPr>
            </w:pPr>
            <w:r w:rsidRPr="0072411F">
              <w:rPr>
                <w:rFonts w:cs="Arial"/>
              </w:rPr>
              <w:t>Nenaplnění nekvantifikovatelných kritérií</w:t>
            </w:r>
          </w:p>
        </w:tc>
        <w:tc>
          <w:tcPr>
            <w:tcW w:w="1843" w:type="dxa"/>
            <w:tcBorders>
              <w:bottom w:val="single" w:sz="4" w:space="0" w:color="auto"/>
            </w:tcBorders>
            <w:vAlign w:val="center"/>
          </w:tcPr>
          <w:p w:rsidR="0072411F" w:rsidRPr="0072411F" w:rsidRDefault="0072411F" w:rsidP="0072411F">
            <w:pPr>
              <w:widowControl/>
              <w:suppressAutoHyphens w:val="0"/>
              <w:autoSpaceDE w:val="0"/>
              <w:adjustRightInd w:val="0"/>
              <w:jc w:val="center"/>
              <w:textAlignment w:val="auto"/>
              <w:rPr>
                <w:rFonts w:ascii="Arial" w:hAnsi="Arial" w:cs="Arial"/>
                <w:kern w:val="0"/>
                <w:sz w:val="20"/>
                <w:szCs w:val="20"/>
              </w:rPr>
            </w:pPr>
            <w:r w:rsidRPr="00912DF6">
              <w:rPr>
                <w:rFonts w:ascii="Arial" w:hAnsi="Arial" w:cs="Arial"/>
                <w:sz w:val="20"/>
                <w:szCs w:val="20"/>
              </w:rPr>
              <w:t>0 %</w:t>
            </w:r>
          </w:p>
        </w:tc>
        <w:tc>
          <w:tcPr>
            <w:tcW w:w="2126" w:type="dxa"/>
            <w:tcBorders>
              <w:bottom w:val="single" w:sz="4" w:space="0" w:color="auto"/>
            </w:tcBorders>
            <w:vAlign w:val="center"/>
          </w:tcPr>
          <w:p w:rsidR="0072411F" w:rsidRPr="0072411F" w:rsidRDefault="0072411F" w:rsidP="00912DF6">
            <w:pPr>
              <w:pStyle w:val="Standard"/>
              <w:jc w:val="center"/>
              <w:rPr>
                <w:rFonts w:cs="Arial"/>
              </w:rPr>
            </w:pPr>
            <w:r>
              <w:rPr>
                <w:rFonts w:cs="Arial"/>
              </w:rPr>
              <w:t>dotace</w:t>
            </w:r>
          </w:p>
        </w:tc>
      </w:tr>
      <w:tr w:rsidR="00BB15D8" w:rsidRPr="00954488" w:rsidTr="000104E5">
        <w:trPr>
          <w:cantSplit/>
          <w:trHeight w:val="762"/>
        </w:trPr>
        <w:tc>
          <w:tcPr>
            <w:tcW w:w="9809" w:type="dxa"/>
            <w:gridSpan w:val="4"/>
            <w:tcBorders>
              <w:bottom w:val="single" w:sz="4" w:space="0" w:color="auto"/>
            </w:tcBorders>
            <w:vAlign w:val="center"/>
          </w:tcPr>
          <w:p w:rsidR="00BB15D8" w:rsidRPr="00912DF6" w:rsidRDefault="00BB15D8">
            <w:pPr>
              <w:pStyle w:val="Standard"/>
              <w:jc w:val="center"/>
              <w:rPr>
                <w:rFonts w:cs="Arial"/>
                <w:b/>
              </w:rPr>
            </w:pPr>
            <w:r w:rsidRPr="00912DF6">
              <w:rPr>
                <w:rFonts w:cs="Arial"/>
                <w:b/>
              </w:rPr>
              <w:t>Horizontální témata/rovné příležitosti</w:t>
            </w:r>
            <w:r>
              <w:rPr>
                <w:rFonts w:cs="Arial"/>
                <w:b/>
                <w:vertAlign w:val="superscript"/>
              </w:rPr>
              <w:t>11</w:t>
            </w:r>
          </w:p>
        </w:tc>
      </w:tr>
      <w:tr w:rsidR="0072411F" w:rsidRPr="00954488" w:rsidTr="00912DF6">
        <w:trPr>
          <w:cantSplit/>
          <w:trHeight w:val="567"/>
        </w:trPr>
        <w:tc>
          <w:tcPr>
            <w:tcW w:w="514" w:type="dxa"/>
            <w:tcBorders>
              <w:bottom w:val="single" w:sz="4" w:space="0" w:color="auto"/>
            </w:tcBorders>
            <w:vAlign w:val="center"/>
          </w:tcPr>
          <w:p w:rsidR="0072411F" w:rsidRPr="00F32A9B" w:rsidRDefault="003E455D" w:rsidP="003868DF">
            <w:pPr>
              <w:pStyle w:val="Standard"/>
              <w:jc w:val="center"/>
              <w:rPr>
                <w:bCs/>
              </w:rPr>
            </w:pPr>
            <w:r>
              <w:rPr>
                <w:bCs/>
              </w:rPr>
              <w:t>1</w:t>
            </w:r>
          </w:p>
        </w:tc>
        <w:tc>
          <w:tcPr>
            <w:tcW w:w="5326" w:type="dxa"/>
            <w:tcBorders>
              <w:bottom w:val="single" w:sz="4" w:space="0" w:color="auto"/>
            </w:tcBorders>
            <w:vAlign w:val="center"/>
          </w:tcPr>
          <w:p w:rsidR="0072411F" w:rsidRDefault="0072411F" w:rsidP="0072411F">
            <w:pPr>
              <w:pStyle w:val="Standard"/>
              <w:jc w:val="left"/>
            </w:pPr>
            <w:r>
              <w:t>Projekt přispívá jen k 1 zlepšení uvedenému v žádosti</w:t>
            </w:r>
          </w:p>
        </w:tc>
        <w:tc>
          <w:tcPr>
            <w:tcW w:w="1843" w:type="dxa"/>
            <w:tcBorders>
              <w:bottom w:val="single" w:sz="4" w:space="0" w:color="auto"/>
            </w:tcBorders>
            <w:vAlign w:val="center"/>
          </w:tcPr>
          <w:p w:rsidR="0072411F" w:rsidRPr="0072411F" w:rsidRDefault="0072411F" w:rsidP="00E70596">
            <w:pPr>
              <w:widowControl/>
              <w:suppressAutoHyphens w:val="0"/>
              <w:autoSpaceDE w:val="0"/>
              <w:adjustRightInd w:val="0"/>
              <w:jc w:val="center"/>
              <w:textAlignment w:val="auto"/>
              <w:rPr>
                <w:rFonts w:ascii="Arial" w:hAnsi="Arial" w:cs="Arial"/>
                <w:kern w:val="0"/>
                <w:sz w:val="20"/>
                <w:szCs w:val="20"/>
              </w:rPr>
            </w:pPr>
            <w:r w:rsidRPr="00912DF6">
              <w:rPr>
                <w:rFonts w:ascii="Arial" w:hAnsi="Arial" w:cs="Arial"/>
                <w:sz w:val="20"/>
                <w:szCs w:val="20"/>
              </w:rPr>
              <w:t xml:space="preserve">0,5 </w:t>
            </w:r>
            <w:r w:rsidR="000B69F5">
              <w:t xml:space="preserve">– </w:t>
            </w:r>
            <w:r w:rsidR="000B69F5" w:rsidRPr="00912DF6">
              <w:rPr>
                <w:rFonts w:ascii="Arial" w:hAnsi="Arial" w:cs="Arial"/>
                <w:sz w:val="20"/>
                <w:szCs w:val="20"/>
              </w:rPr>
              <w:t>0,9</w:t>
            </w:r>
            <w:r w:rsidR="000B69F5">
              <w:t xml:space="preserve"> </w:t>
            </w:r>
            <w:r w:rsidRPr="00912DF6">
              <w:rPr>
                <w:rFonts w:ascii="Arial" w:hAnsi="Arial" w:cs="Arial"/>
                <w:sz w:val="20"/>
                <w:szCs w:val="20"/>
              </w:rPr>
              <w:t>%</w:t>
            </w:r>
            <w:r w:rsidRPr="00912DF6">
              <w:rPr>
                <w:rStyle w:val="Znakapoznpodarou"/>
                <w:rFonts w:ascii="Arial" w:hAnsi="Arial" w:cs="Arial"/>
                <w:sz w:val="20"/>
                <w:szCs w:val="20"/>
              </w:rPr>
              <w:footnoteReference w:id="15"/>
            </w:r>
            <w:r w:rsidRPr="00912DF6">
              <w:rPr>
                <w:rFonts w:ascii="Arial" w:hAnsi="Arial" w:cs="Arial"/>
                <w:sz w:val="20"/>
                <w:szCs w:val="20"/>
              </w:rPr>
              <w:t xml:space="preserve"> </w:t>
            </w:r>
          </w:p>
        </w:tc>
        <w:tc>
          <w:tcPr>
            <w:tcW w:w="2126" w:type="dxa"/>
            <w:tcBorders>
              <w:bottom w:val="single" w:sz="4" w:space="0" w:color="auto"/>
            </w:tcBorders>
            <w:vAlign w:val="center"/>
          </w:tcPr>
          <w:p w:rsidR="0072411F" w:rsidRDefault="0072411F" w:rsidP="00912DF6">
            <w:pPr>
              <w:pStyle w:val="Standard"/>
              <w:jc w:val="center"/>
            </w:pPr>
            <w:r>
              <w:rPr>
                <w:rFonts w:cs="Arial"/>
              </w:rPr>
              <w:t>dotace</w:t>
            </w:r>
          </w:p>
        </w:tc>
      </w:tr>
      <w:tr w:rsidR="0072411F" w:rsidRPr="00954488" w:rsidTr="00912DF6">
        <w:trPr>
          <w:cantSplit/>
          <w:trHeight w:val="567"/>
        </w:trPr>
        <w:tc>
          <w:tcPr>
            <w:tcW w:w="514" w:type="dxa"/>
            <w:tcBorders>
              <w:bottom w:val="single" w:sz="4" w:space="0" w:color="auto"/>
            </w:tcBorders>
            <w:vAlign w:val="center"/>
          </w:tcPr>
          <w:p w:rsidR="0072411F" w:rsidRPr="00F32A9B" w:rsidRDefault="003E455D" w:rsidP="003868DF">
            <w:pPr>
              <w:pStyle w:val="Standard"/>
              <w:jc w:val="center"/>
              <w:rPr>
                <w:bCs/>
              </w:rPr>
            </w:pPr>
            <w:r>
              <w:rPr>
                <w:bCs/>
              </w:rPr>
              <w:t>2</w:t>
            </w:r>
          </w:p>
        </w:tc>
        <w:tc>
          <w:tcPr>
            <w:tcW w:w="5326" w:type="dxa"/>
            <w:tcBorders>
              <w:bottom w:val="single" w:sz="4" w:space="0" w:color="auto"/>
            </w:tcBorders>
          </w:tcPr>
          <w:p w:rsidR="0072411F" w:rsidRDefault="0072411F" w:rsidP="00BC7873">
            <w:pPr>
              <w:pStyle w:val="Standard"/>
              <w:jc w:val="left"/>
            </w:pPr>
            <w:r>
              <w:t>Projekt nemá pozitivní vliv na rovné příležitosti a nepřispívá k žádnému zlepšení uvedenému v žádosti</w:t>
            </w:r>
          </w:p>
        </w:tc>
        <w:tc>
          <w:tcPr>
            <w:tcW w:w="1843" w:type="dxa"/>
            <w:tcBorders>
              <w:bottom w:val="single" w:sz="4" w:space="0" w:color="auto"/>
            </w:tcBorders>
            <w:vAlign w:val="center"/>
          </w:tcPr>
          <w:p w:rsidR="0072411F" w:rsidRPr="0072411F" w:rsidRDefault="0072411F" w:rsidP="00E70596">
            <w:pPr>
              <w:widowControl/>
              <w:suppressAutoHyphens w:val="0"/>
              <w:autoSpaceDE w:val="0"/>
              <w:adjustRightInd w:val="0"/>
              <w:jc w:val="center"/>
              <w:textAlignment w:val="auto"/>
              <w:rPr>
                <w:rFonts w:ascii="Arial" w:hAnsi="Arial" w:cs="Arial"/>
                <w:kern w:val="0"/>
                <w:sz w:val="20"/>
                <w:szCs w:val="20"/>
              </w:rPr>
            </w:pPr>
            <w:r w:rsidRPr="00912DF6">
              <w:rPr>
                <w:rFonts w:ascii="Arial" w:hAnsi="Arial" w:cs="Arial"/>
                <w:sz w:val="20"/>
                <w:szCs w:val="20"/>
              </w:rPr>
              <w:t>1</w:t>
            </w:r>
            <w:r w:rsidR="000B69F5">
              <w:rPr>
                <w:rFonts w:ascii="Arial" w:hAnsi="Arial" w:cs="Arial"/>
                <w:sz w:val="20"/>
                <w:szCs w:val="20"/>
              </w:rPr>
              <w:t xml:space="preserve"> </w:t>
            </w:r>
            <w:r w:rsidR="000B69F5">
              <w:t xml:space="preserve">– </w:t>
            </w:r>
            <w:r w:rsidR="000B69F5" w:rsidRPr="00912DF6">
              <w:rPr>
                <w:rFonts w:ascii="Arial" w:hAnsi="Arial" w:cs="Arial"/>
                <w:sz w:val="20"/>
                <w:szCs w:val="20"/>
              </w:rPr>
              <w:t>2</w:t>
            </w:r>
            <w:r w:rsidRPr="00912DF6">
              <w:rPr>
                <w:rFonts w:ascii="Arial" w:hAnsi="Arial" w:cs="Arial"/>
                <w:sz w:val="20"/>
                <w:szCs w:val="20"/>
              </w:rPr>
              <w:t xml:space="preserve"> %</w:t>
            </w:r>
          </w:p>
        </w:tc>
        <w:tc>
          <w:tcPr>
            <w:tcW w:w="2126" w:type="dxa"/>
            <w:tcBorders>
              <w:bottom w:val="single" w:sz="4" w:space="0" w:color="auto"/>
            </w:tcBorders>
            <w:vAlign w:val="center"/>
          </w:tcPr>
          <w:p w:rsidR="0072411F" w:rsidRDefault="0072411F" w:rsidP="00912DF6">
            <w:pPr>
              <w:pStyle w:val="Standard"/>
              <w:jc w:val="center"/>
            </w:pPr>
            <w:r>
              <w:rPr>
                <w:rFonts w:cs="Arial"/>
              </w:rPr>
              <w:t>dotace</w:t>
            </w:r>
          </w:p>
        </w:tc>
      </w:tr>
      <w:tr w:rsidR="00BC7873" w:rsidRPr="00954488" w:rsidTr="00912DF6">
        <w:trPr>
          <w:trHeight w:val="655"/>
        </w:trPr>
        <w:tc>
          <w:tcPr>
            <w:tcW w:w="9809" w:type="dxa"/>
            <w:gridSpan w:val="4"/>
            <w:vAlign w:val="center"/>
          </w:tcPr>
          <w:p w:rsidR="00BC7873" w:rsidRPr="00BC7873" w:rsidRDefault="00BC7873" w:rsidP="00BC7873">
            <w:pPr>
              <w:pStyle w:val="Standard"/>
              <w:jc w:val="center"/>
              <w:rPr>
                <w:b/>
              </w:rPr>
            </w:pPr>
            <w:r w:rsidRPr="00BC7873">
              <w:rPr>
                <w:b/>
              </w:rPr>
              <w:t>Publicita</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1</w:t>
            </w:r>
          </w:p>
        </w:tc>
        <w:tc>
          <w:tcPr>
            <w:tcW w:w="5326" w:type="dxa"/>
            <w:vAlign w:val="center"/>
          </w:tcPr>
          <w:p w:rsidR="003868DF" w:rsidRDefault="003868DF" w:rsidP="00BC7873">
            <w:pPr>
              <w:pStyle w:val="Standard"/>
              <w:spacing w:after="57"/>
              <w:jc w:val="left"/>
            </w:pPr>
            <w:r>
              <w:t>Nedodržení povinné publicity dle nařízení Evropské komise č. 1828/2006 - částečné</w:t>
            </w:r>
          </w:p>
        </w:tc>
        <w:tc>
          <w:tcPr>
            <w:tcW w:w="1843" w:type="dxa"/>
            <w:vAlign w:val="center"/>
          </w:tcPr>
          <w:p w:rsidR="003868DF" w:rsidRDefault="003868DF" w:rsidP="00E70596">
            <w:pPr>
              <w:pStyle w:val="Standard"/>
              <w:spacing w:after="57"/>
              <w:jc w:val="center"/>
            </w:pPr>
            <w:r>
              <w:t>0,5 – 1 %</w:t>
            </w:r>
            <w:r>
              <w:rPr>
                <w:rStyle w:val="Znakapoznpodarou"/>
              </w:rPr>
              <w:footnoteReference w:id="16"/>
            </w:r>
          </w:p>
        </w:tc>
        <w:tc>
          <w:tcPr>
            <w:tcW w:w="2126" w:type="dxa"/>
            <w:vAlign w:val="center"/>
          </w:tcPr>
          <w:p w:rsidR="003868DF" w:rsidRDefault="003868DF" w:rsidP="00E70596">
            <w:pPr>
              <w:pStyle w:val="Standard"/>
              <w:jc w:val="left"/>
            </w:pPr>
            <w:r>
              <w:t>způsobilých výdajů na publicitu, ke kterým se dané porušení váže</w:t>
            </w:r>
          </w:p>
        </w:tc>
      </w:tr>
      <w:tr w:rsidR="003868DF" w:rsidRPr="00954488" w:rsidTr="00187652">
        <w:trPr>
          <w:trHeight w:val="454"/>
        </w:trPr>
        <w:tc>
          <w:tcPr>
            <w:tcW w:w="514" w:type="dxa"/>
            <w:vAlign w:val="center"/>
          </w:tcPr>
          <w:p w:rsidR="003868DF" w:rsidRPr="00F32A9B" w:rsidDel="006E7437" w:rsidRDefault="003868DF" w:rsidP="003868DF">
            <w:pPr>
              <w:pStyle w:val="Standard"/>
              <w:jc w:val="center"/>
              <w:rPr>
                <w:bCs/>
              </w:rPr>
            </w:pPr>
            <w:r w:rsidRPr="00F32A9B">
              <w:rPr>
                <w:bCs/>
              </w:rPr>
              <w:t>2</w:t>
            </w:r>
          </w:p>
        </w:tc>
        <w:tc>
          <w:tcPr>
            <w:tcW w:w="5326" w:type="dxa"/>
            <w:vAlign w:val="center"/>
          </w:tcPr>
          <w:p w:rsidR="003868DF" w:rsidRDefault="003868DF" w:rsidP="00BC7873">
            <w:pPr>
              <w:pStyle w:val="Standard"/>
              <w:spacing w:after="57"/>
              <w:jc w:val="left"/>
            </w:pPr>
            <w:r>
              <w:t>Nedodržení povinné publicity dle nařízení Evropské komise č. 1828/2006 - úplné</w:t>
            </w:r>
          </w:p>
        </w:tc>
        <w:tc>
          <w:tcPr>
            <w:tcW w:w="1843" w:type="dxa"/>
            <w:vAlign w:val="center"/>
          </w:tcPr>
          <w:p w:rsidR="003868DF" w:rsidRDefault="003868DF" w:rsidP="0005433F">
            <w:pPr>
              <w:pStyle w:val="Standard"/>
              <w:jc w:val="center"/>
            </w:pPr>
            <w:r>
              <w:t>100 %</w:t>
            </w:r>
            <w:r w:rsidR="0005433F">
              <w:rPr>
                <w:vertAlign w:val="superscript"/>
              </w:rPr>
              <w:t>13</w:t>
            </w:r>
          </w:p>
        </w:tc>
        <w:tc>
          <w:tcPr>
            <w:tcW w:w="2126" w:type="dxa"/>
            <w:vAlign w:val="center"/>
          </w:tcPr>
          <w:p w:rsidR="003868DF" w:rsidRDefault="003868DF" w:rsidP="00E70596">
            <w:pPr>
              <w:pStyle w:val="Standard"/>
              <w:jc w:val="left"/>
            </w:pPr>
            <w:r>
              <w:t>dotace</w:t>
            </w:r>
          </w:p>
        </w:tc>
      </w:tr>
      <w:tr w:rsidR="003868DF" w:rsidRPr="00954488" w:rsidTr="00BC7873">
        <w:trPr>
          <w:trHeight w:val="567"/>
        </w:trPr>
        <w:tc>
          <w:tcPr>
            <w:tcW w:w="514" w:type="dxa"/>
            <w:tcBorders>
              <w:bottom w:val="single" w:sz="4" w:space="0" w:color="auto"/>
            </w:tcBorders>
            <w:vAlign w:val="center"/>
          </w:tcPr>
          <w:p w:rsidR="003868DF" w:rsidRPr="00F32A9B" w:rsidRDefault="003868DF" w:rsidP="003868DF">
            <w:pPr>
              <w:pStyle w:val="Standard"/>
              <w:jc w:val="center"/>
              <w:rPr>
                <w:bCs/>
              </w:rPr>
            </w:pPr>
            <w:r w:rsidRPr="00F32A9B">
              <w:rPr>
                <w:bCs/>
              </w:rPr>
              <w:t>3</w:t>
            </w:r>
          </w:p>
        </w:tc>
        <w:tc>
          <w:tcPr>
            <w:tcW w:w="5326" w:type="dxa"/>
            <w:tcBorders>
              <w:bottom w:val="single" w:sz="4" w:space="0" w:color="auto"/>
            </w:tcBorders>
            <w:vAlign w:val="center"/>
          </w:tcPr>
          <w:p w:rsidR="003868DF" w:rsidRDefault="003868DF" w:rsidP="00BC7873">
            <w:pPr>
              <w:pStyle w:val="Standard"/>
              <w:jc w:val="left"/>
            </w:pPr>
            <w:r>
              <w:t>Nedodržení povinné publicity dle pravidel ROP SZ</w:t>
            </w:r>
          </w:p>
        </w:tc>
        <w:tc>
          <w:tcPr>
            <w:tcW w:w="1843" w:type="dxa"/>
            <w:tcBorders>
              <w:bottom w:val="single" w:sz="4" w:space="0" w:color="auto"/>
            </w:tcBorders>
            <w:vAlign w:val="center"/>
          </w:tcPr>
          <w:p w:rsidR="003868DF" w:rsidRDefault="003868DF" w:rsidP="0005433F">
            <w:pPr>
              <w:pStyle w:val="Standard"/>
              <w:jc w:val="center"/>
            </w:pPr>
            <w:r>
              <w:t>0,5 – 1 %</w:t>
            </w:r>
            <w:r w:rsidR="0005433F">
              <w:rPr>
                <w:vertAlign w:val="superscript"/>
              </w:rPr>
              <w:t>13</w:t>
            </w:r>
          </w:p>
        </w:tc>
        <w:tc>
          <w:tcPr>
            <w:tcW w:w="2126" w:type="dxa"/>
            <w:tcBorders>
              <w:bottom w:val="single" w:sz="4" w:space="0" w:color="auto"/>
            </w:tcBorders>
            <w:vAlign w:val="center"/>
          </w:tcPr>
          <w:p w:rsidR="003868DF" w:rsidRDefault="003868DF" w:rsidP="00E70596">
            <w:pPr>
              <w:pStyle w:val="Standard"/>
              <w:jc w:val="left"/>
            </w:pPr>
            <w:r>
              <w:t>způsobilých výdajů na publicitu, ke kterým se dané porušení váže</w:t>
            </w:r>
          </w:p>
        </w:tc>
      </w:tr>
      <w:tr w:rsidR="00BC7873" w:rsidRPr="00954488" w:rsidTr="00912DF6">
        <w:trPr>
          <w:trHeight w:val="538"/>
        </w:trPr>
        <w:tc>
          <w:tcPr>
            <w:tcW w:w="9809" w:type="dxa"/>
            <w:gridSpan w:val="4"/>
            <w:vAlign w:val="center"/>
          </w:tcPr>
          <w:p w:rsidR="00BC7873" w:rsidRPr="00BC7873" w:rsidRDefault="00BC7873" w:rsidP="00BC7873">
            <w:pPr>
              <w:pStyle w:val="Standard"/>
              <w:jc w:val="center"/>
              <w:rPr>
                <w:b/>
              </w:rPr>
            </w:pPr>
            <w:r w:rsidRPr="00BC7873">
              <w:rPr>
                <w:b/>
              </w:rPr>
              <w:t>Nakládání s majetkem</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1</w:t>
            </w:r>
          </w:p>
        </w:tc>
        <w:tc>
          <w:tcPr>
            <w:tcW w:w="5326" w:type="dxa"/>
            <w:vAlign w:val="center"/>
          </w:tcPr>
          <w:p w:rsidR="003868DF" w:rsidRDefault="003868DF" w:rsidP="00BC7873">
            <w:pPr>
              <w:pStyle w:val="Standard"/>
              <w:jc w:val="left"/>
            </w:pPr>
            <w:r>
              <w:t>Zřízení zástavního práva v rozporu se Smlouvou</w:t>
            </w:r>
          </w:p>
        </w:tc>
        <w:tc>
          <w:tcPr>
            <w:tcW w:w="1843" w:type="dxa"/>
            <w:vAlign w:val="center"/>
          </w:tcPr>
          <w:p w:rsidR="003868DF" w:rsidRDefault="003868DF" w:rsidP="00E70596">
            <w:pPr>
              <w:pStyle w:val="Standard"/>
              <w:jc w:val="center"/>
            </w:pPr>
            <w:r>
              <w:t>100 %</w:t>
            </w:r>
          </w:p>
        </w:tc>
        <w:tc>
          <w:tcPr>
            <w:tcW w:w="2126" w:type="dxa"/>
            <w:vAlign w:val="center"/>
          </w:tcPr>
          <w:p w:rsidR="003868DF" w:rsidRDefault="003868DF" w:rsidP="00E70596">
            <w:pPr>
              <w:pStyle w:val="Standard"/>
              <w:jc w:val="left"/>
            </w:pPr>
            <w:r>
              <w:t>dotace vážící se k majetku zatíženému zástavním právem</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2</w:t>
            </w:r>
          </w:p>
        </w:tc>
        <w:tc>
          <w:tcPr>
            <w:tcW w:w="5326" w:type="dxa"/>
            <w:vAlign w:val="center"/>
          </w:tcPr>
          <w:p w:rsidR="003868DF" w:rsidRDefault="003868DF" w:rsidP="00BC7873">
            <w:pPr>
              <w:pStyle w:val="Standard"/>
              <w:jc w:val="left"/>
            </w:pPr>
            <w:r>
              <w:t>Pronajmutí/vypůjčení majetku pořízeného, byť</w:t>
            </w:r>
            <w:r>
              <w:br/>
              <w:t>i jen částečně z dotace, v rozporu se Smlouvou (příjemce napraví)</w:t>
            </w:r>
          </w:p>
        </w:tc>
        <w:tc>
          <w:tcPr>
            <w:tcW w:w="1843" w:type="dxa"/>
            <w:vAlign w:val="center"/>
          </w:tcPr>
          <w:p w:rsidR="003868DF" w:rsidRDefault="003868DF" w:rsidP="00E70596">
            <w:pPr>
              <w:pStyle w:val="Standard"/>
              <w:spacing w:after="57"/>
              <w:jc w:val="center"/>
            </w:pPr>
            <w:r>
              <w:t>0,05 – 0,1 %</w:t>
            </w:r>
          </w:p>
        </w:tc>
        <w:tc>
          <w:tcPr>
            <w:tcW w:w="2126" w:type="dxa"/>
            <w:vAlign w:val="center"/>
          </w:tcPr>
          <w:p w:rsidR="003868DF" w:rsidRDefault="003868DF" w:rsidP="00E70596">
            <w:pPr>
              <w:pStyle w:val="Standard"/>
              <w:jc w:val="left"/>
            </w:pPr>
            <w:r>
              <w:t xml:space="preserve">dotace </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3</w:t>
            </w:r>
          </w:p>
        </w:tc>
        <w:tc>
          <w:tcPr>
            <w:tcW w:w="5326" w:type="dxa"/>
            <w:vAlign w:val="center"/>
          </w:tcPr>
          <w:p w:rsidR="003868DF" w:rsidRDefault="003868DF" w:rsidP="00BC7873">
            <w:pPr>
              <w:pStyle w:val="Standard"/>
              <w:jc w:val="left"/>
            </w:pPr>
            <w:r>
              <w:t>Pronajmutí/vypůjčení majetku pořízeného, byť</w:t>
            </w:r>
            <w:r>
              <w:br/>
              <w:t>i jen částečně z dotace, v rozporu se Smlouvou bez zjednání nápravy</w:t>
            </w:r>
          </w:p>
        </w:tc>
        <w:tc>
          <w:tcPr>
            <w:tcW w:w="1843" w:type="dxa"/>
            <w:vAlign w:val="center"/>
          </w:tcPr>
          <w:p w:rsidR="003868DF" w:rsidRDefault="003868DF" w:rsidP="00E70596">
            <w:pPr>
              <w:pStyle w:val="Standard"/>
              <w:jc w:val="center"/>
            </w:pPr>
            <w:r>
              <w:t>100 %</w:t>
            </w:r>
          </w:p>
        </w:tc>
        <w:tc>
          <w:tcPr>
            <w:tcW w:w="2126" w:type="dxa"/>
            <w:vAlign w:val="center"/>
          </w:tcPr>
          <w:p w:rsidR="003868DF" w:rsidRDefault="003868DF" w:rsidP="00E70596">
            <w:pPr>
              <w:pStyle w:val="Standard"/>
              <w:jc w:val="left"/>
            </w:pPr>
            <w:r>
              <w:t xml:space="preserve">dotace </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4</w:t>
            </w:r>
          </w:p>
        </w:tc>
        <w:tc>
          <w:tcPr>
            <w:tcW w:w="5326" w:type="dxa"/>
            <w:vAlign w:val="center"/>
          </w:tcPr>
          <w:p w:rsidR="003868DF" w:rsidRDefault="003868DF" w:rsidP="00BC7873">
            <w:pPr>
              <w:pStyle w:val="Standard"/>
              <w:jc w:val="left"/>
            </w:pPr>
            <w:r>
              <w:t>Převedení vlastnického práva k majetku pořízenému, byť i jen částečně z dotace, v rozporu se Smlouvou</w:t>
            </w:r>
          </w:p>
        </w:tc>
        <w:tc>
          <w:tcPr>
            <w:tcW w:w="1843" w:type="dxa"/>
            <w:vAlign w:val="center"/>
          </w:tcPr>
          <w:p w:rsidR="003868DF" w:rsidRDefault="003868DF" w:rsidP="00E70596">
            <w:pPr>
              <w:pStyle w:val="Standard"/>
              <w:jc w:val="center"/>
            </w:pPr>
            <w:r>
              <w:t>100 %</w:t>
            </w:r>
          </w:p>
        </w:tc>
        <w:tc>
          <w:tcPr>
            <w:tcW w:w="2126" w:type="dxa"/>
            <w:vAlign w:val="center"/>
          </w:tcPr>
          <w:p w:rsidR="003868DF" w:rsidRDefault="003868DF" w:rsidP="00E70596">
            <w:pPr>
              <w:pStyle w:val="Standard"/>
              <w:jc w:val="left"/>
            </w:pPr>
            <w:r>
              <w:t>dotace vážící se k převáděnému majetku</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5</w:t>
            </w:r>
          </w:p>
        </w:tc>
        <w:tc>
          <w:tcPr>
            <w:tcW w:w="5326" w:type="dxa"/>
            <w:vAlign w:val="center"/>
          </w:tcPr>
          <w:p w:rsidR="003868DF" w:rsidRDefault="003868DF" w:rsidP="00BC7873">
            <w:pPr>
              <w:pStyle w:val="Standard"/>
              <w:ind w:right="-2"/>
              <w:jc w:val="left"/>
              <w:rPr>
                <w:rFonts w:eastAsia="TimesNewRomanPSMT" w:cs="TimesNewRomanPSMT"/>
              </w:rPr>
            </w:pPr>
            <w:r>
              <w:rPr>
                <w:rFonts w:eastAsia="TimesNewRomanPSMT" w:cs="TimesNewRomanPSMT"/>
              </w:rPr>
              <w:t>Nesplnění povinnosti pojistit veškerý pojistitelný majetek pořízený z dotace</w:t>
            </w:r>
          </w:p>
        </w:tc>
        <w:tc>
          <w:tcPr>
            <w:tcW w:w="1843" w:type="dxa"/>
            <w:vAlign w:val="center"/>
          </w:tcPr>
          <w:p w:rsidR="003868DF" w:rsidRDefault="003868DF" w:rsidP="00E70596">
            <w:pPr>
              <w:pStyle w:val="Standard"/>
              <w:spacing w:after="57"/>
              <w:jc w:val="center"/>
            </w:pPr>
            <w:r>
              <w:t>0,5 – 1 %</w:t>
            </w:r>
          </w:p>
        </w:tc>
        <w:tc>
          <w:tcPr>
            <w:tcW w:w="2126" w:type="dxa"/>
            <w:vAlign w:val="center"/>
          </w:tcPr>
          <w:p w:rsidR="003868DF" w:rsidRDefault="003868DF" w:rsidP="00E70596">
            <w:pPr>
              <w:pStyle w:val="Standard"/>
              <w:jc w:val="left"/>
            </w:pPr>
            <w:r>
              <w:t>dotace vážící se k nepojištěnému majetku</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6</w:t>
            </w:r>
          </w:p>
        </w:tc>
        <w:tc>
          <w:tcPr>
            <w:tcW w:w="5326" w:type="dxa"/>
            <w:vAlign w:val="center"/>
          </w:tcPr>
          <w:p w:rsidR="003868DF" w:rsidRDefault="003868DF" w:rsidP="00BC7873">
            <w:pPr>
              <w:pStyle w:val="Standard"/>
              <w:ind w:right="-2"/>
              <w:jc w:val="left"/>
              <w:rPr>
                <w:rFonts w:eastAsia="TimesNewRomanPSMT" w:cs="TimesNewRomanPSMT"/>
              </w:rPr>
            </w:pPr>
            <w:r>
              <w:rPr>
                <w:rFonts w:eastAsia="Arial" w:cs="Arial"/>
              </w:rPr>
              <w:t>Použití majetku pořízeného z dotace na jiné účely, které nesouvisí přímo s předkládaným projektem (bez souhlasu řídícího orgánu)</w:t>
            </w:r>
          </w:p>
        </w:tc>
        <w:tc>
          <w:tcPr>
            <w:tcW w:w="1843" w:type="dxa"/>
            <w:vAlign w:val="center"/>
          </w:tcPr>
          <w:p w:rsidR="003868DF" w:rsidRDefault="003868DF" w:rsidP="00E70596">
            <w:pPr>
              <w:pStyle w:val="Standard"/>
              <w:spacing w:after="57"/>
              <w:jc w:val="center"/>
            </w:pPr>
            <w:r>
              <w:t>100 %</w:t>
            </w:r>
          </w:p>
        </w:tc>
        <w:tc>
          <w:tcPr>
            <w:tcW w:w="2126" w:type="dxa"/>
            <w:vAlign w:val="center"/>
          </w:tcPr>
          <w:p w:rsidR="003868DF" w:rsidRDefault="003868DF" w:rsidP="00E70596">
            <w:pPr>
              <w:pStyle w:val="Standard"/>
              <w:jc w:val="left"/>
            </w:pPr>
            <w:r>
              <w:t>dotace</w:t>
            </w:r>
          </w:p>
        </w:tc>
      </w:tr>
      <w:tr w:rsidR="003868DF" w:rsidRPr="00954488" w:rsidTr="00C305CC">
        <w:trPr>
          <w:trHeight w:val="776"/>
        </w:trPr>
        <w:tc>
          <w:tcPr>
            <w:tcW w:w="514" w:type="dxa"/>
            <w:tcBorders>
              <w:bottom w:val="single" w:sz="4" w:space="0" w:color="auto"/>
            </w:tcBorders>
            <w:vAlign w:val="center"/>
          </w:tcPr>
          <w:p w:rsidR="003868DF" w:rsidRPr="00F32A9B" w:rsidRDefault="003868DF" w:rsidP="003868DF">
            <w:pPr>
              <w:pStyle w:val="Standard"/>
              <w:jc w:val="center"/>
              <w:rPr>
                <w:bCs/>
              </w:rPr>
            </w:pPr>
            <w:r w:rsidRPr="00F32A9B">
              <w:rPr>
                <w:bCs/>
              </w:rPr>
              <w:t>7</w:t>
            </w:r>
          </w:p>
        </w:tc>
        <w:tc>
          <w:tcPr>
            <w:tcW w:w="5326" w:type="dxa"/>
            <w:tcBorders>
              <w:bottom w:val="single" w:sz="4" w:space="0" w:color="auto"/>
            </w:tcBorders>
            <w:vAlign w:val="center"/>
          </w:tcPr>
          <w:p w:rsidR="003868DF" w:rsidRDefault="003868DF" w:rsidP="00BC7873">
            <w:pPr>
              <w:pStyle w:val="Standard"/>
              <w:ind w:right="-2"/>
              <w:jc w:val="left"/>
              <w:rPr>
                <w:rFonts w:eastAsia="Arial" w:cs="Arial"/>
              </w:rPr>
            </w:pPr>
            <w:r>
              <w:rPr>
                <w:rFonts w:eastAsia="Arial" w:cs="Arial"/>
              </w:rPr>
              <w:t>Zcizení majetku podpořeného z dotace bez pořízení nového majetku</w:t>
            </w:r>
          </w:p>
        </w:tc>
        <w:tc>
          <w:tcPr>
            <w:tcW w:w="1843" w:type="dxa"/>
            <w:tcBorders>
              <w:bottom w:val="single" w:sz="4" w:space="0" w:color="auto"/>
            </w:tcBorders>
            <w:vAlign w:val="center"/>
          </w:tcPr>
          <w:p w:rsidR="003868DF" w:rsidRDefault="003868DF" w:rsidP="00E70596">
            <w:pPr>
              <w:pStyle w:val="Standard"/>
              <w:spacing w:after="57"/>
              <w:jc w:val="center"/>
            </w:pPr>
            <w:r>
              <w:t>100 %</w:t>
            </w:r>
          </w:p>
        </w:tc>
        <w:tc>
          <w:tcPr>
            <w:tcW w:w="2126" w:type="dxa"/>
            <w:tcBorders>
              <w:bottom w:val="single" w:sz="4" w:space="0" w:color="auto"/>
            </w:tcBorders>
            <w:vAlign w:val="center"/>
          </w:tcPr>
          <w:p w:rsidR="003868DF" w:rsidRDefault="003868DF" w:rsidP="00E70596">
            <w:pPr>
              <w:pStyle w:val="Standard"/>
              <w:jc w:val="left"/>
            </w:pPr>
            <w:r>
              <w:t>dotace vážící se ke zcizenému majetku</w:t>
            </w:r>
          </w:p>
        </w:tc>
      </w:tr>
      <w:tr w:rsidR="00BC7873" w:rsidRPr="00954488" w:rsidTr="00C305CC">
        <w:trPr>
          <w:trHeight w:val="620"/>
        </w:trPr>
        <w:tc>
          <w:tcPr>
            <w:tcW w:w="9809" w:type="dxa"/>
            <w:gridSpan w:val="4"/>
            <w:vAlign w:val="center"/>
          </w:tcPr>
          <w:p w:rsidR="00BC7873" w:rsidRPr="00BC7873" w:rsidRDefault="00BC7873" w:rsidP="00BC7873">
            <w:pPr>
              <w:pStyle w:val="Standard"/>
              <w:jc w:val="center"/>
              <w:rPr>
                <w:b/>
              </w:rPr>
            </w:pPr>
            <w:r w:rsidRPr="00BC7873">
              <w:rPr>
                <w:b/>
              </w:rPr>
              <w:t>Archivace</w:t>
            </w:r>
          </w:p>
        </w:tc>
      </w:tr>
      <w:tr w:rsidR="003868DF" w:rsidRPr="00954488" w:rsidTr="00187652">
        <w:trPr>
          <w:trHeight w:val="567"/>
        </w:trPr>
        <w:tc>
          <w:tcPr>
            <w:tcW w:w="514" w:type="dxa"/>
            <w:vAlign w:val="center"/>
          </w:tcPr>
          <w:p w:rsidR="003868DF" w:rsidRPr="00F32A9B" w:rsidRDefault="003868DF" w:rsidP="003868DF">
            <w:pPr>
              <w:pStyle w:val="Standard"/>
              <w:jc w:val="center"/>
              <w:rPr>
                <w:bCs/>
              </w:rPr>
            </w:pPr>
            <w:r w:rsidRPr="00F32A9B">
              <w:rPr>
                <w:bCs/>
              </w:rPr>
              <w:t>1</w:t>
            </w:r>
          </w:p>
        </w:tc>
        <w:tc>
          <w:tcPr>
            <w:tcW w:w="5326" w:type="dxa"/>
            <w:vAlign w:val="center"/>
          </w:tcPr>
          <w:p w:rsidR="003868DF" w:rsidRDefault="003868DF" w:rsidP="00BC7873">
            <w:pPr>
              <w:pStyle w:val="Standard"/>
              <w:jc w:val="left"/>
            </w:pPr>
            <w:r>
              <w:t>Absence Smlouvou požadovaných dokumentů vztahujících se k projektu</w:t>
            </w:r>
          </w:p>
        </w:tc>
        <w:tc>
          <w:tcPr>
            <w:tcW w:w="1843" w:type="dxa"/>
            <w:vAlign w:val="center"/>
          </w:tcPr>
          <w:p w:rsidR="003868DF" w:rsidRDefault="003868DF" w:rsidP="00E70596">
            <w:pPr>
              <w:pStyle w:val="Standard"/>
              <w:jc w:val="center"/>
            </w:pPr>
            <w:r>
              <w:t>100 %</w:t>
            </w:r>
          </w:p>
        </w:tc>
        <w:tc>
          <w:tcPr>
            <w:tcW w:w="2126" w:type="dxa"/>
            <w:vAlign w:val="center"/>
          </w:tcPr>
          <w:p w:rsidR="003868DF" w:rsidRDefault="003868DF" w:rsidP="00E70596">
            <w:pPr>
              <w:pStyle w:val="Standard"/>
              <w:jc w:val="left"/>
            </w:pPr>
            <w:r>
              <w:t>dotace vážící se k chybějícím dokumentům</w:t>
            </w:r>
          </w:p>
        </w:tc>
      </w:tr>
      <w:tr w:rsidR="003868DF" w:rsidRPr="00954488" w:rsidTr="00187652">
        <w:trPr>
          <w:trHeight w:val="454"/>
        </w:trPr>
        <w:tc>
          <w:tcPr>
            <w:tcW w:w="514" w:type="dxa"/>
            <w:tcBorders>
              <w:bottom w:val="single" w:sz="4" w:space="0" w:color="auto"/>
            </w:tcBorders>
            <w:vAlign w:val="center"/>
          </w:tcPr>
          <w:p w:rsidR="003868DF" w:rsidRPr="00F32A9B" w:rsidRDefault="003868DF" w:rsidP="003868DF">
            <w:pPr>
              <w:pStyle w:val="Standard"/>
              <w:jc w:val="center"/>
              <w:rPr>
                <w:bCs/>
              </w:rPr>
            </w:pPr>
            <w:r w:rsidRPr="00F32A9B">
              <w:rPr>
                <w:bCs/>
              </w:rPr>
              <w:t>2</w:t>
            </w:r>
          </w:p>
        </w:tc>
        <w:tc>
          <w:tcPr>
            <w:tcW w:w="5326" w:type="dxa"/>
            <w:tcBorders>
              <w:bottom w:val="single" w:sz="4" w:space="0" w:color="auto"/>
            </w:tcBorders>
            <w:vAlign w:val="center"/>
          </w:tcPr>
          <w:p w:rsidR="003868DF" w:rsidRDefault="003868DF" w:rsidP="00BC7873">
            <w:pPr>
              <w:pStyle w:val="Standard"/>
              <w:jc w:val="left"/>
            </w:pPr>
            <w:r>
              <w:t>Absence dokumentů požadovaných legislativou (stavební deník, apod.)</w:t>
            </w:r>
          </w:p>
        </w:tc>
        <w:tc>
          <w:tcPr>
            <w:tcW w:w="1843" w:type="dxa"/>
            <w:tcBorders>
              <w:bottom w:val="single" w:sz="4" w:space="0" w:color="auto"/>
            </w:tcBorders>
            <w:vAlign w:val="center"/>
          </w:tcPr>
          <w:p w:rsidR="003868DF" w:rsidRDefault="003868DF" w:rsidP="00E70596">
            <w:pPr>
              <w:pStyle w:val="Standard"/>
              <w:jc w:val="center"/>
            </w:pPr>
            <w:r>
              <w:t>100 %</w:t>
            </w:r>
          </w:p>
        </w:tc>
        <w:tc>
          <w:tcPr>
            <w:tcW w:w="2126" w:type="dxa"/>
            <w:tcBorders>
              <w:bottom w:val="single" w:sz="4" w:space="0" w:color="auto"/>
            </w:tcBorders>
            <w:vAlign w:val="center"/>
          </w:tcPr>
          <w:p w:rsidR="003868DF" w:rsidRDefault="003868DF" w:rsidP="00A96A78">
            <w:pPr>
              <w:pStyle w:val="Standard"/>
              <w:jc w:val="left"/>
            </w:pPr>
            <w:r>
              <w:t>dotace vztahující se k výdaji</w:t>
            </w:r>
          </w:p>
        </w:tc>
      </w:tr>
      <w:tr w:rsidR="00BC7873" w:rsidRPr="00954488" w:rsidTr="00912DF6">
        <w:trPr>
          <w:trHeight w:val="666"/>
        </w:trPr>
        <w:tc>
          <w:tcPr>
            <w:tcW w:w="9809" w:type="dxa"/>
            <w:gridSpan w:val="4"/>
            <w:vAlign w:val="center"/>
          </w:tcPr>
          <w:p w:rsidR="00BC7873" w:rsidRPr="00BC7873" w:rsidRDefault="00BC7873" w:rsidP="00BC7873">
            <w:pPr>
              <w:pStyle w:val="Standard"/>
              <w:jc w:val="center"/>
              <w:rPr>
                <w:b/>
              </w:rPr>
            </w:pPr>
            <w:r w:rsidRPr="00BC7873">
              <w:rPr>
                <w:b/>
              </w:rPr>
              <w:t>Formální nedostatky</w:t>
            </w:r>
          </w:p>
        </w:tc>
      </w:tr>
      <w:tr w:rsidR="003868DF" w:rsidRPr="00954488" w:rsidTr="00187652">
        <w:trPr>
          <w:trHeight w:val="454"/>
        </w:trPr>
        <w:tc>
          <w:tcPr>
            <w:tcW w:w="514" w:type="dxa"/>
            <w:vAlign w:val="center"/>
          </w:tcPr>
          <w:p w:rsidR="003868DF" w:rsidRPr="00F32A9B" w:rsidRDefault="003868DF" w:rsidP="003868DF">
            <w:pPr>
              <w:pStyle w:val="Standard"/>
              <w:jc w:val="center"/>
              <w:rPr>
                <w:bCs/>
              </w:rPr>
            </w:pPr>
            <w:r w:rsidRPr="00F32A9B">
              <w:rPr>
                <w:bCs/>
              </w:rPr>
              <w:t>1</w:t>
            </w:r>
          </w:p>
        </w:tc>
        <w:tc>
          <w:tcPr>
            <w:tcW w:w="5326" w:type="dxa"/>
            <w:vAlign w:val="center"/>
          </w:tcPr>
          <w:p w:rsidR="003868DF" w:rsidRDefault="003868DF" w:rsidP="00BC7873">
            <w:pPr>
              <w:pStyle w:val="Standard"/>
              <w:spacing w:after="57"/>
              <w:jc w:val="left"/>
              <w:rPr>
                <w:rFonts w:eastAsia="TimesNewRomanPSMT" w:cs="TimesNewRomanPSMT"/>
              </w:rPr>
            </w:pPr>
            <w:r>
              <w:t>Nedodržení lhůty pro předložení monitorovací zprávy / hlášení, a to o 16 a více dnů</w:t>
            </w:r>
          </w:p>
        </w:tc>
        <w:tc>
          <w:tcPr>
            <w:tcW w:w="1843" w:type="dxa"/>
            <w:vAlign w:val="center"/>
          </w:tcPr>
          <w:p w:rsidR="003868DF" w:rsidRDefault="003868DF" w:rsidP="00E70596">
            <w:pPr>
              <w:pStyle w:val="Standard"/>
              <w:jc w:val="center"/>
            </w:pPr>
            <w:r>
              <w:t>0,5 – 1 %</w:t>
            </w:r>
          </w:p>
        </w:tc>
        <w:tc>
          <w:tcPr>
            <w:tcW w:w="2126" w:type="dxa"/>
            <w:vAlign w:val="center"/>
          </w:tcPr>
          <w:p w:rsidR="003868DF" w:rsidRDefault="003868DF" w:rsidP="000F5676">
            <w:pPr>
              <w:pStyle w:val="Standard"/>
              <w:jc w:val="left"/>
            </w:pPr>
            <w:r>
              <w:t>dotace</w:t>
            </w:r>
            <w:r>
              <w:rPr>
                <w:rStyle w:val="Znakapoznpodarou"/>
              </w:rPr>
              <w:footnoteReference w:id="17"/>
            </w:r>
          </w:p>
        </w:tc>
      </w:tr>
      <w:tr w:rsidR="003868DF" w:rsidRPr="00954488" w:rsidTr="00187652">
        <w:trPr>
          <w:trHeight w:val="454"/>
        </w:trPr>
        <w:tc>
          <w:tcPr>
            <w:tcW w:w="514" w:type="dxa"/>
            <w:tcBorders>
              <w:bottom w:val="single" w:sz="4" w:space="0" w:color="auto"/>
            </w:tcBorders>
            <w:vAlign w:val="center"/>
          </w:tcPr>
          <w:p w:rsidR="003868DF" w:rsidRPr="00F32A9B" w:rsidRDefault="003868DF" w:rsidP="003868DF">
            <w:pPr>
              <w:pStyle w:val="Standard"/>
              <w:jc w:val="center"/>
              <w:rPr>
                <w:bCs/>
              </w:rPr>
            </w:pPr>
            <w:r w:rsidRPr="00F32A9B">
              <w:rPr>
                <w:bCs/>
              </w:rPr>
              <w:t>2</w:t>
            </w:r>
          </w:p>
        </w:tc>
        <w:tc>
          <w:tcPr>
            <w:tcW w:w="5326" w:type="dxa"/>
            <w:tcBorders>
              <w:bottom w:val="single" w:sz="4" w:space="0" w:color="auto"/>
            </w:tcBorders>
            <w:vAlign w:val="center"/>
          </w:tcPr>
          <w:p w:rsidR="003868DF" w:rsidRDefault="003868DF" w:rsidP="00BC7873">
            <w:pPr>
              <w:pStyle w:val="Standard"/>
              <w:jc w:val="left"/>
            </w:pPr>
            <w:r>
              <w:t>Nedodržení lhůty pro předložení monitorovací zprávy v době udržitelnosti projektu - vůbec nedodá</w:t>
            </w:r>
            <w:r>
              <w:rPr>
                <w:rStyle w:val="Znakapoznpodarou"/>
              </w:rPr>
              <w:footnoteReference w:id="18"/>
            </w:r>
          </w:p>
        </w:tc>
        <w:tc>
          <w:tcPr>
            <w:tcW w:w="1843" w:type="dxa"/>
            <w:tcBorders>
              <w:bottom w:val="single" w:sz="4" w:space="0" w:color="auto"/>
            </w:tcBorders>
            <w:vAlign w:val="center"/>
          </w:tcPr>
          <w:p w:rsidR="003868DF" w:rsidRDefault="003868DF" w:rsidP="00E70596">
            <w:pPr>
              <w:pStyle w:val="Standard"/>
              <w:jc w:val="center"/>
            </w:pPr>
            <w:r>
              <w:t>100 %</w:t>
            </w:r>
          </w:p>
        </w:tc>
        <w:tc>
          <w:tcPr>
            <w:tcW w:w="2126" w:type="dxa"/>
            <w:tcBorders>
              <w:bottom w:val="single" w:sz="4" w:space="0" w:color="auto"/>
            </w:tcBorders>
            <w:vAlign w:val="center"/>
          </w:tcPr>
          <w:p w:rsidR="003868DF" w:rsidRDefault="003868DF" w:rsidP="00E70596">
            <w:pPr>
              <w:pStyle w:val="Standard"/>
              <w:jc w:val="left"/>
            </w:pPr>
            <w:r>
              <w:t>dotace</w:t>
            </w:r>
          </w:p>
        </w:tc>
      </w:tr>
      <w:tr w:rsidR="00BC7873" w:rsidRPr="00954488" w:rsidTr="00C305CC">
        <w:trPr>
          <w:trHeight w:val="502"/>
        </w:trPr>
        <w:tc>
          <w:tcPr>
            <w:tcW w:w="9809" w:type="dxa"/>
            <w:gridSpan w:val="4"/>
            <w:vAlign w:val="center"/>
          </w:tcPr>
          <w:p w:rsidR="00BC7873" w:rsidRPr="00BC7873" w:rsidRDefault="00BC7873" w:rsidP="00BC7873">
            <w:pPr>
              <w:pStyle w:val="Standard"/>
              <w:jc w:val="center"/>
              <w:rPr>
                <w:b/>
              </w:rPr>
            </w:pPr>
            <w:r w:rsidRPr="00BC7873">
              <w:rPr>
                <w:b/>
              </w:rPr>
              <w:t>Ostatní</w:t>
            </w:r>
          </w:p>
        </w:tc>
      </w:tr>
      <w:tr w:rsidR="003868DF" w:rsidRPr="00954488" w:rsidTr="00187652">
        <w:trPr>
          <w:trHeight w:val="454"/>
        </w:trPr>
        <w:tc>
          <w:tcPr>
            <w:tcW w:w="514" w:type="dxa"/>
            <w:vAlign w:val="center"/>
          </w:tcPr>
          <w:p w:rsidR="003868DF" w:rsidRPr="00F32A9B" w:rsidRDefault="003868DF" w:rsidP="003868DF">
            <w:pPr>
              <w:pStyle w:val="Standard"/>
              <w:jc w:val="center"/>
              <w:rPr>
                <w:bCs/>
              </w:rPr>
            </w:pPr>
            <w:r w:rsidRPr="00F32A9B">
              <w:rPr>
                <w:bCs/>
              </w:rPr>
              <w:t>1</w:t>
            </w:r>
          </w:p>
        </w:tc>
        <w:tc>
          <w:tcPr>
            <w:tcW w:w="5326" w:type="dxa"/>
            <w:vAlign w:val="center"/>
          </w:tcPr>
          <w:p w:rsidR="003868DF" w:rsidRDefault="00901CB1" w:rsidP="00901CB1">
            <w:pPr>
              <w:pStyle w:val="Standard"/>
              <w:jc w:val="left"/>
            </w:pPr>
            <w:r>
              <w:t>Poskytnutí</w:t>
            </w:r>
            <w:r w:rsidR="003868DF">
              <w:t xml:space="preserve"> součinnosti </w:t>
            </w:r>
            <w:r>
              <w:t xml:space="preserve">v souvislosti s realizací projektu dle Smlouvy až po opakované výzvě poskytovatele dotace </w:t>
            </w:r>
          </w:p>
        </w:tc>
        <w:tc>
          <w:tcPr>
            <w:tcW w:w="1843" w:type="dxa"/>
            <w:vAlign w:val="center"/>
          </w:tcPr>
          <w:p w:rsidR="003868DF" w:rsidRDefault="003868DF" w:rsidP="00E70596">
            <w:pPr>
              <w:pStyle w:val="Standard"/>
              <w:jc w:val="center"/>
            </w:pPr>
            <w:r>
              <w:t>0,5 – 1 %</w:t>
            </w:r>
          </w:p>
        </w:tc>
        <w:tc>
          <w:tcPr>
            <w:tcW w:w="2126" w:type="dxa"/>
            <w:vAlign w:val="center"/>
          </w:tcPr>
          <w:p w:rsidR="003868DF" w:rsidRDefault="003868DF" w:rsidP="00E70596">
            <w:pPr>
              <w:pStyle w:val="Standard"/>
              <w:jc w:val="left"/>
            </w:pPr>
            <w:r>
              <w:t>dotace</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2</w:t>
            </w:r>
          </w:p>
        </w:tc>
        <w:tc>
          <w:tcPr>
            <w:tcW w:w="5326" w:type="dxa"/>
            <w:vAlign w:val="center"/>
          </w:tcPr>
          <w:p w:rsidR="003868DF" w:rsidRDefault="003868DF" w:rsidP="00BC7873">
            <w:pPr>
              <w:pStyle w:val="Standard"/>
              <w:jc w:val="left"/>
            </w:pPr>
            <w:r>
              <w:t>Vyhotovení, použití nebo předložení nepravdivých, nesprávných nebo neúplných dokladů ve smyslu ustanovení § 260 trestního zákona</w:t>
            </w:r>
          </w:p>
        </w:tc>
        <w:tc>
          <w:tcPr>
            <w:tcW w:w="1843" w:type="dxa"/>
            <w:vAlign w:val="center"/>
          </w:tcPr>
          <w:p w:rsidR="003868DF" w:rsidRDefault="003868DF" w:rsidP="00E70596">
            <w:pPr>
              <w:pStyle w:val="Standard"/>
              <w:jc w:val="center"/>
            </w:pPr>
            <w:r>
              <w:t>100 %</w:t>
            </w:r>
          </w:p>
        </w:tc>
        <w:tc>
          <w:tcPr>
            <w:tcW w:w="2126" w:type="dxa"/>
            <w:vAlign w:val="center"/>
          </w:tcPr>
          <w:p w:rsidR="003868DF" w:rsidRDefault="003868DF" w:rsidP="00E70596">
            <w:pPr>
              <w:pStyle w:val="Standard"/>
              <w:jc w:val="left"/>
            </w:pPr>
            <w:r>
              <w:t>dotace</w:t>
            </w:r>
          </w:p>
        </w:tc>
      </w:tr>
      <w:tr w:rsidR="003868DF" w:rsidRPr="00954488" w:rsidTr="00187652">
        <w:trPr>
          <w:trHeight w:val="454"/>
        </w:trPr>
        <w:tc>
          <w:tcPr>
            <w:tcW w:w="514" w:type="dxa"/>
            <w:vAlign w:val="center"/>
          </w:tcPr>
          <w:p w:rsidR="003868DF" w:rsidRPr="00F32A9B" w:rsidRDefault="003868DF" w:rsidP="003868DF">
            <w:pPr>
              <w:pStyle w:val="Standard"/>
              <w:jc w:val="center"/>
              <w:rPr>
                <w:bCs/>
              </w:rPr>
            </w:pPr>
            <w:r w:rsidRPr="00F32A9B">
              <w:rPr>
                <w:bCs/>
              </w:rPr>
              <w:t>3</w:t>
            </w:r>
          </w:p>
        </w:tc>
        <w:tc>
          <w:tcPr>
            <w:tcW w:w="5326" w:type="dxa"/>
            <w:vAlign w:val="center"/>
          </w:tcPr>
          <w:p w:rsidR="003868DF" w:rsidRDefault="003868DF" w:rsidP="00BC7873">
            <w:pPr>
              <w:pStyle w:val="Standard"/>
              <w:jc w:val="left"/>
            </w:pPr>
            <w:r>
              <w:t>Porušení pravidel veřejné podpory</w:t>
            </w:r>
          </w:p>
        </w:tc>
        <w:tc>
          <w:tcPr>
            <w:tcW w:w="1843" w:type="dxa"/>
            <w:vAlign w:val="center"/>
          </w:tcPr>
          <w:p w:rsidR="003868DF" w:rsidRDefault="003868DF" w:rsidP="00E70596">
            <w:pPr>
              <w:pStyle w:val="Standard"/>
              <w:jc w:val="center"/>
              <w:textAlignment w:val="top"/>
            </w:pPr>
            <w:r>
              <w:t>0,5 – 1 %</w:t>
            </w:r>
          </w:p>
        </w:tc>
        <w:tc>
          <w:tcPr>
            <w:tcW w:w="2126" w:type="dxa"/>
            <w:vAlign w:val="center"/>
          </w:tcPr>
          <w:p w:rsidR="003868DF" w:rsidRDefault="003868DF" w:rsidP="00E70596">
            <w:pPr>
              <w:pStyle w:val="Standard"/>
              <w:jc w:val="left"/>
            </w:pPr>
            <w:r>
              <w:t>dotace</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4</w:t>
            </w:r>
          </w:p>
        </w:tc>
        <w:tc>
          <w:tcPr>
            <w:tcW w:w="5326" w:type="dxa"/>
            <w:vAlign w:val="center"/>
          </w:tcPr>
          <w:p w:rsidR="003868DF" w:rsidRDefault="003868DF" w:rsidP="00BC7873">
            <w:pPr>
              <w:pStyle w:val="Standard"/>
              <w:jc w:val="left"/>
            </w:pPr>
            <w:r>
              <w:t>Porušení pravidel veřejné podpory, v jehož důsledku došlo u projektu původně nezakládajícího veřejnou podporu ke změně znamenající, že projekt naplňuje definici veřejné podpory dle článku 107 SFE</w:t>
            </w:r>
          </w:p>
        </w:tc>
        <w:tc>
          <w:tcPr>
            <w:tcW w:w="1843" w:type="dxa"/>
            <w:vAlign w:val="center"/>
          </w:tcPr>
          <w:p w:rsidR="003868DF" w:rsidRDefault="003868DF" w:rsidP="00333F2C">
            <w:pPr>
              <w:pStyle w:val="Standard"/>
              <w:jc w:val="center"/>
            </w:pPr>
            <w:r>
              <w:t>100 %</w:t>
            </w:r>
          </w:p>
        </w:tc>
        <w:tc>
          <w:tcPr>
            <w:tcW w:w="2126" w:type="dxa"/>
            <w:vAlign w:val="center"/>
          </w:tcPr>
          <w:p w:rsidR="003868DF" w:rsidRDefault="003868DF" w:rsidP="00E70596">
            <w:pPr>
              <w:pStyle w:val="Standard"/>
              <w:jc w:val="left"/>
            </w:pPr>
            <w:r>
              <w:t>dotace</w:t>
            </w:r>
          </w:p>
        </w:tc>
      </w:tr>
      <w:tr w:rsidR="003868DF" w:rsidRPr="00954488" w:rsidTr="00BC7873">
        <w:trPr>
          <w:trHeight w:val="563"/>
        </w:trPr>
        <w:tc>
          <w:tcPr>
            <w:tcW w:w="514" w:type="dxa"/>
            <w:vAlign w:val="center"/>
          </w:tcPr>
          <w:p w:rsidR="003868DF" w:rsidRPr="00F32A9B" w:rsidRDefault="003868DF" w:rsidP="003868DF">
            <w:pPr>
              <w:pStyle w:val="Standard"/>
              <w:jc w:val="center"/>
              <w:rPr>
                <w:bCs/>
              </w:rPr>
            </w:pPr>
            <w:r w:rsidRPr="00F32A9B">
              <w:rPr>
                <w:bCs/>
              </w:rPr>
              <w:t>5</w:t>
            </w:r>
          </w:p>
        </w:tc>
        <w:tc>
          <w:tcPr>
            <w:tcW w:w="5326" w:type="dxa"/>
            <w:vAlign w:val="center"/>
          </w:tcPr>
          <w:p w:rsidR="003868DF" w:rsidRDefault="003868DF" w:rsidP="00BC7873">
            <w:pPr>
              <w:pStyle w:val="Standard"/>
              <w:jc w:val="left"/>
            </w:pPr>
            <w:r>
              <w:t>Nenaplnění cílů a účelu projektu vůbec</w:t>
            </w:r>
          </w:p>
        </w:tc>
        <w:tc>
          <w:tcPr>
            <w:tcW w:w="1843" w:type="dxa"/>
            <w:vAlign w:val="center"/>
          </w:tcPr>
          <w:p w:rsidR="003868DF" w:rsidRDefault="003868DF" w:rsidP="000F5676">
            <w:pPr>
              <w:pStyle w:val="Standard"/>
              <w:jc w:val="center"/>
            </w:pPr>
            <w:r>
              <w:t>100 %</w:t>
            </w:r>
          </w:p>
        </w:tc>
        <w:tc>
          <w:tcPr>
            <w:tcW w:w="2126" w:type="dxa"/>
            <w:vAlign w:val="center"/>
          </w:tcPr>
          <w:p w:rsidR="003868DF" w:rsidRDefault="003868DF" w:rsidP="00E70596">
            <w:pPr>
              <w:pStyle w:val="Standard"/>
              <w:jc w:val="left"/>
            </w:pPr>
            <w:r>
              <w:t>dotace</w:t>
            </w:r>
          </w:p>
        </w:tc>
      </w:tr>
      <w:tr w:rsidR="003868DF" w:rsidRPr="00954488" w:rsidTr="00BC7873">
        <w:trPr>
          <w:trHeight w:val="567"/>
        </w:trPr>
        <w:tc>
          <w:tcPr>
            <w:tcW w:w="514" w:type="dxa"/>
            <w:vAlign w:val="center"/>
          </w:tcPr>
          <w:p w:rsidR="003868DF" w:rsidRPr="00F32A9B" w:rsidRDefault="003868DF" w:rsidP="003868DF">
            <w:pPr>
              <w:pStyle w:val="Standard"/>
              <w:jc w:val="center"/>
              <w:rPr>
                <w:bCs/>
              </w:rPr>
            </w:pPr>
            <w:r w:rsidRPr="00F32A9B">
              <w:rPr>
                <w:bCs/>
              </w:rPr>
              <w:t>6</w:t>
            </w:r>
          </w:p>
        </w:tc>
        <w:tc>
          <w:tcPr>
            <w:tcW w:w="5326" w:type="dxa"/>
            <w:vAlign w:val="center"/>
          </w:tcPr>
          <w:p w:rsidR="003868DF" w:rsidRDefault="003868DF" w:rsidP="00BC7873">
            <w:pPr>
              <w:pStyle w:val="Standard"/>
              <w:jc w:val="left"/>
            </w:pPr>
            <w:r>
              <w:t>Nenaplnění cílů a účelu projektu částečně</w:t>
            </w:r>
          </w:p>
        </w:tc>
        <w:tc>
          <w:tcPr>
            <w:tcW w:w="1843" w:type="dxa"/>
          </w:tcPr>
          <w:p w:rsidR="003868DF" w:rsidRDefault="003868DF" w:rsidP="000F5676">
            <w:pPr>
              <w:widowControl/>
              <w:suppressAutoHyphens w:val="0"/>
              <w:autoSpaceDE w:val="0"/>
              <w:adjustRightInd w:val="0"/>
              <w:jc w:val="center"/>
              <w:textAlignment w:val="auto"/>
              <w:rPr>
                <w:rFonts w:ascii="Arial" w:hAnsi="Arial" w:cs="Arial"/>
                <w:kern w:val="0"/>
                <w:sz w:val="20"/>
                <w:szCs w:val="20"/>
              </w:rPr>
            </w:pPr>
            <w:r>
              <w:rPr>
                <w:rFonts w:ascii="Arial" w:hAnsi="Arial" w:cs="Arial"/>
                <w:kern w:val="0"/>
                <w:sz w:val="20"/>
                <w:szCs w:val="20"/>
              </w:rPr>
              <w:t xml:space="preserve">5 </w:t>
            </w:r>
            <w:r>
              <w:t>–</w:t>
            </w:r>
            <w:r>
              <w:rPr>
                <w:rFonts w:ascii="Arial" w:hAnsi="Arial" w:cs="Arial"/>
                <w:kern w:val="0"/>
                <w:sz w:val="20"/>
                <w:szCs w:val="20"/>
              </w:rPr>
              <w:t xml:space="preserve"> 25 %</w:t>
            </w:r>
          </w:p>
          <w:p w:rsidR="003868DF" w:rsidRDefault="003868DF" w:rsidP="000F5676">
            <w:pPr>
              <w:pStyle w:val="Standard"/>
              <w:jc w:val="center"/>
            </w:pPr>
            <w:r>
              <w:rPr>
                <w:rFonts w:cs="Arial"/>
                <w:kern w:val="0"/>
              </w:rPr>
              <w:t>(obvyklé odstupňování 5 %, 10 %, 25 %)</w:t>
            </w:r>
          </w:p>
        </w:tc>
        <w:tc>
          <w:tcPr>
            <w:tcW w:w="2126" w:type="dxa"/>
            <w:vAlign w:val="center"/>
          </w:tcPr>
          <w:p w:rsidR="003868DF" w:rsidRDefault="003868DF" w:rsidP="00E70596">
            <w:pPr>
              <w:pStyle w:val="Standard"/>
              <w:jc w:val="left"/>
            </w:pPr>
            <w:r>
              <w:t>dotace</w:t>
            </w:r>
          </w:p>
        </w:tc>
      </w:tr>
      <w:tr w:rsidR="003868DF" w:rsidRPr="00954488" w:rsidTr="00BC7873">
        <w:trPr>
          <w:trHeight w:val="567"/>
        </w:trPr>
        <w:tc>
          <w:tcPr>
            <w:tcW w:w="514" w:type="dxa"/>
            <w:vAlign w:val="center"/>
          </w:tcPr>
          <w:p w:rsidR="003868DF" w:rsidRPr="00F32A9B" w:rsidRDefault="00187652" w:rsidP="003868DF">
            <w:pPr>
              <w:pStyle w:val="Standard"/>
              <w:jc w:val="center"/>
              <w:rPr>
                <w:bCs/>
              </w:rPr>
            </w:pPr>
            <w:r>
              <w:rPr>
                <w:bCs/>
              </w:rPr>
              <w:t>7</w:t>
            </w:r>
          </w:p>
        </w:tc>
        <w:tc>
          <w:tcPr>
            <w:tcW w:w="5326" w:type="dxa"/>
            <w:vAlign w:val="center"/>
          </w:tcPr>
          <w:p w:rsidR="003868DF" w:rsidRDefault="003868DF" w:rsidP="00BC7873">
            <w:pPr>
              <w:pStyle w:val="Standard"/>
              <w:jc w:val="left"/>
            </w:pPr>
            <w:r>
              <w:t xml:space="preserve">Nedodržení principů hospodárnosti, účelnosti a efektivnosti vynaložených výdajů </w:t>
            </w:r>
          </w:p>
        </w:tc>
        <w:tc>
          <w:tcPr>
            <w:tcW w:w="1843" w:type="dxa"/>
            <w:vAlign w:val="center"/>
          </w:tcPr>
          <w:p w:rsidR="003868DF" w:rsidRDefault="003868DF" w:rsidP="006D640D">
            <w:pPr>
              <w:pStyle w:val="Standard"/>
              <w:jc w:val="center"/>
            </w:pPr>
            <w:r>
              <w:t>100 %</w:t>
            </w:r>
          </w:p>
        </w:tc>
        <w:tc>
          <w:tcPr>
            <w:tcW w:w="2126" w:type="dxa"/>
            <w:vAlign w:val="center"/>
          </w:tcPr>
          <w:p w:rsidR="003868DF" w:rsidRDefault="003868DF" w:rsidP="00E70596">
            <w:pPr>
              <w:pStyle w:val="Standard"/>
              <w:jc w:val="left"/>
            </w:pPr>
            <w:r>
              <w:rPr>
                <w:lang w:eastAsia="en-US"/>
              </w:rPr>
              <w:t>výdajů vynaložených v rozporu s principy 3 E</w:t>
            </w:r>
            <w:r>
              <w:rPr>
                <w:rStyle w:val="Znakapoznpodarou"/>
                <w:lang w:eastAsia="en-US"/>
              </w:rPr>
              <w:footnoteReference w:id="19"/>
            </w:r>
          </w:p>
        </w:tc>
      </w:tr>
      <w:tr w:rsidR="003868DF" w:rsidRPr="00954488" w:rsidTr="00BC7873">
        <w:trPr>
          <w:trHeight w:val="567"/>
        </w:trPr>
        <w:tc>
          <w:tcPr>
            <w:tcW w:w="514" w:type="dxa"/>
            <w:vAlign w:val="center"/>
          </w:tcPr>
          <w:p w:rsidR="003868DF" w:rsidRPr="00F32A9B" w:rsidRDefault="00187652" w:rsidP="003868DF">
            <w:pPr>
              <w:pStyle w:val="Standard"/>
              <w:jc w:val="center"/>
              <w:rPr>
                <w:bCs/>
              </w:rPr>
            </w:pPr>
            <w:r>
              <w:rPr>
                <w:bCs/>
              </w:rPr>
              <w:t>8</w:t>
            </w:r>
          </w:p>
        </w:tc>
        <w:tc>
          <w:tcPr>
            <w:tcW w:w="5326" w:type="dxa"/>
            <w:vAlign w:val="center"/>
          </w:tcPr>
          <w:p w:rsidR="003868DF" w:rsidRDefault="003868DF" w:rsidP="00DD67E9">
            <w:pPr>
              <w:pStyle w:val="Standard"/>
              <w:jc w:val="left"/>
            </w:pPr>
            <w:r>
              <w:t xml:space="preserve">Nedostatečné plnění povinností ze strany technického dozoru investora, administrátora projektu nebo administrátora veřejných zakázek, které má za </w:t>
            </w:r>
            <w:r w:rsidR="00DD67E9">
              <w:t>následek snížený odvod</w:t>
            </w:r>
            <w:r w:rsidR="00497724">
              <w:rPr>
                <w:rStyle w:val="Znakapoznpodarou"/>
              </w:rPr>
              <w:footnoteReference w:id="20"/>
            </w:r>
          </w:p>
        </w:tc>
        <w:tc>
          <w:tcPr>
            <w:tcW w:w="1843" w:type="dxa"/>
            <w:vAlign w:val="center"/>
          </w:tcPr>
          <w:p w:rsidR="003868DF" w:rsidRDefault="00DD67E9" w:rsidP="00DD67E9">
            <w:pPr>
              <w:pStyle w:val="Standard"/>
              <w:jc w:val="center"/>
            </w:pPr>
            <w:r>
              <w:t xml:space="preserve">0 – 100 </w:t>
            </w:r>
            <w:r w:rsidR="003868DF">
              <w:t>%</w:t>
            </w:r>
          </w:p>
        </w:tc>
        <w:tc>
          <w:tcPr>
            <w:tcW w:w="2126" w:type="dxa"/>
            <w:vAlign w:val="center"/>
          </w:tcPr>
          <w:p w:rsidR="003868DF" w:rsidRDefault="003868DF" w:rsidP="00A46E31">
            <w:pPr>
              <w:pStyle w:val="Standard"/>
              <w:jc w:val="left"/>
              <w:rPr>
                <w:lang w:eastAsia="en-US"/>
              </w:rPr>
            </w:pPr>
            <w:r>
              <w:rPr>
                <w:lang w:eastAsia="en-US"/>
              </w:rPr>
              <w:t>výdajů na TDI, resp. administraci projektu nebo zakázky</w:t>
            </w:r>
          </w:p>
        </w:tc>
      </w:tr>
      <w:tr w:rsidR="003868DF" w:rsidRPr="00954488" w:rsidTr="00BC7873">
        <w:trPr>
          <w:cantSplit/>
          <w:trHeight w:val="567"/>
        </w:trPr>
        <w:tc>
          <w:tcPr>
            <w:tcW w:w="514" w:type="dxa"/>
            <w:vAlign w:val="center"/>
          </w:tcPr>
          <w:p w:rsidR="003868DF" w:rsidRPr="00F32A9B" w:rsidRDefault="00187652" w:rsidP="003868DF">
            <w:pPr>
              <w:pStyle w:val="Standard"/>
              <w:jc w:val="center"/>
              <w:rPr>
                <w:bCs/>
              </w:rPr>
            </w:pPr>
            <w:r>
              <w:rPr>
                <w:bCs/>
              </w:rPr>
              <w:t>9</w:t>
            </w:r>
          </w:p>
        </w:tc>
        <w:tc>
          <w:tcPr>
            <w:tcW w:w="5326" w:type="dxa"/>
            <w:vAlign w:val="center"/>
          </w:tcPr>
          <w:p w:rsidR="003868DF" w:rsidRDefault="003868DF" w:rsidP="00BC7873">
            <w:pPr>
              <w:pStyle w:val="PreformattedText"/>
              <w:jc w:val="left"/>
              <w:rPr>
                <w:rFonts w:ascii="Arial" w:hAnsi="Arial"/>
              </w:rPr>
            </w:pPr>
            <w:r>
              <w:rPr>
                <w:rFonts w:ascii="Arial" w:eastAsia="TimesNewRoman" w:hAnsi="Arial" w:cs="TimesNewRoman"/>
              </w:rPr>
              <w:t>Opakované (3x a více) nedodržení lhůt stanovených v Pokynech pro zadávání zakázek pro</w:t>
            </w:r>
            <w:r>
              <w:rPr>
                <w:rFonts w:ascii="Arial" w:hAnsi="Arial"/>
              </w:rPr>
              <w:t xml:space="preserve"> zaslání zadávací dokumentace, zasílání pozvánek na hodnotící komisi, zasílání případného vypořádání námitek apod.</w:t>
            </w:r>
          </w:p>
        </w:tc>
        <w:tc>
          <w:tcPr>
            <w:tcW w:w="1843" w:type="dxa"/>
            <w:vAlign w:val="center"/>
          </w:tcPr>
          <w:p w:rsidR="003868DF" w:rsidRDefault="003868DF" w:rsidP="00E70596">
            <w:pPr>
              <w:pStyle w:val="Standard"/>
              <w:autoSpaceDE w:val="0"/>
              <w:jc w:val="center"/>
              <w:rPr>
                <w:rFonts w:eastAsia="TimesNewRoman,Bold" w:cs="TimesNewRoman,Bold"/>
              </w:rPr>
            </w:pPr>
            <w:r>
              <w:rPr>
                <w:rFonts w:eastAsia="TimesNewRoman,Bold" w:cs="TimesNewRoman,Bold"/>
              </w:rPr>
              <w:t>0,5 – 1 %</w:t>
            </w:r>
          </w:p>
        </w:tc>
        <w:tc>
          <w:tcPr>
            <w:tcW w:w="2126" w:type="dxa"/>
            <w:vAlign w:val="center"/>
          </w:tcPr>
          <w:p w:rsidR="003868DF" w:rsidRPr="00954488" w:rsidRDefault="003868DF" w:rsidP="00E70596">
            <w:pPr>
              <w:rPr>
                <w:rFonts w:ascii="Arial" w:hAnsi="Arial" w:cs="Arial"/>
                <w:sz w:val="20"/>
                <w:szCs w:val="20"/>
              </w:rPr>
            </w:pPr>
            <w:r w:rsidRPr="0023755A">
              <w:rPr>
                <w:rFonts w:ascii="Arial" w:hAnsi="Arial" w:cs="Arial"/>
                <w:sz w:val="20"/>
                <w:szCs w:val="20"/>
              </w:rPr>
              <w:t>dotace, ke které se dané porušení váže</w:t>
            </w:r>
          </w:p>
        </w:tc>
      </w:tr>
      <w:tr w:rsidR="003868DF" w:rsidRPr="00954488" w:rsidTr="00BC7873">
        <w:trPr>
          <w:trHeight w:val="567"/>
        </w:trPr>
        <w:tc>
          <w:tcPr>
            <w:tcW w:w="514" w:type="dxa"/>
            <w:vAlign w:val="center"/>
          </w:tcPr>
          <w:p w:rsidR="003868DF" w:rsidRPr="00F32A9B" w:rsidRDefault="00187652" w:rsidP="003868DF">
            <w:pPr>
              <w:pStyle w:val="Standard"/>
              <w:jc w:val="center"/>
              <w:rPr>
                <w:bCs/>
              </w:rPr>
            </w:pPr>
            <w:r>
              <w:rPr>
                <w:bCs/>
              </w:rPr>
              <w:t>10</w:t>
            </w:r>
          </w:p>
        </w:tc>
        <w:tc>
          <w:tcPr>
            <w:tcW w:w="5326" w:type="dxa"/>
            <w:vAlign w:val="center"/>
          </w:tcPr>
          <w:p w:rsidR="003868DF" w:rsidRDefault="003868DF" w:rsidP="00BC7873">
            <w:pPr>
              <w:pStyle w:val="PreformattedText"/>
              <w:jc w:val="left"/>
              <w:rPr>
                <w:rFonts w:ascii="Arial" w:eastAsia="TimesNewRoman" w:hAnsi="Arial" w:cs="TimesNewRoman"/>
              </w:rPr>
            </w:pPr>
            <w:r>
              <w:rPr>
                <w:rFonts w:ascii="Arial" w:eastAsia="TimesNewRoman" w:hAnsi="Arial" w:cs="TimesNewRoman"/>
              </w:rPr>
              <w:t>Nedodržení požadavku na zákaz dvojího financování</w:t>
            </w:r>
          </w:p>
        </w:tc>
        <w:tc>
          <w:tcPr>
            <w:tcW w:w="1843" w:type="dxa"/>
            <w:vAlign w:val="center"/>
          </w:tcPr>
          <w:p w:rsidR="003868DF" w:rsidRDefault="003868DF" w:rsidP="006C671E">
            <w:pPr>
              <w:pStyle w:val="Standard"/>
              <w:autoSpaceDE w:val="0"/>
              <w:jc w:val="center"/>
              <w:rPr>
                <w:rFonts w:eastAsia="TimesNewRoman,Bold" w:cs="TimesNewRoman,Bold"/>
              </w:rPr>
            </w:pPr>
            <w:r>
              <w:rPr>
                <w:rFonts w:eastAsia="TimesNewRoman,Bold" w:cs="TimesNewRoman,Bold"/>
              </w:rPr>
              <w:t>100 %</w:t>
            </w:r>
          </w:p>
        </w:tc>
        <w:tc>
          <w:tcPr>
            <w:tcW w:w="2126" w:type="dxa"/>
            <w:vAlign w:val="center"/>
          </w:tcPr>
          <w:p w:rsidR="003868DF" w:rsidRPr="0023755A" w:rsidRDefault="003868DF" w:rsidP="006D640D">
            <w:pPr>
              <w:rPr>
                <w:rFonts w:ascii="Arial" w:hAnsi="Arial" w:cs="Arial"/>
                <w:sz w:val="20"/>
                <w:szCs w:val="20"/>
              </w:rPr>
            </w:pPr>
            <w:r>
              <w:rPr>
                <w:rFonts w:ascii="Arial" w:hAnsi="Arial" w:cs="Arial"/>
                <w:sz w:val="20"/>
                <w:szCs w:val="20"/>
              </w:rPr>
              <w:t>dotace, ke které se dané porušení váže</w:t>
            </w:r>
          </w:p>
        </w:tc>
      </w:tr>
    </w:tbl>
    <w:p w:rsidR="004238ED" w:rsidRDefault="004238ED" w:rsidP="0066566F"/>
    <w:sectPr w:rsidR="004238ED" w:rsidSect="008149E3">
      <w:headerReference w:type="default" r:id="rId9"/>
      <w:footerReference w:type="default" r:id="rId10"/>
      <w:headerReference w:type="first" r:id="rId11"/>
      <w:footerReference w:type="first" r:id="rId12"/>
      <w:pgSz w:w="11906" w:h="16838"/>
      <w:pgMar w:top="2410" w:right="1134" w:bottom="1418" w:left="1134" w:header="624" w:footer="79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9E3" w:rsidRDefault="008149E3">
      <w:r>
        <w:separator/>
      </w:r>
    </w:p>
  </w:endnote>
  <w:endnote w:type="continuationSeparator" w:id="0">
    <w:p w:rsidR="008149E3" w:rsidRDefault="0081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Arial Unicode MS'">
    <w:charset w:val="00"/>
    <w:family w:val="auto"/>
    <w:pitch w:val="default"/>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TimesNewRomanPSMT">
    <w:altName w:val="Times New Roman"/>
    <w:charset w:val="EE"/>
    <w:family w:val="roman"/>
    <w:pitch w:val="default"/>
    <w:sig w:usb0="00000003" w:usb1="00000000" w:usb2="00000000" w:usb3="00000000" w:csb0="00000001" w:csb1="00000000"/>
  </w:font>
  <w:font w:name="TimesNewRoman">
    <w:altName w:val="Times New Roman"/>
    <w:charset w:val="00"/>
    <w:family w:val="roman"/>
    <w:pitch w:val="default"/>
  </w:font>
  <w:font w:name="TimesNewRoman,Bold">
    <w:altName w:val="Times New Roman"/>
    <w:charset w:val="00"/>
    <w:family w:val="auto"/>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9E3" w:rsidRDefault="008149E3">
    <w:pPr>
      <w:pStyle w:val="Zpat"/>
    </w:pPr>
    <w:r>
      <w:rPr>
        <w:noProof/>
      </w:rPr>
      <mc:AlternateContent>
        <mc:Choice Requires="wps">
          <w:drawing>
            <wp:anchor distT="0" distB="0" distL="114300" distR="114300" simplePos="0" relativeHeight="251673600" behindDoc="0" locked="0" layoutInCell="1" allowOverlap="1" wp14:anchorId="2FAA49C7" wp14:editId="32DD2119">
              <wp:simplePos x="0" y="0"/>
              <wp:positionH relativeFrom="column">
                <wp:posOffset>6192000</wp:posOffset>
              </wp:positionH>
              <wp:positionV relativeFrom="paragraph">
                <wp:posOffset>108000</wp:posOffset>
              </wp:positionV>
              <wp:extent cx="539640" cy="179640"/>
              <wp:effectExtent l="0" t="0" r="0" b="0"/>
              <wp:wrapSquare wrapText="bothSides"/>
              <wp:docPr id="9" name="Rámec čísla stránky 2"/>
              <wp:cNvGraphicFramePr/>
              <a:graphic xmlns:a="http://schemas.openxmlformats.org/drawingml/2006/main">
                <a:graphicData uri="http://schemas.microsoft.com/office/word/2010/wordprocessingShape">
                  <wps:wsp>
                    <wps:cNvSpPr txBox="1"/>
                    <wps:spPr>
                      <a:xfrm>
                        <a:off x="0" y="0"/>
                        <a:ext cx="539640" cy="179640"/>
                      </a:xfrm>
                      <a:prstGeom prst="rect">
                        <a:avLst/>
                      </a:prstGeom>
                    </wps:spPr>
                    <wps:txbx>
                      <w:txbxContent>
                        <w:p w:rsidR="008149E3" w:rsidRDefault="008149E3">
                          <w:pPr>
                            <w:pStyle w:val="Framecontents"/>
                            <w:rPr>
                              <w:color w:val="FFFFFF"/>
                            </w:rPr>
                          </w:pPr>
                          <w:r>
                            <w:rPr>
                              <w:color w:val="FFFFFF"/>
                            </w:rPr>
                            <w:fldChar w:fldCharType="begin"/>
                          </w:r>
                          <w:r>
                            <w:rPr>
                              <w:color w:val="FFFFFF"/>
                            </w:rPr>
                            <w:instrText xml:space="preserve"> PAGE </w:instrText>
                          </w:r>
                          <w:r>
                            <w:rPr>
                              <w:color w:val="FFFFFF"/>
                            </w:rPr>
                            <w:fldChar w:fldCharType="separate"/>
                          </w:r>
                          <w:r w:rsidR="002E7529">
                            <w:rPr>
                              <w:noProof/>
                              <w:color w:val="FFFFFF"/>
                            </w:rPr>
                            <w:t>2</w:t>
                          </w:r>
                          <w:r>
                            <w:rPr>
                              <w:color w:val="FFFFFF"/>
                            </w:rPr>
                            <w:fldChar w:fldCharType="end"/>
                          </w:r>
                          <w:r>
                            <w:rPr>
                              <w:color w:val="FFFFFF"/>
                            </w:rPr>
                            <w:t>/</w:t>
                          </w:r>
                          <w:r>
                            <w:rPr>
                              <w:color w:val="FFFFFF"/>
                            </w:rPr>
                            <w:fldChar w:fldCharType="begin"/>
                          </w:r>
                          <w:r>
                            <w:rPr>
                              <w:color w:val="FFFFFF"/>
                            </w:rPr>
                            <w:instrText xml:space="preserve"> NUMPAGES </w:instrText>
                          </w:r>
                          <w:r>
                            <w:rPr>
                              <w:color w:val="FFFFFF"/>
                            </w:rPr>
                            <w:fldChar w:fldCharType="separate"/>
                          </w:r>
                          <w:r w:rsidR="002E7529">
                            <w:rPr>
                              <w:noProof/>
                              <w:color w:val="FFFFFF"/>
                            </w:rPr>
                            <w:t>4</w:t>
                          </w:r>
                          <w:r>
                            <w:rPr>
                              <w:color w:val="FFFFFF"/>
                            </w:rPr>
                            <w:fldChar w:fldCharType="end"/>
                          </w:r>
                        </w:p>
                      </w:txbxContent>
                    </wps:txbx>
                    <wps:bodyPr vert="horz"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Rámec čísla stránky 2" o:spid="_x0000_s1027" type="#_x0000_t202" style="position:absolute;left:0;text-align:left;margin-left:487.55pt;margin-top:8.5pt;width:42.5pt;height:14.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" filled="f" stroked="f">
              <v:textbox style="mso-fit-shape-to-text:t" inset="0,0,0,0">
                <w:txbxContent>
                  <w:p w:rsidR="008149E3" w:rsidRDefault="008149E3">
                    <w:pPr>
                      <w:pStyle w:val="Framecontents"/>
                      <w:rPr>
                        <w:color w:val="FFFFFF"/>
                      </w:rPr>
                    </w:pPr>
                    <w:r>
                      <w:rPr>
                        <w:color w:val="FFFFFF"/>
                      </w:rPr>
                      <w:fldChar w:fldCharType="begin"/>
                    </w:r>
                    <w:r>
                      <w:rPr>
                        <w:color w:val="FFFFFF"/>
                      </w:rPr>
                      <w:instrText xml:space="preserve"> PAGE </w:instrText>
                    </w:r>
                    <w:r>
                      <w:rPr>
                        <w:color w:val="FFFFFF"/>
                      </w:rPr>
                      <w:fldChar w:fldCharType="separate"/>
                    </w:r>
                    <w:r w:rsidR="002E7529">
                      <w:rPr>
                        <w:noProof/>
                        <w:color w:val="FFFFFF"/>
                      </w:rPr>
                      <w:t>2</w:t>
                    </w:r>
                    <w:r>
                      <w:rPr>
                        <w:color w:val="FFFFFF"/>
                      </w:rPr>
                      <w:fldChar w:fldCharType="end"/>
                    </w:r>
                    <w:r>
                      <w:rPr>
                        <w:color w:val="FFFFFF"/>
                      </w:rPr>
                      <w:t>/</w:t>
                    </w:r>
                    <w:r>
                      <w:rPr>
                        <w:color w:val="FFFFFF"/>
                      </w:rPr>
                      <w:fldChar w:fldCharType="begin"/>
                    </w:r>
                    <w:r>
                      <w:rPr>
                        <w:color w:val="FFFFFF"/>
                      </w:rPr>
                      <w:instrText xml:space="preserve"> NUMPAGES </w:instrText>
                    </w:r>
                    <w:r>
                      <w:rPr>
                        <w:color w:val="FFFFFF"/>
                      </w:rPr>
                      <w:fldChar w:fldCharType="separate"/>
                    </w:r>
                    <w:r w:rsidR="002E7529">
                      <w:rPr>
                        <w:noProof/>
                        <w:color w:val="FFFFFF"/>
                      </w:rPr>
                      <w:t>4</w:t>
                    </w:r>
                    <w:r>
                      <w:rPr>
                        <w:color w:val="FFFFFF"/>
                      </w:rPr>
                      <w:fldChar w:fldCharType="end"/>
                    </w:r>
                  </w:p>
                </w:txbxContent>
              </v:textbox>
              <w10:wrap type="square"/>
            </v:shape>
          </w:pict>
        </mc:Fallback>
      </mc:AlternateContent>
    </w:r>
    <w:r>
      <w:rPr>
        <w:noProof/>
      </w:rPr>
      <w:drawing>
        <wp:anchor distT="0" distB="0" distL="114300" distR="114300" simplePos="0" relativeHeight="251672576" behindDoc="0" locked="0" layoutInCell="1" allowOverlap="1" wp14:anchorId="684B92B2" wp14:editId="3647B5F8">
          <wp:simplePos x="0" y="0"/>
          <wp:positionH relativeFrom="column">
            <wp:posOffset>2303640</wp:posOffset>
          </wp:positionH>
          <wp:positionV relativeFrom="paragraph">
            <wp:posOffset>-132840</wp:posOffset>
          </wp:positionV>
          <wp:extent cx="4535640" cy="1004040"/>
          <wp:effectExtent l="0" t="0" r="0" b="5610"/>
          <wp:wrapNone/>
          <wp:docPr id="1" name="obrázky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40005"/>
                  <a:stretch>
                    <a:fillRect/>
                  </a:stretch>
                </pic:blipFill>
                <pic:spPr>
                  <a:xfrm>
                    <a:off x="0" y="0"/>
                    <a:ext cx="4535640" cy="1004040"/>
                  </a:xfrm>
                  <a:prstGeom prst="rect">
                    <a:avLst/>
                  </a:prstGeom>
                </pic:spPr>
              </pic:pic>
            </a:graphicData>
          </a:graphic>
        </wp:anchor>
      </w:drawing>
    </w:r>
    <w:r>
      <w:t>verze k </w:t>
    </w:r>
    <w:r w:rsidR="000552D9">
      <w:t>2</w:t>
    </w:r>
    <w:r>
      <w:t>. 6.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9E3" w:rsidRDefault="008149E3">
    <w:pPr>
      <w:pStyle w:val="Zpat"/>
    </w:pPr>
    <w:r>
      <w:rPr>
        <w:noProof/>
      </w:rPr>
      <mc:AlternateContent>
        <mc:Choice Requires="wps">
          <w:drawing>
            <wp:anchor distT="0" distB="0" distL="114300" distR="114300" simplePos="0" relativeHeight="251679744" behindDoc="0" locked="0" layoutInCell="1" allowOverlap="1" wp14:anchorId="7A6A9B01" wp14:editId="66C95E7C">
              <wp:simplePos x="0" y="0"/>
              <wp:positionH relativeFrom="column">
                <wp:posOffset>6192000</wp:posOffset>
              </wp:positionH>
              <wp:positionV relativeFrom="paragraph">
                <wp:posOffset>108000</wp:posOffset>
              </wp:positionV>
              <wp:extent cx="539640" cy="179640"/>
              <wp:effectExtent l="0" t="0" r="0" b="0"/>
              <wp:wrapSquare wrapText="bothSides"/>
              <wp:docPr id="13" name="Rámec čísla stránky 1"/>
              <wp:cNvGraphicFramePr/>
              <a:graphic xmlns:a="http://schemas.openxmlformats.org/drawingml/2006/main">
                <a:graphicData uri="http://schemas.microsoft.com/office/word/2010/wordprocessingShape">
                  <wps:wsp>
                    <wps:cNvSpPr txBox="1"/>
                    <wps:spPr>
                      <a:xfrm>
                        <a:off x="0" y="0"/>
                        <a:ext cx="539640" cy="179640"/>
                      </a:xfrm>
                      <a:prstGeom prst="rect">
                        <a:avLst/>
                      </a:prstGeom>
                    </wps:spPr>
                    <wps:txbx>
                      <w:txbxContent>
                        <w:p w:rsidR="008149E3" w:rsidRDefault="008149E3">
                          <w:pPr>
                            <w:pStyle w:val="Framecontents"/>
                            <w:rPr>
                              <w:color w:val="FFFFFF"/>
                            </w:rPr>
                          </w:pPr>
                          <w:r>
                            <w:rPr>
                              <w:color w:val="FFFFFF"/>
                            </w:rPr>
                            <w:fldChar w:fldCharType="begin"/>
                          </w:r>
                          <w:r>
                            <w:rPr>
                              <w:color w:val="FFFFFF"/>
                            </w:rPr>
                            <w:instrText xml:space="preserve"> PAGE </w:instrText>
                          </w:r>
                          <w:r>
                            <w:rPr>
                              <w:color w:val="FFFFFF"/>
                            </w:rPr>
                            <w:fldChar w:fldCharType="separate"/>
                          </w:r>
                          <w:r w:rsidR="002E7529">
                            <w:rPr>
                              <w:noProof/>
                              <w:color w:val="FFFFFF"/>
                            </w:rPr>
                            <w:t>1</w:t>
                          </w:r>
                          <w:r>
                            <w:rPr>
                              <w:color w:val="FFFFFF"/>
                            </w:rPr>
                            <w:fldChar w:fldCharType="end"/>
                          </w:r>
                          <w:r>
                            <w:rPr>
                              <w:color w:val="FFFFFF"/>
                            </w:rPr>
                            <w:t>/12</w:t>
                          </w:r>
                        </w:p>
                      </w:txbxContent>
                    </wps:txbx>
                    <wps:bodyPr vert="horz"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Rámec čísla stránky 1" o:spid="_x0000_s1029" type="#_x0000_t202" style="position:absolute;left:0;text-align:left;margin-left:487.55pt;margin-top:8.5pt;width:42.5pt;height:14.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" filled="f" stroked="f">
              <v:textbox style="mso-fit-shape-to-text:t" inset="0,0,0,0">
                <w:txbxContent>
                  <w:p w:rsidR="008149E3" w:rsidRDefault="008149E3">
                    <w:pPr>
                      <w:pStyle w:val="Framecontents"/>
                      <w:rPr>
                        <w:color w:val="FFFFFF"/>
                      </w:rPr>
                    </w:pPr>
                    <w:r>
                      <w:rPr>
                        <w:color w:val="FFFFFF"/>
                      </w:rPr>
                      <w:fldChar w:fldCharType="begin"/>
                    </w:r>
                    <w:r>
                      <w:rPr>
                        <w:color w:val="FFFFFF"/>
                      </w:rPr>
                      <w:instrText xml:space="preserve"> PAGE </w:instrText>
                    </w:r>
                    <w:r>
                      <w:rPr>
                        <w:color w:val="FFFFFF"/>
                      </w:rPr>
                      <w:fldChar w:fldCharType="separate"/>
                    </w:r>
                    <w:r w:rsidR="002E7529">
                      <w:rPr>
                        <w:noProof/>
                        <w:color w:val="FFFFFF"/>
                      </w:rPr>
                      <w:t>1</w:t>
                    </w:r>
                    <w:r>
                      <w:rPr>
                        <w:color w:val="FFFFFF"/>
                      </w:rPr>
                      <w:fldChar w:fldCharType="end"/>
                    </w:r>
                    <w:r>
                      <w:rPr>
                        <w:color w:val="FFFFFF"/>
                      </w:rPr>
                      <w:t>/12</w:t>
                    </w:r>
                  </w:p>
                </w:txbxContent>
              </v:textbox>
              <w10:wrap type="square"/>
            </v:shape>
          </w:pict>
        </mc:Fallback>
      </mc:AlternateContent>
    </w:r>
    <w:r>
      <w:rPr>
        <w:noProof/>
      </w:rPr>
      <w:drawing>
        <wp:anchor distT="0" distB="0" distL="114300" distR="114300" simplePos="0" relativeHeight="251678720" behindDoc="1" locked="0" layoutInCell="1" allowOverlap="1" wp14:anchorId="563AB541" wp14:editId="25486245">
          <wp:simplePos x="0" y="0"/>
          <wp:positionH relativeFrom="column">
            <wp:posOffset>2303640</wp:posOffset>
          </wp:positionH>
          <wp:positionV relativeFrom="paragraph">
            <wp:posOffset>-132840</wp:posOffset>
          </wp:positionV>
          <wp:extent cx="4535640" cy="1004040"/>
          <wp:effectExtent l="0" t="0" r="0" b="5610"/>
          <wp:wrapNone/>
          <wp:docPr id="3" name="obrázky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40005"/>
                  <a:stretch>
                    <a:fillRect/>
                  </a:stretch>
                </pic:blipFill>
                <pic:spPr>
                  <a:xfrm>
                    <a:off x="0" y="0"/>
                    <a:ext cx="4535640" cy="1004040"/>
                  </a:xfrm>
                  <a:prstGeom prst="rect">
                    <a:avLst/>
                  </a:prstGeom>
                </pic:spPr>
              </pic:pic>
            </a:graphicData>
          </a:graphic>
        </wp:anchor>
      </w:drawing>
    </w:r>
    <w:r>
      <w:t>verze k </w:t>
    </w:r>
    <w:r w:rsidR="000552D9">
      <w:t>2</w:t>
    </w:r>
    <w:r>
      <w:t>. 6.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9E3" w:rsidRDefault="008149E3">
      <w:r>
        <w:rPr>
          <w:color w:val="000000"/>
        </w:rPr>
        <w:separator/>
      </w:r>
    </w:p>
  </w:footnote>
  <w:footnote w:type="continuationSeparator" w:id="0">
    <w:p w:rsidR="008149E3" w:rsidRDefault="008149E3">
      <w:r>
        <w:continuationSeparator/>
      </w:r>
    </w:p>
  </w:footnote>
  <w:footnote w:id="1">
    <w:p w:rsidR="008149E3" w:rsidRPr="001C087D" w:rsidRDefault="008149E3">
      <w:pPr>
        <w:pStyle w:val="Textpoznpodarou"/>
        <w:rPr>
          <w:rFonts w:ascii="Arial" w:hAnsi="Arial" w:cs="Arial"/>
          <w:sz w:val="18"/>
          <w:szCs w:val="18"/>
        </w:rPr>
      </w:pPr>
      <w:r w:rsidRPr="001C087D">
        <w:rPr>
          <w:rStyle w:val="Znakapoznpodarou"/>
          <w:rFonts w:ascii="Arial" w:hAnsi="Arial" w:cs="Arial"/>
          <w:sz w:val="18"/>
          <w:szCs w:val="18"/>
        </w:rPr>
        <w:footnoteRef/>
      </w:r>
      <w:r w:rsidRPr="001C087D">
        <w:rPr>
          <w:rFonts w:ascii="Arial" w:hAnsi="Arial" w:cs="Arial"/>
          <w:sz w:val="18"/>
          <w:szCs w:val="18"/>
        </w:rPr>
        <w:t xml:space="preserve"> Snížené odvody se vztahují na částky dotace použité na financování předmětné zakázky.</w:t>
      </w:r>
    </w:p>
  </w:footnote>
  <w:footnote w:id="2">
    <w:p w:rsidR="008149E3" w:rsidRPr="00695517" w:rsidRDefault="008149E3" w:rsidP="00695517">
      <w:pPr>
        <w:pStyle w:val="Textvysvtlivek"/>
        <w:spacing w:before="0"/>
        <w:rPr>
          <w:rFonts w:ascii="Arial" w:hAnsi="Arial" w:cs="Arial"/>
        </w:rPr>
      </w:pPr>
      <w:r w:rsidRPr="008149E3">
        <w:rPr>
          <w:rStyle w:val="Znakapoznpodarou"/>
          <w:rFonts w:ascii="Arial" w:hAnsi="Arial" w:cs="Arial"/>
        </w:rPr>
        <w:footnoteRef/>
      </w:r>
      <w:r>
        <w:rPr>
          <w:rFonts w:ascii="Arial" w:hAnsi="Arial" w:cs="Arial"/>
          <w:sz w:val="18"/>
          <w:szCs w:val="18"/>
        </w:rPr>
        <w:t xml:space="preserve"> </w:t>
      </w:r>
      <w:r w:rsidRPr="004E7233">
        <w:rPr>
          <w:rFonts w:ascii="Arial" w:hAnsi="Arial" w:cs="Arial"/>
          <w:sz w:val="18"/>
          <w:szCs w:val="18"/>
        </w:rPr>
        <w:t>U zakázek, na které se plně nebo částečně nevztahují směrnice, je třeba určit existenci nepochybného přeshraničního významu nebo porušení vnitrostátních právních předpisů o zadávání veřejných zakázek. V tomto kontextu viz oddíl 1.2.2 těchto pokynů. Pokud má zakázka nepochybný přeshraniční význam nebo došlo k porušení vnitrostátního práva, je třeba určit, jaké úrovně zveřejnění mělo být v tomto případě použito. V této souvislosti, jak je uvedeno v oddíle 2.1.1 interpr</w:t>
      </w:r>
      <w:r w:rsidRPr="004E7233">
        <w:rPr>
          <w:rFonts w:ascii="Arial" w:hAnsi="Arial" w:cs="Arial"/>
          <w:sz w:val="18"/>
          <w:szCs w:val="18"/>
        </w:rPr>
        <w:t>e</w:t>
      </w:r>
      <w:r w:rsidRPr="004E7233">
        <w:rPr>
          <w:rFonts w:ascii="Arial" w:hAnsi="Arial" w:cs="Arial"/>
          <w:sz w:val="18"/>
          <w:szCs w:val="18"/>
        </w:rPr>
        <w:t>tačního sdělení Komise č. 2006/C 179/02, povinnost transparentnosti znamená, že podnik nacházející se na území jin</w:t>
      </w:r>
      <w:r w:rsidRPr="004E7233">
        <w:rPr>
          <w:rFonts w:ascii="Arial" w:hAnsi="Arial" w:cs="Arial"/>
          <w:sz w:val="18"/>
          <w:szCs w:val="18"/>
        </w:rPr>
        <w:t>é</w:t>
      </w:r>
      <w:r w:rsidRPr="004E7233">
        <w:rPr>
          <w:rFonts w:ascii="Arial" w:hAnsi="Arial" w:cs="Arial"/>
          <w:sz w:val="18"/>
          <w:szCs w:val="18"/>
        </w:rPr>
        <w:t>ho členského státu musí mít přístup k příslušným informacím týkajícím se zakázky ještě před tím, než bude udělena, tak aby tento podnik mohl podat nabídku nebo dát najevo svůj zájem o získání této zakázky, pokud by si to přál. V praxi to znamená, že buď bylo oznámení o zakázce zveřejněno na vnitrostátní úrovni (podle vnitrostátních právních předpisů nebo pravidel v tomto ohledu), nebo byly dodrženy základní normy pro vyhlašování zakázek. Další podrobnosti o těchto normách obsahuje oddíl 2.1 uvedeného interpretačního sdělení Komise.</w:t>
      </w:r>
    </w:p>
  </w:footnote>
  <w:footnote w:id="3">
    <w:p w:rsidR="008149E3" w:rsidRPr="00695517" w:rsidRDefault="008149E3" w:rsidP="00695517">
      <w:pPr>
        <w:pStyle w:val="Textvysvtlivek"/>
        <w:spacing w:before="0"/>
        <w:rPr>
          <w:rFonts w:ascii="Arial" w:hAnsi="Arial" w:cs="Arial"/>
          <w:sz w:val="18"/>
          <w:szCs w:val="18"/>
        </w:rPr>
      </w:pPr>
      <w:r>
        <w:rPr>
          <w:rStyle w:val="Znakapoznpodarou"/>
        </w:rPr>
        <w:footnoteRef/>
      </w:r>
      <w:r>
        <w:t xml:space="preserve"> </w:t>
      </w:r>
      <w:r w:rsidRPr="004E7233">
        <w:rPr>
          <w:rFonts w:ascii="Arial" w:hAnsi="Arial" w:cs="Arial"/>
          <w:sz w:val="18"/>
          <w:szCs w:val="18"/>
        </w:rPr>
        <w:t>Tyto lhůty se vztahují na omezená řízení a vyjednávací řízení se zveřejněním oznámení o zakázce.</w:t>
      </w:r>
    </w:p>
  </w:footnote>
  <w:footnote w:id="4">
    <w:p w:rsidR="008149E3" w:rsidRPr="004E7233" w:rsidRDefault="008149E3" w:rsidP="008149E3">
      <w:pPr>
        <w:pStyle w:val="Textvysvtlivek"/>
        <w:spacing w:before="0" w:after="0"/>
        <w:rPr>
          <w:rFonts w:ascii="Arial" w:hAnsi="Arial" w:cs="Arial"/>
          <w:sz w:val="18"/>
          <w:szCs w:val="18"/>
        </w:rPr>
      </w:pPr>
      <w:r w:rsidRPr="008149E3">
        <w:rPr>
          <w:rStyle w:val="Znakapoznpodarou"/>
          <w:rFonts w:ascii="Arial" w:hAnsi="Arial" w:cs="Arial"/>
        </w:rPr>
        <w:footnoteRef/>
      </w:r>
      <w:r w:rsidRPr="008149E3">
        <w:rPr>
          <w:rFonts w:ascii="Arial" w:hAnsi="Arial" w:cs="Arial"/>
        </w:rPr>
        <w:t xml:space="preserve"> </w:t>
      </w:r>
      <w:r w:rsidRPr="004E7233">
        <w:rPr>
          <w:rFonts w:ascii="Arial" w:hAnsi="Arial" w:cs="Arial"/>
          <w:sz w:val="18"/>
          <w:szCs w:val="18"/>
        </w:rPr>
        <w:t xml:space="preserve">U změn zakázky po jejím udělení je možné využít omezené míry pružnosti, a to i v případě, kdy tato možnost ani příslušná podrobná prováděcí pravidla nejsou stanoveny jasným a přesným způsobem v oznámení o zakázce nebo v zadávací dokumentaci (viz věc C-496/99, </w:t>
      </w:r>
      <w:r w:rsidRPr="004E7233">
        <w:rPr>
          <w:rFonts w:ascii="Arial" w:hAnsi="Arial" w:cs="Arial"/>
          <w:i/>
          <w:sz w:val="18"/>
          <w:szCs w:val="18"/>
        </w:rPr>
        <w:t>Succhi di frutta</w:t>
      </w:r>
      <w:r w:rsidRPr="004E7233">
        <w:rPr>
          <w:rFonts w:ascii="Arial" w:hAnsi="Arial" w:cs="Arial"/>
          <w:sz w:val="18"/>
          <w:szCs w:val="18"/>
        </w:rPr>
        <w:t>, bod 118). Pokud tato možnost není v zadávací dokumentaci upravena, jsou změny zakázky přijatelné, pokud nejsou podstatné. Změna se považuje za podstatnou, pokud:</w:t>
      </w:r>
    </w:p>
    <w:p w:rsidR="008149E3" w:rsidRPr="004E7233" w:rsidRDefault="008149E3" w:rsidP="008149E3">
      <w:pPr>
        <w:pStyle w:val="Odstavecseseznamem"/>
        <w:widowControl/>
        <w:numPr>
          <w:ilvl w:val="0"/>
          <w:numId w:val="42"/>
        </w:numPr>
        <w:autoSpaceDN/>
        <w:jc w:val="both"/>
        <w:textAlignment w:val="auto"/>
        <w:rPr>
          <w:rFonts w:ascii="Arial" w:hAnsi="Arial" w:cs="Arial"/>
          <w:sz w:val="18"/>
          <w:szCs w:val="18"/>
        </w:rPr>
      </w:pPr>
      <w:r w:rsidRPr="004E7233">
        <w:rPr>
          <w:rFonts w:ascii="Arial" w:hAnsi="Arial" w:cs="Arial"/>
          <w:sz w:val="18"/>
          <w:szCs w:val="18"/>
        </w:rPr>
        <w:t>zadavatel zavádí podmínky, které – kdyby byly součástí původního zadávacího řízení – by umožnily přijetí jiných uchazečů než těch, kteří byli původně přijati;</w:t>
      </w:r>
    </w:p>
    <w:p w:rsidR="008149E3" w:rsidRPr="004E7233" w:rsidRDefault="008149E3" w:rsidP="008149E3">
      <w:pPr>
        <w:pStyle w:val="Odstavecseseznamem"/>
        <w:widowControl/>
        <w:numPr>
          <w:ilvl w:val="0"/>
          <w:numId w:val="42"/>
        </w:numPr>
        <w:autoSpaceDN/>
        <w:jc w:val="both"/>
        <w:textAlignment w:val="auto"/>
        <w:rPr>
          <w:rFonts w:ascii="Arial" w:hAnsi="Arial" w:cs="Arial"/>
          <w:sz w:val="18"/>
          <w:szCs w:val="18"/>
        </w:rPr>
      </w:pPr>
      <w:r w:rsidRPr="004E7233">
        <w:rPr>
          <w:rFonts w:ascii="Arial" w:hAnsi="Arial" w:cs="Arial"/>
          <w:sz w:val="18"/>
          <w:szCs w:val="18"/>
        </w:rPr>
        <w:t>změna umožňuje zadat zakázku jinému uchazeči než tomu, který byl přijat původně;</w:t>
      </w:r>
    </w:p>
    <w:p w:rsidR="008149E3" w:rsidRPr="004E7233" w:rsidRDefault="008149E3" w:rsidP="008149E3">
      <w:pPr>
        <w:pStyle w:val="Odstavecseseznamem"/>
        <w:widowControl/>
        <w:numPr>
          <w:ilvl w:val="0"/>
          <w:numId w:val="42"/>
        </w:numPr>
        <w:autoSpaceDN/>
        <w:jc w:val="both"/>
        <w:textAlignment w:val="auto"/>
        <w:rPr>
          <w:rFonts w:ascii="Arial" w:hAnsi="Arial" w:cs="Arial"/>
          <w:sz w:val="18"/>
          <w:szCs w:val="18"/>
        </w:rPr>
      </w:pPr>
      <w:r w:rsidRPr="004E7233">
        <w:rPr>
          <w:rFonts w:ascii="Arial" w:hAnsi="Arial" w:cs="Arial"/>
          <w:sz w:val="18"/>
          <w:szCs w:val="18"/>
        </w:rPr>
        <w:t>zadavatel rozšíří rozsah zakázky na práce/služby/dodávky, které v ní původně nebyly zahrnuty;</w:t>
      </w:r>
    </w:p>
    <w:p w:rsidR="008149E3" w:rsidRDefault="008149E3" w:rsidP="008149E3">
      <w:pPr>
        <w:pStyle w:val="Odstavecseseznamem"/>
        <w:widowControl/>
        <w:numPr>
          <w:ilvl w:val="0"/>
          <w:numId w:val="42"/>
        </w:numPr>
        <w:autoSpaceDN/>
        <w:jc w:val="both"/>
        <w:textAlignment w:val="auto"/>
      </w:pPr>
      <w:r w:rsidRPr="008149E3">
        <w:rPr>
          <w:rFonts w:ascii="Arial" w:hAnsi="Arial" w:cs="Arial"/>
          <w:sz w:val="18"/>
          <w:szCs w:val="18"/>
        </w:rPr>
        <w:t>změna má za následek změnu ekonomické rovnováhy ve prospěch dodavatele způsobem, který není v původní zakázce uveden.</w:t>
      </w:r>
    </w:p>
  </w:footnote>
  <w:footnote w:id="5">
    <w:p w:rsidR="008149E3" w:rsidRPr="00695517" w:rsidRDefault="008149E3" w:rsidP="00695517">
      <w:pPr>
        <w:pStyle w:val="Textvysvtlivek"/>
        <w:spacing w:before="0"/>
        <w:rPr>
          <w:rFonts w:ascii="Arial" w:hAnsi="Arial" w:cs="Arial"/>
        </w:rPr>
      </w:pPr>
      <w:r w:rsidRPr="008149E3">
        <w:rPr>
          <w:rStyle w:val="Znakapoznpodarou"/>
          <w:rFonts w:ascii="Arial" w:hAnsi="Arial" w:cs="Arial"/>
        </w:rPr>
        <w:footnoteRef/>
      </w:r>
      <w:r w:rsidRPr="008149E3">
        <w:rPr>
          <w:rFonts w:ascii="Arial" w:hAnsi="Arial" w:cs="Arial"/>
        </w:rPr>
        <w:t xml:space="preserve"> </w:t>
      </w:r>
      <w:r w:rsidRPr="004E7233">
        <w:rPr>
          <w:rFonts w:ascii="Arial" w:hAnsi="Arial" w:cs="Arial"/>
          <w:sz w:val="18"/>
          <w:szCs w:val="18"/>
        </w:rPr>
        <w:t xml:space="preserve">V současné době nepovažuje Soudní dvůr za podstatnou změnu původní ceny pouze její snížení o 1,47 a 2,94 % (viz věc C-454/06, </w:t>
      </w:r>
      <w:r w:rsidRPr="004E7233">
        <w:rPr>
          <w:rFonts w:ascii="Arial" w:hAnsi="Arial" w:cs="Arial"/>
          <w:i/>
          <w:sz w:val="18"/>
          <w:szCs w:val="18"/>
        </w:rPr>
        <w:t>Pressetext</w:t>
      </w:r>
      <w:r w:rsidRPr="004E7233">
        <w:rPr>
          <w:rFonts w:ascii="Arial" w:hAnsi="Arial" w:cs="Arial"/>
          <w:sz w:val="18"/>
          <w:szCs w:val="18"/>
        </w:rPr>
        <w:t>, body 61 a 62). Ve věcech T-540/10 a T-235/11 Tribunál přijal finanční opravy kvůli změnám nižším než 2 % původní ceny.</w:t>
      </w:r>
    </w:p>
  </w:footnote>
  <w:footnote w:id="6">
    <w:p w:rsidR="008149E3" w:rsidRDefault="008149E3" w:rsidP="008149E3">
      <w:pPr>
        <w:pStyle w:val="Textvysvtlivek"/>
        <w:spacing w:before="0" w:after="0"/>
      </w:pPr>
      <w:r>
        <w:rPr>
          <w:rStyle w:val="Znakapoznpodarou"/>
        </w:rPr>
        <w:footnoteRef/>
      </w:r>
      <w:r>
        <w:t xml:space="preserve"> </w:t>
      </w:r>
      <w:r w:rsidRPr="004E7233">
        <w:rPr>
          <w:rFonts w:ascii="Arial" w:hAnsi="Arial" w:cs="Arial"/>
          <w:sz w:val="18"/>
          <w:szCs w:val="18"/>
        </w:rPr>
        <w:t>Pojem „nepředvídané okolnosti“ by měl být vykládán s ohledem na to, co by měl pečlivý veřejný zadavatel předvídat (např. nové požadavky vyplývající z přijetí nových předpisů EU nebo vnitrostátních právních předpisů nebo technických podmínek, které nebylo možné předvídat, a to i přes technické šetření v rámci vypracovávání návrhu provedené v souladu se současným stavem). Dodatečné práce / služby / dodávky způsobené nedostatečnou přípravou nabídkového řízení / projektu nelze považovat za „nepředvídané okolnosti“ – viz věci T-540/10 a T-235/11 (uvedené výše).</w:t>
      </w:r>
    </w:p>
  </w:footnote>
  <w:footnote w:id="7">
    <w:p w:rsidR="008149E3" w:rsidRPr="00695517" w:rsidRDefault="008149E3" w:rsidP="00695517">
      <w:pPr>
        <w:pStyle w:val="Textvysvtlivek"/>
        <w:spacing w:before="0"/>
        <w:rPr>
          <w:rFonts w:ascii="Arial" w:hAnsi="Arial" w:cs="Arial"/>
          <w:sz w:val="18"/>
          <w:szCs w:val="18"/>
        </w:rPr>
      </w:pPr>
      <w:r>
        <w:rPr>
          <w:rStyle w:val="Znakapoznpodarou"/>
        </w:rPr>
        <w:footnoteRef/>
      </w:r>
      <w:r>
        <w:t xml:space="preserve"> </w:t>
      </w:r>
      <w:r w:rsidRPr="004E7233">
        <w:rPr>
          <w:rFonts w:ascii="Arial" w:hAnsi="Arial" w:cs="Arial"/>
          <w:sz w:val="18"/>
          <w:szCs w:val="18"/>
        </w:rPr>
        <w:t xml:space="preserve">Ve směrnici 2004/17/ES není uveden žádný limit. Pro výpočet 50% prahové hodnoty zadavatel zohlední dodatečné práce/služby. Hodnota těchto dodatečných prací/služeb nemůže být kompenzována hodnotou zrušených prací/služeb. Částka za zrušené stavební práce/služby nemá žádný vliv na výpočet 50% prahové hodnoty. </w:t>
      </w:r>
    </w:p>
  </w:footnote>
  <w:footnote w:id="8">
    <w:p w:rsidR="008149E3" w:rsidRPr="00100DA5" w:rsidRDefault="008149E3" w:rsidP="005B6221">
      <w:pPr>
        <w:pStyle w:val="Standard"/>
        <w:autoSpaceDE w:val="0"/>
        <w:ind w:left="227" w:hanging="227"/>
        <w:rPr>
          <w:rFonts w:eastAsia="Calibri" w:cs="Arial"/>
          <w:color w:val="000000"/>
          <w:sz w:val="18"/>
          <w:szCs w:val="18"/>
        </w:rPr>
      </w:pPr>
      <w:r w:rsidRPr="005B6221">
        <w:rPr>
          <w:rStyle w:val="Znakapoznpodarou"/>
          <w:rFonts w:cs="Arial"/>
        </w:rPr>
        <w:footnoteRef/>
      </w:r>
      <w:r w:rsidRPr="00100DA5">
        <w:rPr>
          <w:rFonts w:eastAsia="Calibri" w:cs="Arial"/>
          <w:color w:val="000000"/>
          <w:sz w:val="18"/>
          <w:szCs w:val="18"/>
        </w:rPr>
        <w:t xml:space="preserve"> Dotací se rozumí ta část způsobilých výdajů, na které byly poskytnuty finanční prostředky z rozpočtu ŘO (např. 92,5 %)</w:t>
      </w:r>
      <w:r>
        <w:rPr>
          <w:rFonts w:eastAsia="Calibri" w:cs="Arial"/>
          <w:color w:val="000000"/>
          <w:sz w:val="18"/>
          <w:szCs w:val="18"/>
        </w:rPr>
        <w:t>.</w:t>
      </w:r>
    </w:p>
  </w:footnote>
  <w:footnote w:id="9">
    <w:p w:rsidR="008149E3" w:rsidRPr="00100DA5" w:rsidRDefault="008149E3" w:rsidP="005B6221">
      <w:pPr>
        <w:pStyle w:val="Standard"/>
        <w:autoSpaceDE w:val="0"/>
        <w:rPr>
          <w:rFonts w:cs="Arial"/>
          <w:sz w:val="18"/>
          <w:szCs w:val="18"/>
        </w:rPr>
      </w:pPr>
      <w:r w:rsidRPr="005B6221">
        <w:rPr>
          <w:rStyle w:val="Znakapoznpodarou"/>
          <w:rFonts w:cs="Arial"/>
        </w:rPr>
        <w:footnoteRef/>
      </w:r>
      <w:r w:rsidRPr="00100DA5">
        <w:rPr>
          <w:rFonts w:cs="Arial"/>
          <w:sz w:val="18"/>
          <w:szCs w:val="18"/>
        </w:rPr>
        <w:t xml:space="preserve"> </w:t>
      </w:r>
      <w:r>
        <w:rPr>
          <w:rFonts w:cs="Arial"/>
          <w:sz w:val="18"/>
          <w:szCs w:val="18"/>
        </w:rPr>
        <w:t xml:space="preserve"> </w:t>
      </w:r>
      <w:r w:rsidRPr="00100DA5">
        <w:rPr>
          <w:rFonts w:cs="Arial"/>
          <w:sz w:val="18"/>
          <w:szCs w:val="18"/>
        </w:rPr>
        <w:t xml:space="preserve">Hodnota způsobilých výdajů hrazených z dotace </w:t>
      </w:r>
      <w:r w:rsidRPr="00100DA5">
        <w:rPr>
          <w:rFonts w:eastAsia="Calibri" w:cs="Arial"/>
          <w:color w:val="000000"/>
          <w:sz w:val="18"/>
          <w:szCs w:val="18"/>
        </w:rPr>
        <w:t>přesahující</w:t>
      </w:r>
      <w:r w:rsidRPr="00100DA5">
        <w:rPr>
          <w:rFonts w:cs="Arial"/>
          <w:sz w:val="18"/>
          <w:szCs w:val="18"/>
        </w:rPr>
        <w:t xml:space="preserve"> částku 10.000 Kč</w:t>
      </w:r>
      <w:r>
        <w:rPr>
          <w:rFonts w:cs="Arial"/>
          <w:sz w:val="18"/>
          <w:szCs w:val="18"/>
        </w:rPr>
        <w:t>.</w:t>
      </w:r>
    </w:p>
  </w:footnote>
  <w:footnote w:id="10">
    <w:p w:rsidR="008149E3" w:rsidRPr="00100DA5" w:rsidRDefault="008149E3" w:rsidP="005B6221">
      <w:pPr>
        <w:pStyle w:val="Standard"/>
        <w:autoSpaceDE w:val="0"/>
        <w:jc w:val="left"/>
        <w:rPr>
          <w:rFonts w:cs="Arial"/>
          <w:sz w:val="18"/>
          <w:szCs w:val="18"/>
        </w:rPr>
      </w:pPr>
      <w:r w:rsidRPr="005B6221">
        <w:rPr>
          <w:rStyle w:val="Znakapoznpodarou"/>
          <w:rFonts w:cs="Arial"/>
        </w:rPr>
        <w:footnoteRef/>
      </w:r>
      <w:r w:rsidRPr="00100DA5">
        <w:rPr>
          <w:rFonts w:cs="Arial"/>
          <w:sz w:val="18"/>
          <w:szCs w:val="18"/>
        </w:rPr>
        <w:t xml:space="preserve"> </w:t>
      </w:r>
      <w:r>
        <w:rPr>
          <w:rFonts w:cs="Arial"/>
          <w:sz w:val="18"/>
          <w:szCs w:val="18"/>
        </w:rPr>
        <w:t xml:space="preserve"> </w:t>
      </w:r>
      <w:r w:rsidRPr="00100DA5">
        <w:rPr>
          <w:rFonts w:cs="Arial"/>
          <w:sz w:val="18"/>
          <w:szCs w:val="18"/>
        </w:rPr>
        <w:t>Bez souhlasného stanoviska ke změně ze strany řídícího orgánu</w:t>
      </w:r>
      <w:r>
        <w:rPr>
          <w:rFonts w:cs="Arial"/>
          <w:sz w:val="18"/>
          <w:szCs w:val="18"/>
        </w:rPr>
        <w:t>.</w:t>
      </w:r>
    </w:p>
  </w:footnote>
  <w:footnote w:id="11">
    <w:p w:rsidR="008149E3" w:rsidRPr="005B6221" w:rsidRDefault="008149E3">
      <w:pPr>
        <w:pStyle w:val="Textpoznpodarou"/>
        <w:rPr>
          <w:rFonts w:ascii="Arial" w:hAnsi="Arial" w:cs="Arial"/>
          <w:sz w:val="18"/>
          <w:szCs w:val="18"/>
        </w:rPr>
      </w:pPr>
      <w:r>
        <w:rPr>
          <w:rStyle w:val="Znakapoznpodarou"/>
        </w:rPr>
        <w:footnoteRef/>
      </w:r>
      <w:r>
        <w:t xml:space="preserve">  </w:t>
      </w:r>
      <w:r>
        <w:rPr>
          <w:rFonts w:ascii="Arial" w:hAnsi="Arial" w:cs="Arial"/>
          <w:sz w:val="18"/>
          <w:szCs w:val="18"/>
        </w:rPr>
        <w:t>Maximálně však do výše 250.000 Kč.</w:t>
      </w:r>
    </w:p>
  </w:footnote>
  <w:footnote w:id="12">
    <w:p w:rsidR="008149E3" w:rsidRDefault="008149E3">
      <w:pPr>
        <w:pStyle w:val="Textpoznpodarou"/>
      </w:pPr>
      <w:r>
        <w:rPr>
          <w:rStyle w:val="Znakapoznpodarou"/>
        </w:rPr>
        <w:footnoteRef/>
      </w:r>
      <w:r>
        <w:t xml:space="preserve"> </w:t>
      </w:r>
      <w:r w:rsidRPr="001E55F8">
        <w:rPr>
          <w:rFonts w:ascii="Arial" w:hAnsi="Arial" w:cs="Arial"/>
          <w:sz w:val="18"/>
          <w:szCs w:val="18"/>
        </w:rPr>
        <w:t>Podle vzorce: x = 90 – b, kdy x = sankce, b = % plnění indikátoru</w:t>
      </w:r>
      <w:r>
        <w:rPr>
          <w:rFonts w:ascii="Arial" w:hAnsi="Arial" w:cs="Arial"/>
          <w:sz w:val="18"/>
          <w:szCs w:val="18"/>
        </w:rPr>
        <w:t>.</w:t>
      </w:r>
    </w:p>
  </w:footnote>
  <w:footnote w:id="13">
    <w:p w:rsidR="008149E3" w:rsidRPr="00BA075B" w:rsidRDefault="008149E3" w:rsidP="00BA075B">
      <w:pPr>
        <w:pStyle w:val="Textpoznpodarou"/>
        <w:ind w:left="198" w:hanging="198"/>
        <w:jc w:val="both"/>
        <w:rPr>
          <w:rFonts w:ascii="Arial" w:hAnsi="Arial" w:cs="Arial"/>
        </w:rPr>
      </w:pPr>
      <w:r w:rsidRPr="00BA075B">
        <w:rPr>
          <w:rStyle w:val="Znakapoznpodarou"/>
          <w:rFonts w:ascii="Arial" w:hAnsi="Arial" w:cs="Arial"/>
        </w:rPr>
        <w:footnoteRef/>
      </w:r>
      <w:r>
        <w:t xml:space="preserve"> </w:t>
      </w:r>
      <w:r w:rsidRPr="00BA075B">
        <w:rPr>
          <w:rFonts w:ascii="Arial" w:hAnsi="Arial" w:cs="Arial"/>
          <w:sz w:val="18"/>
          <w:szCs w:val="18"/>
        </w:rPr>
        <w:t>Podle vzorce: x = b/a . c, kdy a = stanovená doba trvání podmínky, b = skutečná doba neplnění podmínky, c = částka dotace</w:t>
      </w:r>
      <w:r>
        <w:rPr>
          <w:rFonts w:ascii="Arial" w:hAnsi="Arial" w:cs="Arial"/>
          <w:sz w:val="18"/>
          <w:szCs w:val="18"/>
        </w:rPr>
        <w:t xml:space="preserve">. Doba trvání podmínky a doba </w:t>
      </w:r>
      <w:r w:rsidRPr="006C6F44">
        <w:rPr>
          <w:rFonts w:ascii="Arial" w:hAnsi="Arial" w:cs="Arial"/>
          <w:b/>
          <w:sz w:val="18"/>
          <w:szCs w:val="18"/>
        </w:rPr>
        <w:t>neplnění</w:t>
      </w:r>
      <w:r>
        <w:rPr>
          <w:rFonts w:ascii="Arial" w:hAnsi="Arial" w:cs="Arial"/>
          <w:sz w:val="18"/>
          <w:szCs w:val="18"/>
        </w:rPr>
        <w:t xml:space="preserve"> podmínky je počítána ve dnech.</w:t>
      </w:r>
    </w:p>
  </w:footnote>
  <w:footnote w:id="14">
    <w:p w:rsidR="008149E3" w:rsidRDefault="008149E3">
      <w:pPr>
        <w:pStyle w:val="Textpoznpodarou"/>
      </w:pPr>
      <w:r w:rsidRPr="00912DF6">
        <w:rPr>
          <w:rStyle w:val="Znakapoznpodarou"/>
          <w:rFonts w:ascii="Arial" w:hAnsi="Arial" w:cs="Arial"/>
        </w:rPr>
        <w:footnoteRef/>
      </w:r>
      <w:r w:rsidRPr="00912DF6">
        <w:rPr>
          <w:rFonts w:ascii="Arial" w:hAnsi="Arial" w:cs="Arial"/>
        </w:rPr>
        <w:t xml:space="preserve"> </w:t>
      </w:r>
      <w:r w:rsidRPr="001E55F8">
        <w:rPr>
          <w:rFonts w:ascii="Arial" w:hAnsi="Arial" w:cs="Arial"/>
        </w:rPr>
        <w:t>Negativní vliv na udržitelný rozvoj/rovné příležitosti je důvodem pro odstoupení od Smlouvy.</w:t>
      </w:r>
    </w:p>
  </w:footnote>
  <w:footnote w:id="15">
    <w:p w:rsidR="008149E3" w:rsidRPr="00912DF6" w:rsidRDefault="008149E3">
      <w:pPr>
        <w:pStyle w:val="Textpoznpodarou"/>
        <w:rPr>
          <w:rFonts w:ascii="Arial" w:hAnsi="Arial" w:cs="Arial"/>
        </w:rPr>
      </w:pPr>
      <w:r w:rsidRPr="00912DF6">
        <w:rPr>
          <w:rStyle w:val="Znakapoznpodarou"/>
          <w:rFonts w:ascii="Arial" w:hAnsi="Arial" w:cs="Arial"/>
        </w:rPr>
        <w:footnoteRef/>
      </w:r>
      <w:r w:rsidRPr="00912DF6">
        <w:rPr>
          <w:rFonts w:ascii="Arial" w:hAnsi="Arial" w:cs="Arial"/>
        </w:rPr>
        <w:t xml:space="preserve"> Uplatní se pro projekty, které se zavázaly k naplnění dvou a více kritérií. </w:t>
      </w:r>
    </w:p>
  </w:footnote>
  <w:footnote w:id="16">
    <w:p w:rsidR="008149E3" w:rsidRPr="00100DA5" w:rsidRDefault="008149E3" w:rsidP="00BA075B">
      <w:pPr>
        <w:pStyle w:val="Standard"/>
        <w:autoSpaceDE w:val="0"/>
        <w:rPr>
          <w:rFonts w:eastAsia="Calibri" w:cs="Calibri"/>
          <w:color w:val="000000"/>
          <w:sz w:val="18"/>
          <w:szCs w:val="18"/>
        </w:rPr>
      </w:pPr>
      <w:r w:rsidRPr="00BA075B">
        <w:rPr>
          <w:rStyle w:val="Znakapoznpodarou"/>
        </w:rPr>
        <w:footnoteRef/>
      </w:r>
      <w:r w:rsidRPr="00BA075B">
        <w:rPr>
          <w:rFonts w:eastAsia="Calibri" w:cs="Calibri"/>
          <w:color w:val="000000"/>
        </w:rPr>
        <w:t xml:space="preserve"> </w:t>
      </w:r>
      <w:r w:rsidRPr="00100DA5">
        <w:rPr>
          <w:rFonts w:eastAsia="Calibri" w:cs="Calibri"/>
          <w:color w:val="000000"/>
          <w:sz w:val="18"/>
          <w:szCs w:val="18"/>
        </w:rPr>
        <w:t>Uplatní se až v případě, že nebude napraveno nebo stav nelze žádným způsobem napravit</w:t>
      </w:r>
      <w:r>
        <w:rPr>
          <w:rFonts w:eastAsia="Calibri" w:cs="Calibri"/>
          <w:color w:val="000000"/>
          <w:sz w:val="18"/>
          <w:szCs w:val="18"/>
        </w:rPr>
        <w:t>.</w:t>
      </w:r>
    </w:p>
  </w:footnote>
  <w:footnote w:id="17">
    <w:p w:rsidR="008149E3" w:rsidRPr="000F5676" w:rsidRDefault="008149E3">
      <w:pPr>
        <w:pStyle w:val="Textpoznpodarou"/>
        <w:rPr>
          <w:rFonts w:ascii="Arial" w:hAnsi="Arial" w:cs="Arial"/>
          <w:sz w:val="18"/>
          <w:szCs w:val="18"/>
        </w:rPr>
      </w:pPr>
      <w:r w:rsidRPr="000F5676">
        <w:rPr>
          <w:rStyle w:val="Znakapoznpodarou"/>
          <w:rFonts w:ascii="Arial" w:hAnsi="Arial" w:cs="Arial"/>
        </w:rPr>
        <w:footnoteRef/>
      </w:r>
      <w:r>
        <w:t xml:space="preserve"> </w:t>
      </w:r>
      <w:r w:rsidRPr="000F5676">
        <w:rPr>
          <w:rFonts w:ascii="Arial" w:hAnsi="Arial" w:cs="Arial"/>
          <w:sz w:val="18"/>
          <w:szCs w:val="18"/>
        </w:rPr>
        <w:t>Maximálně však do výše 250.000 Kč u MZ a maximálně do výše 100.000 Kč u MH.</w:t>
      </w:r>
    </w:p>
  </w:footnote>
  <w:footnote w:id="18">
    <w:p w:rsidR="008149E3" w:rsidRPr="00A96A78" w:rsidRDefault="008149E3" w:rsidP="000F5676">
      <w:pPr>
        <w:pStyle w:val="Textpoznpodarou"/>
        <w:ind w:left="198" w:hanging="198"/>
        <w:rPr>
          <w:rFonts w:ascii="Arial" w:hAnsi="Arial" w:cs="Arial"/>
          <w:sz w:val="18"/>
          <w:szCs w:val="18"/>
        </w:rPr>
      </w:pPr>
      <w:r w:rsidRPr="000F5676">
        <w:rPr>
          <w:rStyle w:val="Znakapoznpodarou"/>
          <w:rFonts w:ascii="Arial" w:hAnsi="Arial" w:cs="Arial"/>
        </w:rPr>
        <w:footnoteRef/>
      </w:r>
      <w:r>
        <w:t xml:space="preserve"> </w:t>
      </w:r>
      <w:r>
        <w:rPr>
          <w:rFonts w:ascii="Arial" w:hAnsi="Arial" w:cs="Arial"/>
          <w:sz w:val="18"/>
          <w:szCs w:val="18"/>
        </w:rPr>
        <w:t>Uplatní se v případě, kdy příjemce nereaguje ani na 2. výzvu ORKP. V případě poslední MZ o udržitelnosti nejpozději do 1 roku od původního termínu pro její předložení.</w:t>
      </w:r>
    </w:p>
  </w:footnote>
  <w:footnote w:id="19">
    <w:p w:rsidR="008149E3" w:rsidRPr="003B0BC0" w:rsidRDefault="008149E3" w:rsidP="00A46E31">
      <w:pPr>
        <w:spacing w:after="40"/>
        <w:ind w:left="198" w:hanging="198"/>
        <w:jc w:val="both"/>
        <w:rPr>
          <w:rFonts w:ascii="Arial" w:hAnsi="Arial" w:cs="Arial"/>
          <w:sz w:val="18"/>
          <w:szCs w:val="18"/>
        </w:rPr>
      </w:pPr>
      <w:r w:rsidRPr="00A46E31">
        <w:rPr>
          <w:rStyle w:val="Znakapoznpodarou"/>
          <w:rFonts w:ascii="Arial" w:hAnsi="Arial" w:cs="Arial"/>
          <w:sz w:val="20"/>
          <w:szCs w:val="20"/>
        </w:rPr>
        <w:footnoteRef/>
      </w:r>
      <w:r w:rsidRPr="003B0BC0">
        <w:rPr>
          <w:rFonts w:ascii="Arial" w:hAnsi="Arial" w:cs="Arial"/>
          <w:sz w:val="18"/>
          <w:szCs w:val="18"/>
        </w:rPr>
        <w:t xml:space="preserve"> Tzn. všech výdajů přesahujících částku, která by byla vynaložena, pokud by příjemce dotace postupoval v souladu s principy hospodárnosti, účelnosti a efektivnosti.</w:t>
      </w:r>
    </w:p>
  </w:footnote>
  <w:footnote w:id="20">
    <w:p w:rsidR="008149E3" w:rsidRDefault="008149E3">
      <w:pPr>
        <w:pStyle w:val="Textpoznpodarou"/>
      </w:pPr>
      <w:r w:rsidRPr="00286BCC">
        <w:rPr>
          <w:rStyle w:val="Znakapoznpodarou"/>
          <w:rFonts w:ascii="Arial" w:hAnsi="Arial" w:cs="Arial"/>
        </w:rPr>
        <w:footnoteRef/>
      </w:r>
      <w:r w:rsidRPr="00286BCC">
        <w:rPr>
          <w:rFonts w:ascii="Arial" w:hAnsi="Arial" w:cs="Arial"/>
        </w:rPr>
        <w:t xml:space="preserve"> </w:t>
      </w:r>
      <w:r>
        <w:rPr>
          <w:rFonts w:ascii="Arial" w:hAnsi="Arial" w:cs="Arial"/>
          <w:sz w:val="18"/>
          <w:szCs w:val="18"/>
        </w:rPr>
        <w:t xml:space="preserve">Příklad výpočtu sníženého </w:t>
      </w:r>
      <w:r w:rsidRPr="007A517A">
        <w:rPr>
          <w:rFonts w:ascii="Arial" w:hAnsi="Arial" w:cs="Arial"/>
          <w:sz w:val="18"/>
          <w:szCs w:val="18"/>
        </w:rPr>
        <w:t>odvodu viz příloha č. 19 PŘN.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9E3" w:rsidRDefault="008149E3">
    <w:pPr>
      <w:pStyle w:val="Zhlav"/>
    </w:pPr>
    <w:r>
      <w:rPr>
        <w:noProof/>
      </w:rPr>
      <mc:AlternateContent>
        <mc:Choice Requires="wps">
          <w:drawing>
            <wp:anchor distT="0" distB="0" distL="114300" distR="114300" simplePos="0" relativeHeight="251683840" behindDoc="0" locked="0" layoutInCell="1" allowOverlap="1" wp14:anchorId="5E93B2BA" wp14:editId="633C770A">
              <wp:simplePos x="0" y="0"/>
              <wp:positionH relativeFrom="column">
                <wp:posOffset>152400</wp:posOffset>
              </wp:positionH>
              <wp:positionV relativeFrom="paragraph">
                <wp:posOffset>277495</wp:posOffset>
              </wp:positionV>
              <wp:extent cx="3599640" cy="274320"/>
              <wp:effectExtent l="0" t="0" r="0" b="0"/>
              <wp:wrapSquare wrapText="bothSides"/>
              <wp:docPr id="5" name="Rámec2"/>
              <wp:cNvGraphicFramePr/>
              <a:graphic xmlns:a="http://schemas.openxmlformats.org/drawingml/2006/main">
                <a:graphicData uri="http://schemas.microsoft.com/office/word/2010/wordprocessingShape">
                  <wps:wsp>
                    <wps:cNvSpPr txBox="1"/>
                    <wps:spPr>
                      <a:xfrm>
                        <a:off x="0" y="0"/>
                        <a:ext cx="3599640" cy="274320"/>
                      </a:xfrm>
                      <a:prstGeom prst="rect">
                        <a:avLst/>
                      </a:prstGeom>
                    </wps:spPr>
                    <wps:txbx>
                      <w:txbxContent>
                        <w:p w:rsidR="008149E3" w:rsidRDefault="008149E3" w:rsidP="001D67DB">
                          <w:pPr>
                            <w:pStyle w:val="Framecontents"/>
                            <w:spacing w:before="85"/>
                            <w:rPr>
                              <w:b/>
                              <w:bCs/>
                              <w:color w:val="FF0000"/>
                              <w:sz w:val="28"/>
                              <w:szCs w:val="28"/>
                            </w:rPr>
                          </w:pPr>
                          <w:r>
                            <w:rPr>
                              <w:b/>
                              <w:bCs/>
                              <w:color w:val="FF0000"/>
                              <w:sz w:val="28"/>
                              <w:szCs w:val="28"/>
                            </w:rPr>
                            <w:t>TABULKA SNÍŽENÝCH ODVODŮ</w:t>
                          </w:r>
                        </w:p>
                      </w:txbxContent>
                    </wps:txbx>
                    <wps:bodyPr vert="horz"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Rámec2" o:spid="_x0000_s1026" type="#_x0000_t202" style="position:absolute;left:0;text-align:left;margin-left:12pt;margin-top:21.85pt;width:283.45pt;height:21.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" filled="f" stroked="f">
              <v:textbox style="mso-fit-shape-to-text:t" inset="0,0,0,0">
                <w:txbxContent>
                  <w:p w:rsidR="00E54C26" w:rsidRDefault="00E54C26" w:rsidP="001D67DB">
                    <w:pPr>
                      <w:pStyle w:val="Framecontents"/>
                      <w:spacing w:before="85"/>
                      <w:rPr>
                        <w:b/>
                        <w:bCs/>
                        <w:color w:val="FF0000"/>
                        <w:sz w:val="28"/>
                        <w:szCs w:val="28"/>
                      </w:rPr>
                    </w:pPr>
                    <w:r>
                      <w:rPr>
                        <w:b/>
                        <w:bCs/>
                        <w:color w:val="FF0000"/>
                        <w:sz w:val="28"/>
                        <w:szCs w:val="28"/>
                      </w:rPr>
                      <w:t>TABULKA SNÍŽENÝCH ODVODŮ</w:t>
                    </w:r>
                  </w:p>
                </w:txbxContent>
              </v:textbox>
              <w10:wrap type="square"/>
            </v:shape>
          </w:pict>
        </mc:Fallback>
      </mc:AlternateContent>
    </w:r>
    <w:r>
      <w:rPr>
        <w:noProof/>
      </w:rPr>
      <w:drawing>
        <wp:anchor distT="0" distB="0" distL="114300" distR="114300" simplePos="0" relativeHeight="251681792" behindDoc="1" locked="0" layoutInCell="1" allowOverlap="1" wp14:anchorId="21AFA2EF" wp14:editId="6A0A7EAB">
          <wp:simplePos x="0" y="0"/>
          <wp:positionH relativeFrom="column">
            <wp:posOffset>-568325</wp:posOffset>
          </wp:positionH>
          <wp:positionV relativeFrom="paragraph">
            <wp:posOffset>152400</wp:posOffset>
          </wp:positionV>
          <wp:extent cx="7560360" cy="867239"/>
          <wp:effectExtent l="0" t="0" r="2490" b="9061"/>
          <wp:wrapNone/>
          <wp:docPr id="4" name="obrázky1"/>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1">
                    <a:lum/>
                    <a:alphaModFix/>
                  </a:blip>
                  <a:srcRect/>
                  <a:stretch>
                    <a:fillRect/>
                  </a:stretch>
                </pic:blipFill>
                <pic:spPr>
                  <a:xfrm>
                    <a:off x="0" y="0"/>
                    <a:ext cx="7560360" cy="86723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9E3" w:rsidRDefault="008149E3">
    <w:pPr>
      <w:pStyle w:val="Zhlav"/>
    </w:pPr>
    <w:r>
      <w:rPr>
        <w:noProof/>
      </w:rPr>
      <mc:AlternateContent>
        <mc:Choice Requires="wps">
          <w:drawing>
            <wp:anchor distT="0" distB="0" distL="114300" distR="114300" simplePos="0" relativeHeight="251675648" behindDoc="0" locked="0" layoutInCell="1" allowOverlap="1" wp14:anchorId="781CB5DE" wp14:editId="007A107F">
              <wp:simplePos x="0" y="0"/>
              <wp:positionH relativeFrom="column">
                <wp:posOffset>0</wp:posOffset>
              </wp:positionH>
              <wp:positionV relativeFrom="paragraph">
                <wp:posOffset>125640</wp:posOffset>
              </wp:positionV>
              <wp:extent cx="3599640" cy="274320"/>
              <wp:effectExtent l="0" t="0" r="0" b="0"/>
              <wp:wrapSquare wrapText="bothSides"/>
              <wp:docPr id="11" name="Rámec2"/>
              <wp:cNvGraphicFramePr/>
              <a:graphic xmlns:a="http://schemas.openxmlformats.org/drawingml/2006/main">
                <a:graphicData uri="http://schemas.microsoft.com/office/word/2010/wordprocessingShape">
                  <wps:wsp>
                    <wps:cNvSpPr txBox="1"/>
                    <wps:spPr>
                      <a:xfrm>
                        <a:off x="0" y="0"/>
                        <a:ext cx="3599640" cy="274320"/>
                      </a:xfrm>
                      <a:prstGeom prst="rect">
                        <a:avLst/>
                      </a:prstGeom>
                    </wps:spPr>
                    <wps:txbx>
                      <w:txbxContent>
                        <w:p w:rsidR="008149E3" w:rsidRDefault="008149E3">
                          <w:pPr>
                            <w:pStyle w:val="Framecontents"/>
                            <w:spacing w:before="85"/>
                            <w:rPr>
                              <w:b/>
                              <w:bCs/>
                              <w:color w:val="FF0000"/>
                              <w:sz w:val="28"/>
                              <w:szCs w:val="28"/>
                            </w:rPr>
                          </w:pPr>
                          <w:r>
                            <w:rPr>
                              <w:b/>
                              <w:bCs/>
                              <w:color w:val="FF0000"/>
                              <w:sz w:val="28"/>
                              <w:szCs w:val="28"/>
                            </w:rPr>
                            <w:t>TABULKA SNÍŽENÝCH ODVODŮ</w:t>
                          </w:r>
                        </w:p>
                      </w:txbxContent>
                    </wps:txbx>
                    <wps:bodyPr vert="horz"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9.9pt;width:283.4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" filled="f" stroked="f">
              <v:textbox style="mso-fit-shape-to-text:t" inset="0,0,0,0">
                <w:txbxContent>
                  <w:p w:rsidR="00E54C26" w:rsidRDefault="00E54C26">
                    <w:pPr>
                      <w:pStyle w:val="Framecontents"/>
                      <w:spacing w:before="85"/>
                      <w:rPr>
                        <w:b/>
                        <w:bCs/>
                        <w:color w:val="FF0000"/>
                        <w:sz w:val="28"/>
                        <w:szCs w:val="28"/>
                      </w:rPr>
                    </w:pPr>
                    <w:r>
                      <w:rPr>
                        <w:b/>
                        <w:bCs/>
                        <w:color w:val="FF0000"/>
                        <w:sz w:val="28"/>
                        <w:szCs w:val="28"/>
                      </w:rPr>
                      <w:t>TABULKA SNÍŽENÝCH ODVODŮ</w:t>
                    </w:r>
                  </w:p>
                </w:txbxContent>
              </v:textbox>
              <w10:wrap type="square"/>
            </v:shape>
          </w:pict>
        </mc:Fallback>
      </mc:AlternateContent>
    </w:r>
    <w:r>
      <w:rPr>
        <w:noProof/>
      </w:rPr>
      <w:drawing>
        <wp:anchor distT="0" distB="0" distL="114300" distR="114300" simplePos="0" relativeHeight="251676672" behindDoc="1" locked="0" layoutInCell="1" allowOverlap="1" wp14:anchorId="65D77B93" wp14:editId="16ACB363">
          <wp:simplePos x="0" y="0"/>
          <wp:positionH relativeFrom="column">
            <wp:align>center</wp:align>
          </wp:positionH>
          <wp:positionV relativeFrom="paragraph">
            <wp:align>top</wp:align>
          </wp:positionV>
          <wp:extent cx="7560360" cy="867239"/>
          <wp:effectExtent l="0" t="0" r="2490" b="9061"/>
          <wp:wrapNone/>
          <wp:docPr id="2" name="obrázky1"/>
          <wp:cNvGraphicFramePr/>
          <a:graphic xmlns:a="http://schemas.openxmlformats.org/drawingml/2006/main">
            <a:graphicData uri="http://schemas.openxmlformats.org/drawingml/2006/picture">
              <pic:pic xmlns:pic="http://schemas.openxmlformats.org/drawingml/2006/picture">
                <pic:nvPicPr>
                  <pic:cNvPr id="0" name=""/>
                  <pic:cNvPicPr>
                    <a:picLocks noMove="1" noResize="1"/>
                  </pic:cNvPicPr>
                </pic:nvPicPr>
                <pic:blipFill>
                  <a:blip r:embed="rId1">
                    <a:lum/>
                    <a:alphaModFix/>
                  </a:blip>
                  <a:srcRect/>
                  <a:stretch>
                    <a:fillRect/>
                  </a:stretch>
                </pic:blipFill>
                <pic:spPr>
                  <a:xfrm>
                    <a:off x="0" y="0"/>
                    <a:ext cx="7560360" cy="86723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B03"/>
    <w:multiLevelType w:val="hybridMultilevel"/>
    <w:tmpl w:val="5D5E60FA"/>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0560D63"/>
    <w:multiLevelType w:val="hybridMultilevel"/>
    <w:tmpl w:val="8BACB45E"/>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1CC290A"/>
    <w:multiLevelType w:val="hybridMultilevel"/>
    <w:tmpl w:val="178E040E"/>
    <w:lvl w:ilvl="0" w:tplc="6210650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A16F36"/>
    <w:multiLevelType w:val="hybridMultilevel"/>
    <w:tmpl w:val="98125B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7D8140B"/>
    <w:multiLevelType w:val="hybridMultilevel"/>
    <w:tmpl w:val="4A0616C8"/>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88F1358"/>
    <w:multiLevelType w:val="hybridMultilevel"/>
    <w:tmpl w:val="9C5639FE"/>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09815035"/>
    <w:multiLevelType w:val="hybridMultilevel"/>
    <w:tmpl w:val="A62C58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0D617DB1"/>
    <w:multiLevelType w:val="hybridMultilevel"/>
    <w:tmpl w:val="9E6042D8"/>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11AB0250"/>
    <w:multiLevelType w:val="hybridMultilevel"/>
    <w:tmpl w:val="C310C4C6"/>
    <w:lvl w:ilvl="0" w:tplc="2CE240E4">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31952B8"/>
    <w:multiLevelType w:val="hybridMultilevel"/>
    <w:tmpl w:val="4124831E"/>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13527114"/>
    <w:multiLevelType w:val="hybridMultilevel"/>
    <w:tmpl w:val="9E3E3D94"/>
    <w:lvl w:ilvl="0" w:tplc="AD844A10">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6491E03"/>
    <w:multiLevelType w:val="hybridMultilevel"/>
    <w:tmpl w:val="088099AA"/>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2038358F"/>
    <w:multiLevelType w:val="hybridMultilevel"/>
    <w:tmpl w:val="BAAAC3EE"/>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233F6767"/>
    <w:multiLevelType w:val="hybridMultilevel"/>
    <w:tmpl w:val="43B625A6"/>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D4B3FBF"/>
    <w:multiLevelType w:val="hybridMultilevel"/>
    <w:tmpl w:val="7EB09F98"/>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2DDD2C7C"/>
    <w:multiLevelType w:val="hybridMultilevel"/>
    <w:tmpl w:val="BE80B738"/>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3BDC1B6A"/>
    <w:multiLevelType w:val="hybridMultilevel"/>
    <w:tmpl w:val="E82C5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CFF53E2"/>
    <w:multiLevelType w:val="hybridMultilevel"/>
    <w:tmpl w:val="7A849A6A"/>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3FB121EF"/>
    <w:multiLevelType w:val="hybridMultilevel"/>
    <w:tmpl w:val="1C66CF4A"/>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40CF11E7"/>
    <w:multiLevelType w:val="hybridMultilevel"/>
    <w:tmpl w:val="2188BF88"/>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419A6AE4"/>
    <w:multiLevelType w:val="hybridMultilevel"/>
    <w:tmpl w:val="0120A4F6"/>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4266043B"/>
    <w:multiLevelType w:val="hybridMultilevel"/>
    <w:tmpl w:val="D3E210F8"/>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44D2669A"/>
    <w:multiLevelType w:val="hybridMultilevel"/>
    <w:tmpl w:val="D9ECBA7A"/>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45201A8B"/>
    <w:multiLevelType w:val="hybridMultilevel"/>
    <w:tmpl w:val="F4D8BF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45B50078"/>
    <w:multiLevelType w:val="hybridMultilevel"/>
    <w:tmpl w:val="508EE9CA"/>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46F55D95"/>
    <w:multiLevelType w:val="hybridMultilevel"/>
    <w:tmpl w:val="E912EB84"/>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C896CE4"/>
    <w:multiLevelType w:val="hybridMultilevel"/>
    <w:tmpl w:val="62D0588C"/>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51FB4609"/>
    <w:multiLevelType w:val="hybridMultilevel"/>
    <w:tmpl w:val="FEE43FF4"/>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58E10271"/>
    <w:multiLevelType w:val="hybridMultilevel"/>
    <w:tmpl w:val="B028787E"/>
    <w:lvl w:ilvl="0" w:tplc="F1528D8C">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B632503"/>
    <w:multiLevelType w:val="hybridMultilevel"/>
    <w:tmpl w:val="3614F658"/>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5C211F33"/>
    <w:multiLevelType w:val="hybridMultilevel"/>
    <w:tmpl w:val="234EEEDA"/>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5C3D6696"/>
    <w:multiLevelType w:val="hybridMultilevel"/>
    <w:tmpl w:val="A9A00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F2967A5"/>
    <w:multiLevelType w:val="hybridMultilevel"/>
    <w:tmpl w:val="F11ECF4A"/>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634E0286"/>
    <w:multiLevelType w:val="hybridMultilevel"/>
    <w:tmpl w:val="FA0644D6"/>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4EE4A7E"/>
    <w:multiLevelType w:val="hybridMultilevel"/>
    <w:tmpl w:val="00BEE69A"/>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nsid w:val="65AF327A"/>
    <w:multiLevelType w:val="hybridMultilevel"/>
    <w:tmpl w:val="57D4E1B6"/>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nsid w:val="67BD0C7E"/>
    <w:multiLevelType w:val="hybridMultilevel"/>
    <w:tmpl w:val="F5D45EB4"/>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nsid w:val="685433DD"/>
    <w:multiLevelType w:val="hybridMultilevel"/>
    <w:tmpl w:val="B388E880"/>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nsid w:val="69B75266"/>
    <w:multiLevelType w:val="multilevel"/>
    <w:tmpl w:val="C660EAC6"/>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9">
    <w:nsid w:val="6B295643"/>
    <w:multiLevelType w:val="hybridMultilevel"/>
    <w:tmpl w:val="23EA55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nsid w:val="6D3F4634"/>
    <w:multiLevelType w:val="hybridMultilevel"/>
    <w:tmpl w:val="E2E06EBC"/>
    <w:lvl w:ilvl="0" w:tplc="AC049918">
      <w:start w:val="1"/>
      <w:numFmt w:val="lowerLetter"/>
      <w:lvlText w:val="%1)"/>
      <w:lvlJc w:val="left"/>
      <w:pPr>
        <w:ind w:left="1211" w:hanging="360"/>
      </w:pPr>
      <w:rPr>
        <w:rFonts w:ascii="Arial" w:hAnsi="Arial" w:cs="Arial" w:hint="default"/>
        <w:sz w:val="18"/>
        <w:szCs w:val="18"/>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1">
    <w:nsid w:val="70232B67"/>
    <w:multiLevelType w:val="hybridMultilevel"/>
    <w:tmpl w:val="89AE6B30"/>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nsid w:val="747C7A18"/>
    <w:multiLevelType w:val="hybridMultilevel"/>
    <w:tmpl w:val="5B86B476"/>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nsid w:val="75077139"/>
    <w:multiLevelType w:val="hybridMultilevel"/>
    <w:tmpl w:val="C3529F84"/>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nsid w:val="76503550"/>
    <w:multiLevelType w:val="hybridMultilevel"/>
    <w:tmpl w:val="E11A1FEC"/>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nsid w:val="77362336"/>
    <w:multiLevelType w:val="hybridMultilevel"/>
    <w:tmpl w:val="1A9AF8D0"/>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nsid w:val="7E414966"/>
    <w:multiLevelType w:val="hybridMultilevel"/>
    <w:tmpl w:val="8FDA4BB6"/>
    <w:lvl w:ilvl="0" w:tplc="F002209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EC17BB8"/>
    <w:multiLevelType w:val="hybridMultilevel"/>
    <w:tmpl w:val="2BF26FEC"/>
    <w:lvl w:ilvl="0" w:tplc="FECA253C">
      <w:start w:val="1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8"/>
  </w:num>
  <w:num w:numId="2">
    <w:abstractNumId w:val="8"/>
  </w:num>
  <w:num w:numId="3">
    <w:abstractNumId w:val="10"/>
  </w:num>
  <w:num w:numId="4">
    <w:abstractNumId w:val="46"/>
  </w:num>
  <w:num w:numId="5">
    <w:abstractNumId w:val="25"/>
  </w:num>
  <w:num w:numId="6">
    <w:abstractNumId w:val="2"/>
  </w:num>
  <w:num w:numId="7">
    <w:abstractNumId w:val="5"/>
  </w:num>
  <w:num w:numId="8">
    <w:abstractNumId w:val="1"/>
  </w:num>
  <w:num w:numId="9">
    <w:abstractNumId w:val="41"/>
  </w:num>
  <w:num w:numId="10">
    <w:abstractNumId w:val="17"/>
  </w:num>
  <w:num w:numId="11">
    <w:abstractNumId w:val="0"/>
  </w:num>
  <w:num w:numId="12">
    <w:abstractNumId w:val="47"/>
  </w:num>
  <w:num w:numId="13">
    <w:abstractNumId w:val="36"/>
  </w:num>
  <w:num w:numId="14">
    <w:abstractNumId w:val="11"/>
  </w:num>
  <w:num w:numId="15">
    <w:abstractNumId w:val="35"/>
  </w:num>
  <w:num w:numId="16">
    <w:abstractNumId w:val="14"/>
  </w:num>
  <w:num w:numId="17">
    <w:abstractNumId w:val="24"/>
  </w:num>
  <w:num w:numId="18">
    <w:abstractNumId w:val="22"/>
  </w:num>
  <w:num w:numId="19">
    <w:abstractNumId w:val="15"/>
  </w:num>
  <w:num w:numId="20">
    <w:abstractNumId w:val="13"/>
  </w:num>
  <w:num w:numId="21">
    <w:abstractNumId w:val="18"/>
  </w:num>
  <w:num w:numId="22">
    <w:abstractNumId w:val="9"/>
  </w:num>
  <w:num w:numId="23">
    <w:abstractNumId w:val="7"/>
  </w:num>
  <w:num w:numId="24">
    <w:abstractNumId w:val="34"/>
  </w:num>
  <w:num w:numId="25">
    <w:abstractNumId w:val="20"/>
  </w:num>
  <w:num w:numId="26">
    <w:abstractNumId w:val="12"/>
  </w:num>
  <w:num w:numId="27">
    <w:abstractNumId w:val="45"/>
  </w:num>
  <w:num w:numId="28">
    <w:abstractNumId w:val="32"/>
  </w:num>
  <w:num w:numId="29">
    <w:abstractNumId w:val="43"/>
  </w:num>
  <w:num w:numId="30">
    <w:abstractNumId w:val="19"/>
  </w:num>
  <w:num w:numId="31">
    <w:abstractNumId w:val="33"/>
  </w:num>
  <w:num w:numId="32">
    <w:abstractNumId w:val="42"/>
  </w:num>
  <w:num w:numId="33">
    <w:abstractNumId w:val="29"/>
  </w:num>
  <w:num w:numId="34">
    <w:abstractNumId w:val="37"/>
  </w:num>
  <w:num w:numId="35">
    <w:abstractNumId w:val="26"/>
  </w:num>
  <w:num w:numId="36">
    <w:abstractNumId w:val="30"/>
  </w:num>
  <w:num w:numId="37">
    <w:abstractNumId w:val="27"/>
  </w:num>
  <w:num w:numId="38">
    <w:abstractNumId w:val="4"/>
  </w:num>
  <w:num w:numId="39">
    <w:abstractNumId w:val="21"/>
  </w:num>
  <w:num w:numId="40">
    <w:abstractNumId w:val="44"/>
  </w:num>
  <w:num w:numId="41">
    <w:abstractNumId w:val="16"/>
  </w:num>
  <w:num w:numId="42">
    <w:abstractNumId w:val="40"/>
  </w:num>
  <w:num w:numId="43">
    <w:abstractNumId w:val="31"/>
  </w:num>
  <w:num w:numId="44">
    <w:abstractNumId w:val="3"/>
  </w:num>
  <w:num w:numId="45">
    <w:abstractNumId w:val="23"/>
  </w:num>
  <w:num w:numId="46">
    <w:abstractNumId w:val="39"/>
  </w:num>
  <w:num w:numId="47">
    <w:abstractNumId w:val="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
  <w:rsids>
    <w:rsidRoot w:val="008D7C8C"/>
    <w:rsid w:val="000104E5"/>
    <w:rsid w:val="000202D9"/>
    <w:rsid w:val="000231D0"/>
    <w:rsid w:val="00031E58"/>
    <w:rsid w:val="00044847"/>
    <w:rsid w:val="00045B48"/>
    <w:rsid w:val="0005433F"/>
    <w:rsid w:val="000552D9"/>
    <w:rsid w:val="0006040D"/>
    <w:rsid w:val="00084CB8"/>
    <w:rsid w:val="0008787D"/>
    <w:rsid w:val="000A1CDA"/>
    <w:rsid w:val="000A3906"/>
    <w:rsid w:val="000A7639"/>
    <w:rsid w:val="000B69F5"/>
    <w:rsid w:val="000B744B"/>
    <w:rsid w:val="000C27B7"/>
    <w:rsid w:val="000D71A4"/>
    <w:rsid w:val="000F5676"/>
    <w:rsid w:val="00100DA5"/>
    <w:rsid w:val="00123B17"/>
    <w:rsid w:val="00145801"/>
    <w:rsid w:val="00151680"/>
    <w:rsid w:val="00184C53"/>
    <w:rsid w:val="00187652"/>
    <w:rsid w:val="001C087D"/>
    <w:rsid w:val="001C4024"/>
    <w:rsid w:val="001D67DB"/>
    <w:rsid w:val="001E64CC"/>
    <w:rsid w:val="001F0966"/>
    <w:rsid w:val="001F7853"/>
    <w:rsid w:val="00226788"/>
    <w:rsid w:val="0023111D"/>
    <w:rsid w:val="0023755A"/>
    <w:rsid w:val="002502DE"/>
    <w:rsid w:val="00252DEA"/>
    <w:rsid w:val="002545DC"/>
    <w:rsid w:val="002555DB"/>
    <w:rsid w:val="00256A33"/>
    <w:rsid w:val="0027445F"/>
    <w:rsid w:val="00286BCC"/>
    <w:rsid w:val="00292DD1"/>
    <w:rsid w:val="00294695"/>
    <w:rsid w:val="002A5BD7"/>
    <w:rsid w:val="002B7398"/>
    <w:rsid w:val="002C0044"/>
    <w:rsid w:val="002D556B"/>
    <w:rsid w:val="002E7529"/>
    <w:rsid w:val="002E7EAE"/>
    <w:rsid w:val="002F686B"/>
    <w:rsid w:val="0030029D"/>
    <w:rsid w:val="00333F2C"/>
    <w:rsid w:val="00343AB0"/>
    <w:rsid w:val="00343BE2"/>
    <w:rsid w:val="00350FE1"/>
    <w:rsid w:val="00352173"/>
    <w:rsid w:val="0035457B"/>
    <w:rsid w:val="00362DF3"/>
    <w:rsid w:val="00380326"/>
    <w:rsid w:val="003868DF"/>
    <w:rsid w:val="003878D3"/>
    <w:rsid w:val="00391CDC"/>
    <w:rsid w:val="003921E6"/>
    <w:rsid w:val="003925A8"/>
    <w:rsid w:val="00393150"/>
    <w:rsid w:val="003B0BC0"/>
    <w:rsid w:val="003B198C"/>
    <w:rsid w:val="003C4A59"/>
    <w:rsid w:val="003D68A7"/>
    <w:rsid w:val="003E455D"/>
    <w:rsid w:val="003E4629"/>
    <w:rsid w:val="003E5780"/>
    <w:rsid w:val="004238ED"/>
    <w:rsid w:val="0042645E"/>
    <w:rsid w:val="00432B2A"/>
    <w:rsid w:val="00443FAF"/>
    <w:rsid w:val="004762BA"/>
    <w:rsid w:val="00480D35"/>
    <w:rsid w:val="00486ADD"/>
    <w:rsid w:val="00486FD2"/>
    <w:rsid w:val="00497724"/>
    <w:rsid w:val="004A5EAC"/>
    <w:rsid w:val="004A676E"/>
    <w:rsid w:val="004B1BCE"/>
    <w:rsid w:val="004B1E7C"/>
    <w:rsid w:val="004D27DE"/>
    <w:rsid w:val="004E228A"/>
    <w:rsid w:val="004E7306"/>
    <w:rsid w:val="00504F5A"/>
    <w:rsid w:val="005237CC"/>
    <w:rsid w:val="00523FD3"/>
    <w:rsid w:val="00541B75"/>
    <w:rsid w:val="00555C95"/>
    <w:rsid w:val="00566575"/>
    <w:rsid w:val="005678E7"/>
    <w:rsid w:val="005768BD"/>
    <w:rsid w:val="00576E57"/>
    <w:rsid w:val="00594B7F"/>
    <w:rsid w:val="005A06C1"/>
    <w:rsid w:val="005B6221"/>
    <w:rsid w:val="005C032D"/>
    <w:rsid w:val="005C4E54"/>
    <w:rsid w:val="005E1A50"/>
    <w:rsid w:val="005F37F8"/>
    <w:rsid w:val="00600006"/>
    <w:rsid w:val="00602E43"/>
    <w:rsid w:val="00604C34"/>
    <w:rsid w:val="006263BE"/>
    <w:rsid w:val="00631B2B"/>
    <w:rsid w:val="006449D2"/>
    <w:rsid w:val="00661420"/>
    <w:rsid w:val="00663859"/>
    <w:rsid w:val="0066566F"/>
    <w:rsid w:val="00667475"/>
    <w:rsid w:val="006733E8"/>
    <w:rsid w:val="00684E96"/>
    <w:rsid w:val="00695517"/>
    <w:rsid w:val="006A233A"/>
    <w:rsid w:val="006C5607"/>
    <w:rsid w:val="006C671E"/>
    <w:rsid w:val="006C6F44"/>
    <w:rsid w:val="006D640D"/>
    <w:rsid w:val="006E0A51"/>
    <w:rsid w:val="006E7437"/>
    <w:rsid w:val="006F175D"/>
    <w:rsid w:val="00701F4D"/>
    <w:rsid w:val="00704A2A"/>
    <w:rsid w:val="007150DD"/>
    <w:rsid w:val="00717BD4"/>
    <w:rsid w:val="00717F23"/>
    <w:rsid w:val="0072411F"/>
    <w:rsid w:val="007358B3"/>
    <w:rsid w:val="007377C3"/>
    <w:rsid w:val="0074042A"/>
    <w:rsid w:val="00753CCB"/>
    <w:rsid w:val="00776C6B"/>
    <w:rsid w:val="007A29EB"/>
    <w:rsid w:val="007C7566"/>
    <w:rsid w:val="007E5D97"/>
    <w:rsid w:val="00800C8E"/>
    <w:rsid w:val="0080266E"/>
    <w:rsid w:val="008149E3"/>
    <w:rsid w:val="00814A27"/>
    <w:rsid w:val="008408FD"/>
    <w:rsid w:val="0087462D"/>
    <w:rsid w:val="00874B08"/>
    <w:rsid w:val="00876F90"/>
    <w:rsid w:val="008D7C8C"/>
    <w:rsid w:val="008E2174"/>
    <w:rsid w:val="008F1E02"/>
    <w:rsid w:val="00900DBA"/>
    <w:rsid w:val="00901AE8"/>
    <w:rsid w:val="00901CB1"/>
    <w:rsid w:val="009074BD"/>
    <w:rsid w:val="009118C6"/>
    <w:rsid w:val="00912DF6"/>
    <w:rsid w:val="00914F70"/>
    <w:rsid w:val="00916987"/>
    <w:rsid w:val="00954488"/>
    <w:rsid w:val="00957383"/>
    <w:rsid w:val="009961AF"/>
    <w:rsid w:val="00997D72"/>
    <w:rsid w:val="009A26A2"/>
    <w:rsid w:val="009B0113"/>
    <w:rsid w:val="009C0C2D"/>
    <w:rsid w:val="009C51B5"/>
    <w:rsid w:val="009C5DEA"/>
    <w:rsid w:val="009E081E"/>
    <w:rsid w:val="009F04C6"/>
    <w:rsid w:val="00A0130E"/>
    <w:rsid w:val="00A14BB2"/>
    <w:rsid w:val="00A15438"/>
    <w:rsid w:val="00A235C6"/>
    <w:rsid w:val="00A31EB9"/>
    <w:rsid w:val="00A3679C"/>
    <w:rsid w:val="00A372C5"/>
    <w:rsid w:val="00A46BED"/>
    <w:rsid w:val="00A46E31"/>
    <w:rsid w:val="00A74A1A"/>
    <w:rsid w:val="00A82C05"/>
    <w:rsid w:val="00A96A78"/>
    <w:rsid w:val="00AA6205"/>
    <w:rsid w:val="00AB1A6E"/>
    <w:rsid w:val="00AD7744"/>
    <w:rsid w:val="00B04669"/>
    <w:rsid w:val="00B12BC4"/>
    <w:rsid w:val="00B1430C"/>
    <w:rsid w:val="00B20FC9"/>
    <w:rsid w:val="00B2505C"/>
    <w:rsid w:val="00B33360"/>
    <w:rsid w:val="00B7024B"/>
    <w:rsid w:val="00B76821"/>
    <w:rsid w:val="00B774EA"/>
    <w:rsid w:val="00B85CE5"/>
    <w:rsid w:val="00BA075B"/>
    <w:rsid w:val="00BB15D8"/>
    <w:rsid w:val="00BC7873"/>
    <w:rsid w:val="00BD01C4"/>
    <w:rsid w:val="00BD4D04"/>
    <w:rsid w:val="00BE62CE"/>
    <w:rsid w:val="00BF415E"/>
    <w:rsid w:val="00C153FC"/>
    <w:rsid w:val="00C305CC"/>
    <w:rsid w:val="00C30DB3"/>
    <w:rsid w:val="00C3365D"/>
    <w:rsid w:val="00C33D88"/>
    <w:rsid w:val="00C35F4F"/>
    <w:rsid w:val="00C66551"/>
    <w:rsid w:val="00C75962"/>
    <w:rsid w:val="00C77C01"/>
    <w:rsid w:val="00C86AE2"/>
    <w:rsid w:val="00C91AFD"/>
    <w:rsid w:val="00CB3203"/>
    <w:rsid w:val="00CB4418"/>
    <w:rsid w:val="00CC0E43"/>
    <w:rsid w:val="00CD6517"/>
    <w:rsid w:val="00CE5285"/>
    <w:rsid w:val="00D11C3E"/>
    <w:rsid w:val="00D12959"/>
    <w:rsid w:val="00D677A2"/>
    <w:rsid w:val="00D830EC"/>
    <w:rsid w:val="00D83D6F"/>
    <w:rsid w:val="00D92319"/>
    <w:rsid w:val="00DC61F1"/>
    <w:rsid w:val="00DD67E9"/>
    <w:rsid w:val="00E07B24"/>
    <w:rsid w:val="00E47953"/>
    <w:rsid w:val="00E503FB"/>
    <w:rsid w:val="00E54C26"/>
    <w:rsid w:val="00E64BF6"/>
    <w:rsid w:val="00E70596"/>
    <w:rsid w:val="00E91DC1"/>
    <w:rsid w:val="00EB3D74"/>
    <w:rsid w:val="00EC5F84"/>
    <w:rsid w:val="00ED0EFC"/>
    <w:rsid w:val="00EE11C3"/>
    <w:rsid w:val="00EE14F1"/>
    <w:rsid w:val="00EF76D5"/>
    <w:rsid w:val="00F01CC3"/>
    <w:rsid w:val="00F03A10"/>
    <w:rsid w:val="00F1618A"/>
    <w:rsid w:val="00F222EB"/>
    <w:rsid w:val="00F32A9B"/>
    <w:rsid w:val="00F50DC0"/>
    <w:rsid w:val="00F56811"/>
    <w:rsid w:val="00F665FB"/>
    <w:rsid w:val="00F678E1"/>
    <w:rsid w:val="00F84944"/>
    <w:rsid w:val="00F9462B"/>
    <w:rsid w:val="00F96063"/>
    <w:rsid w:val="00F9650D"/>
    <w:rsid w:val="00FA5794"/>
    <w:rsid w:val="00FB513A"/>
    <w:rsid w:val="00FB5FD3"/>
    <w:rsid w:val="00FC3D26"/>
    <w:rsid w:val="00FE1D54"/>
    <w:rsid w:val="00FE28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cs-CZ" w:eastAsia="cs-CZ"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1A50"/>
  </w:style>
  <w:style w:type="paragraph" w:styleId="Nadpis1">
    <w:name w:val="heading 1"/>
    <w:basedOn w:val="Heading"/>
    <w:next w:val="Textbody"/>
    <w:pPr>
      <w:outlineLvl w:val="0"/>
    </w:pPr>
    <w:rPr>
      <w:bCs/>
      <w:sz w:val="24"/>
      <w:szCs w:val="24"/>
    </w:rPr>
  </w:style>
  <w:style w:type="paragraph" w:styleId="Nadpis2">
    <w:name w:val="heading 2"/>
    <w:basedOn w:val="Heading"/>
    <w:next w:val="Textbody"/>
    <w:pPr>
      <w:outlineLvl w:val="1"/>
    </w:pPr>
    <w:rPr>
      <w:bCs/>
      <w:sz w:val="22"/>
      <w:szCs w:val="22"/>
    </w:rPr>
  </w:style>
  <w:style w:type="paragraph" w:styleId="Nadpis3">
    <w:name w:val="heading 3"/>
    <w:basedOn w:val="Heading"/>
    <w:next w:val="Textbody"/>
    <w:pPr>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jc w:val="both"/>
    </w:pPr>
    <w:rPr>
      <w:rFonts w:ascii="Arial" w:hAnsi="Arial"/>
      <w:sz w:val="20"/>
      <w:szCs w:val="20"/>
    </w:rPr>
  </w:style>
  <w:style w:type="paragraph" w:customStyle="1" w:styleId="Textbody">
    <w:name w:val="Text body"/>
    <w:basedOn w:val="Standard"/>
    <w:pPr>
      <w:spacing w:after="113"/>
    </w:pPr>
  </w:style>
  <w:style w:type="paragraph" w:customStyle="1" w:styleId="Heading">
    <w:name w:val="Heading"/>
    <w:basedOn w:val="Standard"/>
    <w:next w:val="Textbody"/>
    <w:pPr>
      <w:keepNext/>
      <w:spacing w:before="227" w:after="113"/>
      <w:jc w:val="left"/>
    </w:pPr>
    <w:rPr>
      <w:b/>
      <w:sz w:val="28"/>
      <w:szCs w:val="28"/>
    </w:rPr>
  </w:style>
  <w:style w:type="paragraph" w:styleId="Seznam">
    <w:name w:val="List"/>
    <w:basedOn w:val="Textbody"/>
  </w:style>
  <w:style w:type="paragraph" w:styleId="Zhlav">
    <w:name w:val="header"/>
    <w:basedOn w:val="Standard"/>
    <w:link w:val="ZhlavChar"/>
    <w:uiPriority w:val="99"/>
    <w:pPr>
      <w:suppressLineNumbers/>
      <w:tabs>
        <w:tab w:val="center" w:pos="4818"/>
        <w:tab w:val="right" w:pos="9637"/>
      </w:tabs>
    </w:pPr>
  </w:style>
  <w:style w:type="paragraph" w:styleId="Zpat">
    <w:name w:val="footer"/>
    <w:basedOn w:val="Standard"/>
    <w:pPr>
      <w:suppressLineNumbers/>
      <w:tabs>
        <w:tab w:val="center" w:pos="4819"/>
        <w:tab w:val="right" w:pos="9638"/>
      </w:tabs>
    </w:pPr>
  </w:style>
  <w:style w:type="paragraph" w:styleId="Titulek">
    <w:name w:val="caption"/>
    <w:basedOn w:val="Standard"/>
    <w:pPr>
      <w:suppressLineNumbers/>
      <w:spacing w:before="120" w:after="120"/>
    </w:pPr>
    <w:rPr>
      <w:i/>
      <w:iCs/>
      <w:sz w:val="24"/>
      <w:szCs w:val="24"/>
    </w:rPr>
  </w:style>
  <w:style w:type="paragraph" w:customStyle="1" w:styleId="Framecontents">
    <w:name w:val="Frame contents"/>
    <w:basedOn w:val="Standard"/>
  </w:style>
  <w:style w:type="paragraph" w:customStyle="1" w:styleId="Index">
    <w:name w:val="Index"/>
    <w:basedOn w:val="Standard"/>
    <w:pPr>
      <w:suppressLineNumbers/>
    </w:pPr>
  </w:style>
  <w:style w:type="paragraph" w:customStyle="1" w:styleId="Nadpisdokumentu">
    <w:name w:val="Nadpis dokumentu"/>
    <w:basedOn w:val="Framecontents"/>
    <w:pPr>
      <w:jc w:val="left"/>
    </w:pPr>
  </w:style>
  <w:style w:type="paragraph" w:customStyle="1" w:styleId="Footnote">
    <w:name w:val="Footnote"/>
    <w:basedOn w:val="Standard"/>
    <w:pPr>
      <w:suppressLineNumbers/>
      <w:ind w:left="283" w:hanging="283"/>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Courier New" w:eastAsia="Courier New" w:hAnsi="Courier New" w:cs="Courier New"/>
    </w:rPr>
  </w:style>
  <w:style w:type="character" w:customStyle="1" w:styleId="BulletSymbols">
    <w:name w:val="Bullet Symbols"/>
    <w:rPr>
      <w:rFonts w:ascii="StarSymbol" w:eastAsia="StarSymbol" w:hAnsi="StarSymbol" w:cs="StarSymbol"/>
      <w:sz w:val="18"/>
      <w:szCs w:val="18"/>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1z0">
    <w:name w:val="WW8Num1z0"/>
    <w:rPr>
      <w:rFonts w:ascii="Symbol" w:hAnsi="Symbol" w:cs="OpenSymbol, 'Arial Unicode MS'"/>
    </w:rPr>
  </w:style>
  <w:style w:type="character" w:customStyle="1" w:styleId="NumberingSymbols">
    <w:name w:val="Numbering Symbols"/>
  </w:style>
  <w:style w:type="numbering" w:customStyle="1" w:styleId="WW8Num1">
    <w:name w:val="WW8Num1"/>
    <w:basedOn w:val="Bezseznamu"/>
    <w:pPr>
      <w:numPr>
        <w:numId w:val="1"/>
      </w:numPr>
    </w:p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B33360"/>
    <w:rPr>
      <w:rFonts w:ascii="Tahoma" w:hAnsi="Tahoma"/>
      <w:sz w:val="16"/>
      <w:szCs w:val="16"/>
    </w:rPr>
  </w:style>
  <w:style w:type="character" w:customStyle="1" w:styleId="TextbublinyChar">
    <w:name w:val="Text bubliny Char"/>
    <w:basedOn w:val="Standardnpsmoodstavce"/>
    <w:link w:val="Textbubliny"/>
    <w:uiPriority w:val="99"/>
    <w:semiHidden/>
    <w:rsid w:val="00B33360"/>
    <w:rPr>
      <w:rFonts w:ascii="Tahoma" w:hAnsi="Tahoma"/>
      <w:sz w:val="16"/>
      <w:szCs w:val="16"/>
    </w:rPr>
  </w:style>
  <w:style w:type="paragraph" w:styleId="Textpoznpodarou">
    <w:name w:val="footnote text"/>
    <w:basedOn w:val="Normln"/>
    <w:link w:val="TextpoznpodarouChar"/>
    <w:uiPriority w:val="99"/>
    <w:semiHidden/>
    <w:unhideWhenUsed/>
    <w:rsid w:val="00B33360"/>
    <w:rPr>
      <w:sz w:val="20"/>
      <w:szCs w:val="20"/>
    </w:rPr>
  </w:style>
  <w:style w:type="character" w:customStyle="1" w:styleId="TextpoznpodarouChar">
    <w:name w:val="Text pozn. pod čarou Char"/>
    <w:basedOn w:val="Standardnpsmoodstavce"/>
    <w:link w:val="Textpoznpodarou"/>
    <w:uiPriority w:val="99"/>
    <w:semiHidden/>
    <w:rsid w:val="00B33360"/>
    <w:rPr>
      <w:sz w:val="20"/>
      <w:szCs w:val="20"/>
    </w:rPr>
  </w:style>
  <w:style w:type="paragraph" w:styleId="Revize">
    <w:name w:val="Revision"/>
    <w:hidden/>
    <w:uiPriority w:val="99"/>
    <w:semiHidden/>
    <w:rsid w:val="00D677A2"/>
    <w:pPr>
      <w:widowControl/>
      <w:suppressAutoHyphens w:val="0"/>
      <w:autoSpaceDN/>
      <w:textAlignment w:val="auto"/>
    </w:pPr>
  </w:style>
  <w:style w:type="character" w:styleId="Odkaznakoment">
    <w:name w:val="annotation reference"/>
    <w:basedOn w:val="Standardnpsmoodstavce"/>
    <w:uiPriority w:val="99"/>
    <w:semiHidden/>
    <w:unhideWhenUsed/>
    <w:rsid w:val="003B198C"/>
    <w:rPr>
      <w:sz w:val="16"/>
      <w:szCs w:val="16"/>
    </w:rPr>
  </w:style>
  <w:style w:type="paragraph" w:styleId="Textkomente">
    <w:name w:val="annotation text"/>
    <w:basedOn w:val="Normln"/>
    <w:link w:val="TextkomenteChar"/>
    <w:uiPriority w:val="99"/>
    <w:semiHidden/>
    <w:unhideWhenUsed/>
    <w:rsid w:val="003B198C"/>
    <w:rPr>
      <w:sz w:val="20"/>
      <w:szCs w:val="20"/>
    </w:rPr>
  </w:style>
  <w:style w:type="character" w:customStyle="1" w:styleId="TextkomenteChar">
    <w:name w:val="Text komentáře Char"/>
    <w:basedOn w:val="Standardnpsmoodstavce"/>
    <w:link w:val="Textkomente"/>
    <w:uiPriority w:val="99"/>
    <w:semiHidden/>
    <w:rsid w:val="003B198C"/>
    <w:rPr>
      <w:sz w:val="20"/>
      <w:szCs w:val="20"/>
    </w:rPr>
  </w:style>
  <w:style w:type="paragraph" w:styleId="Pedmtkomente">
    <w:name w:val="annotation subject"/>
    <w:basedOn w:val="Textkomente"/>
    <w:next w:val="Textkomente"/>
    <w:link w:val="PedmtkomenteChar"/>
    <w:uiPriority w:val="99"/>
    <w:semiHidden/>
    <w:unhideWhenUsed/>
    <w:rsid w:val="003B198C"/>
    <w:rPr>
      <w:b/>
      <w:bCs/>
    </w:rPr>
  </w:style>
  <w:style w:type="character" w:customStyle="1" w:styleId="PedmtkomenteChar">
    <w:name w:val="Předmět komentáře Char"/>
    <w:basedOn w:val="TextkomenteChar"/>
    <w:link w:val="Pedmtkomente"/>
    <w:uiPriority w:val="99"/>
    <w:semiHidden/>
    <w:rsid w:val="003B198C"/>
    <w:rPr>
      <w:b/>
      <w:bCs/>
      <w:sz w:val="20"/>
      <w:szCs w:val="20"/>
    </w:rPr>
  </w:style>
  <w:style w:type="table" w:styleId="Mkatabulky">
    <w:name w:val="Table Grid"/>
    <w:basedOn w:val="Normlntabulka"/>
    <w:uiPriority w:val="59"/>
    <w:rsid w:val="0081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01CC3"/>
    <w:pPr>
      <w:ind w:left="720"/>
      <w:contextualSpacing/>
    </w:pPr>
  </w:style>
  <w:style w:type="character" w:customStyle="1" w:styleId="ZhlavChar">
    <w:name w:val="Záhlaví Char"/>
    <w:basedOn w:val="Standardnpsmoodstavce"/>
    <w:link w:val="Zhlav"/>
    <w:uiPriority w:val="99"/>
    <w:rsid w:val="001D67DB"/>
    <w:rPr>
      <w:rFonts w:ascii="Arial" w:hAnsi="Arial"/>
      <w:sz w:val="20"/>
      <w:szCs w:val="20"/>
    </w:rPr>
  </w:style>
  <w:style w:type="paragraph" w:styleId="Textvysvtlivek">
    <w:name w:val="endnote text"/>
    <w:basedOn w:val="Normln"/>
    <w:link w:val="TextvysvtlivekChar"/>
    <w:rsid w:val="00E54C26"/>
    <w:pPr>
      <w:widowControl/>
      <w:suppressAutoHyphens w:val="0"/>
      <w:autoSpaceDN/>
      <w:spacing w:before="120" w:after="120"/>
      <w:jc w:val="both"/>
      <w:textAlignment w:val="auto"/>
    </w:pPr>
    <w:rPr>
      <w:rFonts w:eastAsia="Times New Roman" w:cs="Times New Roman"/>
      <w:kern w:val="0"/>
      <w:sz w:val="20"/>
      <w:szCs w:val="20"/>
      <w:lang w:eastAsia="en-US"/>
    </w:rPr>
  </w:style>
  <w:style w:type="character" w:customStyle="1" w:styleId="TextvysvtlivekChar">
    <w:name w:val="Text vysvětlivek Char"/>
    <w:basedOn w:val="Standardnpsmoodstavce"/>
    <w:link w:val="Textvysvtlivek"/>
    <w:rsid w:val="00E54C26"/>
    <w:rPr>
      <w:rFonts w:eastAsia="Times New Roman" w:cs="Times New Roman"/>
      <w:kern w:val="0"/>
      <w:sz w:val="20"/>
      <w:szCs w:val="20"/>
      <w:lang w:eastAsia="en-US"/>
    </w:rPr>
  </w:style>
  <w:style w:type="character" w:styleId="Odkaznavysvtlivky">
    <w:name w:val="endnote reference"/>
    <w:rsid w:val="00E54C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cs-CZ" w:eastAsia="cs-CZ"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1A50"/>
  </w:style>
  <w:style w:type="paragraph" w:styleId="Nadpis1">
    <w:name w:val="heading 1"/>
    <w:basedOn w:val="Heading"/>
    <w:next w:val="Textbody"/>
    <w:pPr>
      <w:outlineLvl w:val="0"/>
    </w:pPr>
    <w:rPr>
      <w:bCs/>
      <w:sz w:val="24"/>
      <w:szCs w:val="24"/>
    </w:rPr>
  </w:style>
  <w:style w:type="paragraph" w:styleId="Nadpis2">
    <w:name w:val="heading 2"/>
    <w:basedOn w:val="Heading"/>
    <w:next w:val="Textbody"/>
    <w:pPr>
      <w:outlineLvl w:val="1"/>
    </w:pPr>
    <w:rPr>
      <w:bCs/>
      <w:sz w:val="22"/>
      <w:szCs w:val="22"/>
    </w:rPr>
  </w:style>
  <w:style w:type="paragraph" w:styleId="Nadpis3">
    <w:name w:val="heading 3"/>
    <w:basedOn w:val="Heading"/>
    <w:next w:val="Textbody"/>
    <w:pPr>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jc w:val="both"/>
    </w:pPr>
    <w:rPr>
      <w:rFonts w:ascii="Arial" w:hAnsi="Arial"/>
      <w:sz w:val="20"/>
      <w:szCs w:val="20"/>
    </w:rPr>
  </w:style>
  <w:style w:type="paragraph" w:customStyle="1" w:styleId="Textbody">
    <w:name w:val="Text body"/>
    <w:basedOn w:val="Standard"/>
    <w:pPr>
      <w:spacing w:after="113"/>
    </w:pPr>
  </w:style>
  <w:style w:type="paragraph" w:customStyle="1" w:styleId="Heading">
    <w:name w:val="Heading"/>
    <w:basedOn w:val="Standard"/>
    <w:next w:val="Textbody"/>
    <w:pPr>
      <w:keepNext/>
      <w:spacing w:before="227" w:after="113"/>
      <w:jc w:val="left"/>
    </w:pPr>
    <w:rPr>
      <w:b/>
      <w:sz w:val="28"/>
      <w:szCs w:val="28"/>
    </w:rPr>
  </w:style>
  <w:style w:type="paragraph" w:styleId="Seznam">
    <w:name w:val="List"/>
    <w:basedOn w:val="Textbody"/>
  </w:style>
  <w:style w:type="paragraph" w:styleId="Zhlav">
    <w:name w:val="header"/>
    <w:basedOn w:val="Standard"/>
    <w:link w:val="ZhlavChar"/>
    <w:uiPriority w:val="99"/>
    <w:pPr>
      <w:suppressLineNumbers/>
      <w:tabs>
        <w:tab w:val="center" w:pos="4818"/>
        <w:tab w:val="right" w:pos="9637"/>
      </w:tabs>
    </w:pPr>
  </w:style>
  <w:style w:type="paragraph" w:styleId="Zpat">
    <w:name w:val="footer"/>
    <w:basedOn w:val="Standard"/>
    <w:pPr>
      <w:suppressLineNumbers/>
      <w:tabs>
        <w:tab w:val="center" w:pos="4819"/>
        <w:tab w:val="right" w:pos="9638"/>
      </w:tabs>
    </w:pPr>
  </w:style>
  <w:style w:type="paragraph" w:styleId="Titulek">
    <w:name w:val="caption"/>
    <w:basedOn w:val="Standard"/>
    <w:pPr>
      <w:suppressLineNumbers/>
      <w:spacing w:before="120" w:after="120"/>
    </w:pPr>
    <w:rPr>
      <w:i/>
      <w:iCs/>
      <w:sz w:val="24"/>
      <w:szCs w:val="24"/>
    </w:rPr>
  </w:style>
  <w:style w:type="paragraph" w:customStyle="1" w:styleId="Framecontents">
    <w:name w:val="Frame contents"/>
    <w:basedOn w:val="Standard"/>
  </w:style>
  <w:style w:type="paragraph" w:customStyle="1" w:styleId="Index">
    <w:name w:val="Index"/>
    <w:basedOn w:val="Standard"/>
    <w:pPr>
      <w:suppressLineNumbers/>
    </w:pPr>
  </w:style>
  <w:style w:type="paragraph" w:customStyle="1" w:styleId="Nadpisdokumentu">
    <w:name w:val="Nadpis dokumentu"/>
    <w:basedOn w:val="Framecontents"/>
    <w:pPr>
      <w:jc w:val="left"/>
    </w:pPr>
  </w:style>
  <w:style w:type="paragraph" w:customStyle="1" w:styleId="Footnote">
    <w:name w:val="Footnote"/>
    <w:basedOn w:val="Standard"/>
    <w:pPr>
      <w:suppressLineNumbers/>
      <w:ind w:left="283" w:hanging="283"/>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Courier New" w:eastAsia="Courier New" w:hAnsi="Courier New" w:cs="Courier New"/>
    </w:rPr>
  </w:style>
  <w:style w:type="character" w:customStyle="1" w:styleId="BulletSymbols">
    <w:name w:val="Bullet Symbols"/>
    <w:rPr>
      <w:rFonts w:ascii="StarSymbol" w:eastAsia="StarSymbol" w:hAnsi="StarSymbol" w:cs="StarSymbol"/>
      <w:sz w:val="18"/>
      <w:szCs w:val="18"/>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1z0">
    <w:name w:val="WW8Num1z0"/>
    <w:rPr>
      <w:rFonts w:ascii="Symbol" w:hAnsi="Symbol" w:cs="OpenSymbol, 'Arial Unicode MS'"/>
    </w:rPr>
  </w:style>
  <w:style w:type="character" w:customStyle="1" w:styleId="NumberingSymbols">
    <w:name w:val="Numbering Symbols"/>
  </w:style>
  <w:style w:type="numbering" w:customStyle="1" w:styleId="WW8Num1">
    <w:name w:val="WW8Num1"/>
    <w:basedOn w:val="Bezseznamu"/>
    <w:pPr>
      <w:numPr>
        <w:numId w:val="1"/>
      </w:numPr>
    </w:p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B33360"/>
    <w:rPr>
      <w:rFonts w:ascii="Tahoma" w:hAnsi="Tahoma"/>
      <w:sz w:val="16"/>
      <w:szCs w:val="16"/>
    </w:rPr>
  </w:style>
  <w:style w:type="character" w:customStyle="1" w:styleId="TextbublinyChar">
    <w:name w:val="Text bubliny Char"/>
    <w:basedOn w:val="Standardnpsmoodstavce"/>
    <w:link w:val="Textbubliny"/>
    <w:uiPriority w:val="99"/>
    <w:semiHidden/>
    <w:rsid w:val="00B33360"/>
    <w:rPr>
      <w:rFonts w:ascii="Tahoma" w:hAnsi="Tahoma"/>
      <w:sz w:val="16"/>
      <w:szCs w:val="16"/>
    </w:rPr>
  </w:style>
  <w:style w:type="paragraph" w:styleId="Textpoznpodarou">
    <w:name w:val="footnote text"/>
    <w:basedOn w:val="Normln"/>
    <w:link w:val="TextpoznpodarouChar"/>
    <w:uiPriority w:val="99"/>
    <w:semiHidden/>
    <w:unhideWhenUsed/>
    <w:rsid w:val="00B33360"/>
    <w:rPr>
      <w:sz w:val="20"/>
      <w:szCs w:val="20"/>
    </w:rPr>
  </w:style>
  <w:style w:type="character" w:customStyle="1" w:styleId="TextpoznpodarouChar">
    <w:name w:val="Text pozn. pod čarou Char"/>
    <w:basedOn w:val="Standardnpsmoodstavce"/>
    <w:link w:val="Textpoznpodarou"/>
    <w:uiPriority w:val="99"/>
    <w:semiHidden/>
    <w:rsid w:val="00B33360"/>
    <w:rPr>
      <w:sz w:val="20"/>
      <w:szCs w:val="20"/>
    </w:rPr>
  </w:style>
  <w:style w:type="paragraph" w:styleId="Revize">
    <w:name w:val="Revision"/>
    <w:hidden/>
    <w:uiPriority w:val="99"/>
    <w:semiHidden/>
    <w:rsid w:val="00D677A2"/>
    <w:pPr>
      <w:widowControl/>
      <w:suppressAutoHyphens w:val="0"/>
      <w:autoSpaceDN/>
      <w:textAlignment w:val="auto"/>
    </w:pPr>
  </w:style>
  <w:style w:type="character" w:styleId="Odkaznakoment">
    <w:name w:val="annotation reference"/>
    <w:basedOn w:val="Standardnpsmoodstavce"/>
    <w:uiPriority w:val="99"/>
    <w:semiHidden/>
    <w:unhideWhenUsed/>
    <w:rsid w:val="003B198C"/>
    <w:rPr>
      <w:sz w:val="16"/>
      <w:szCs w:val="16"/>
    </w:rPr>
  </w:style>
  <w:style w:type="paragraph" w:styleId="Textkomente">
    <w:name w:val="annotation text"/>
    <w:basedOn w:val="Normln"/>
    <w:link w:val="TextkomenteChar"/>
    <w:uiPriority w:val="99"/>
    <w:semiHidden/>
    <w:unhideWhenUsed/>
    <w:rsid w:val="003B198C"/>
    <w:rPr>
      <w:sz w:val="20"/>
      <w:szCs w:val="20"/>
    </w:rPr>
  </w:style>
  <w:style w:type="character" w:customStyle="1" w:styleId="TextkomenteChar">
    <w:name w:val="Text komentáře Char"/>
    <w:basedOn w:val="Standardnpsmoodstavce"/>
    <w:link w:val="Textkomente"/>
    <w:uiPriority w:val="99"/>
    <w:semiHidden/>
    <w:rsid w:val="003B198C"/>
    <w:rPr>
      <w:sz w:val="20"/>
      <w:szCs w:val="20"/>
    </w:rPr>
  </w:style>
  <w:style w:type="paragraph" w:styleId="Pedmtkomente">
    <w:name w:val="annotation subject"/>
    <w:basedOn w:val="Textkomente"/>
    <w:next w:val="Textkomente"/>
    <w:link w:val="PedmtkomenteChar"/>
    <w:uiPriority w:val="99"/>
    <w:semiHidden/>
    <w:unhideWhenUsed/>
    <w:rsid w:val="003B198C"/>
    <w:rPr>
      <w:b/>
      <w:bCs/>
    </w:rPr>
  </w:style>
  <w:style w:type="character" w:customStyle="1" w:styleId="PedmtkomenteChar">
    <w:name w:val="Předmět komentáře Char"/>
    <w:basedOn w:val="TextkomenteChar"/>
    <w:link w:val="Pedmtkomente"/>
    <w:uiPriority w:val="99"/>
    <w:semiHidden/>
    <w:rsid w:val="003B198C"/>
    <w:rPr>
      <w:b/>
      <w:bCs/>
      <w:sz w:val="20"/>
      <w:szCs w:val="20"/>
    </w:rPr>
  </w:style>
  <w:style w:type="table" w:styleId="Mkatabulky">
    <w:name w:val="Table Grid"/>
    <w:basedOn w:val="Normlntabulka"/>
    <w:uiPriority w:val="59"/>
    <w:rsid w:val="0081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01CC3"/>
    <w:pPr>
      <w:ind w:left="720"/>
      <w:contextualSpacing/>
    </w:pPr>
  </w:style>
  <w:style w:type="character" w:customStyle="1" w:styleId="ZhlavChar">
    <w:name w:val="Záhlaví Char"/>
    <w:basedOn w:val="Standardnpsmoodstavce"/>
    <w:link w:val="Zhlav"/>
    <w:uiPriority w:val="99"/>
    <w:rsid w:val="001D67DB"/>
    <w:rPr>
      <w:rFonts w:ascii="Arial" w:hAnsi="Arial"/>
      <w:sz w:val="20"/>
      <w:szCs w:val="20"/>
    </w:rPr>
  </w:style>
  <w:style w:type="paragraph" w:styleId="Textvysvtlivek">
    <w:name w:val="endnote text"/>
    <w:basedOn w:val="Normln"/>
    <w:link w:val="TextvysvtlivekChar"/>
    <w:rsid w:val="00E54C26"/>
    <w:pPr>
      <w:widowControl/>
      <w:suppressAutoHyphens w:val="0"/>
      <w:autoSpaceDN/>
      <w:spacing w:before="120" w:after="120"/>
      <w:jc w:val="both"/>
      <w:textAlignment w:val="auto"/>
    </w:pPr>
    <w:rPr>
      <w:rFonts w:eastAsia="Times New Roman" w:cs="Times New Roman"/>
      <w:kern w:val="0"/>
      <w:sz w:val="20"/>
      <w:szCs w:val="20"/>
      <w:lang w:eastAsia="en-US"/>
    </w:rPr>
  </w:style>
  <w:style w:type="character" w:customStyle="1" w:styleId="TextvysvtlivekChar">
    <w:name w:val="Text vysvětlivek Char"/>
    <w:basedOn w:val="Standardnpsmoodstavce"/>
    <w:link w:val="Textvysvtlivek"/>
    <w:rsid w:val="00E54C26"/>
    <w:rPr>
      <w:rFonts w:eastAsia="Times New Roman" w:cs="Times New Roman"/>
      <w:kern w:val="0"/>
      <w:sz w:val="20"/>
      <w:szCs w:val="20"/>
      <w:lang w:eastAsia="en-US"/>
    </w:rPr>
  </w:style>
  <w:style w:type="character" w:styleId="Odkaznavysvtlivky">
    <w:name w:val="endnote reference"/>
    <w:rsid w:val="00E54C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4F1D-31DD-4D0A-BB5D-D280F27D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4128</Words>
  <Characters>24356</Characters>
  <Application>Microsoft Office Word</Application>
  <DocSecurity>4</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Regionální rada regionu soudržnosti Severozápad</Company>
  <LinksUpToDate>false</LinksUpToDate>
  <CharactersWithSpaces>28428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Martinovský</dc:creator>
  <cp:lastModifiedBy>Cermanová Edit</cp:lastModifiedBy>
  <cp:revision>2</cp:revision>
  <cp:lastPrinted>2014-05-29T11:24:00Z</cp:lastPrinted>
  <dcterms:created xsi:type="dcterms:W3CDTF">2018-01-09T08:38:00Z</dcterms:created>
  <dcterms:modified xsi:type="dcterms:W3CDTF">2018-01-09T08:38:00Z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