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B4" w:rsidRPr="000969FB" w:rsidRDefault="009B22B4" w:rsidP="00FF471C">
      <w:pPr>
        <w:spacing w:before="1680"/>
        <w:jc w:val="right"/>
        <w:rPr>
          <w:b/>
          <w:i/>
          <w:szCs w:val="20"/>
        </w:rPr>
      </w:pPr>
      <w:r w:rsidRPr="000969FB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6010295E" wp14:editId="670FF1AF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22B4" w:rsidRDefault="009B22B4" w:rsidP="00FF471C">
      <w:pPr>
        <w:tabs>
          <w:tab w:val="left" w:pos="3686"/>
        </w:tabs>
        <w:rPr>
          <w:i/>
        </w:rPr>
      </w:pPr>
    </w:p>
    <w:p w:rsidR="00167461" w:rsidRPr="007073E5" w:rsidRDefault="00167461" w:rsidP="00167461">
      <w:pPr>
        <w:tabs>
          <w:tab w:val="left" w:pos="3686"/>
        </w:tabs>
        <w:jc w:val="center"/>
        <w:rPr>
          <w:b/>
          <w:i/>
          <w:smallCaps/>
          <w:sz w:val="36"/>
          <w:szCs w:val="40"/>
        </w:rPr>
      </w:pPr>
    </w:p>
    <w:p w:rsidR="009B22B4" w:rsidRPr="000969FB" w:rsidRDefault="007073E5" w:rsidP="006D0475">
      <w:pPr>
        <w:tabs>
          <w:tab w:val="left" w:pos="2750"/>
          <w:tab w:val="right" w:leader="dot" w:pos="4536"/>
        </w:tabs>
        <w:spacing w:before="360"/>
        <w:rPr>
          <w:b/>
          <w:sz w:val="32"/>
          <w:szCs w:val="32"/>
        </w:rPr>
      </w:pPr>
      <w:bookmarkStart w:id="0" w:name="Priloha_1"/>
      <w:bookmarkEnd w:id="0"/>
      <w:r>
        <w:rPr>
          <w:b/>
          <w:sz w:val="32"/>
          <w:szCs w:val="32"/>
        </w:rPr>
        <w:t>P</w:t>
      </w:r>
      <w:r w:rsidR="009B22B4" w:rsidRPr="000969FB">
        <w:rPr>
          <w:b/>
          <w:sz w:val="32"/>
          <w:szCs w:val="32"/>
        </w:rPr>
        <w:t>ojistn</w:t>
      </w:r>
      <w:r>
        <w:rPr>
          <w:b/>
          <w:sz w:val="32"/>
          <w:szCs w:val="32"/>
        </w:rPr>
        <w:t>á</w:t>
      </w:r>
      <w:r w:rsidR="009B22B4" w:rsidRPr="000969FB">
        <w:rPr>
          <w:b/>
          <w:sz w:val="32"/>
          <w:szCs w:val="32"/>
        </w:rPr>
        <w:t xml:space="preserve"> smlouv</w:t>
      </w:r>
      <w:r>
        <w:rPr>
          <w:b/>
          <w:sz w:val="32"/>
          <w:szCs w:val="32"/>
        </w:rPr>
        <w:t>a</w:t>
      </w:r>
      <w:r w:rsidR="009B22B4" w:rsidRPr="000969FB">
        <w:rPr>
          <w:b/>
          <w:sz w:val="32"/>
          <w:szCs w:val="32"/>
        </w:rPr>
        <w:t xml:space="preserve"> č.</w:t>
      </w:r>
      <w:r w:rsidR="00FF6A7D">
        <w:rPr>
          <w:b/>
          <w:sz w:val="32"/>
          <w:szCs w:val="32"/>
        </w:rPr>
        <w:t xml:space="preserve"> </w:t>
      </w:r>
      <w:r w:rsidR="00CD617F">
        <w:rPr>
          <w:b/>
          <w:sz w:val="32"/>
          <w:szCs w:val="32"/>
        </w:rPr>
        <w:t>7721052939</w:t>
      </w:r>
    </w:p>
    <w:p w:rsidR="009B22B4" w:rsidRPr="000969FB" w:rsidRDefault="009B22B4" w:rsidP="00280823">
      <w:pPr>
        <w:spacing w:after="240"/>
        <w:rPr>
          <w:b/>
        </w:rPr>
      </w:pPr>
      <w:r w:rsidRPr="000969FB">
        <w:rPr>
          <w:b/>
        </w:rPr>
        <w:t>Úsek pojištění hospodářských rizik</w:t>
      </w:r>
    </w:p>
    <w:p w:rsidR="009B22B4" w:rsidRPr="000969FB" w:rsidRDefault="009B22B4" w:rsidP="006D0475">
      <w:pPr>
        <w:spacing w:before="480"/>
        <w:rPr>
          <w:b/>
          <w:sz w:val="32"/>
          <w:szCs w:val="32"/>
        </w:rPr>
      </w:pPr>
      <w:r w:rsidRPr="000969FB">
        <w:rPr>
          <w:b/>
          <w:sz w:val="32"/>
          <w:szCs w:val="32"/>
        </w:rPr>
        <w:t xml:space="preserve">Kooperativa pojišťovna, a.s., </w:t>
      </w:r>
      <w:proofErr w:type="spellStart"/>
      <w:r w:rsidRPr="000969FB">
        <w:rPr>
          <w:b/>
          <w:sz w:val="32"/>
          <w:szCs w:val="32"/>
        </w:rPr>
        <w:t>Vienna</w:t>
      </w:r>
      <w:proofErr w:type="spellEnd"/>
      <w:r w:rsidRPr="000969FB">
        <w:rPr>
          <w:b/>
          <w:sz w:val="32"/>
          <w:szCs w:val="32"/>
        </w:rPr>
        <w:t xml:space="preserve"> </w:t>
      </w:r>
      <w:proofErr w:type="spellStart"/>
      <w:r w:rsidRPr="000969FB">
        <w:rPr>
          <w:b/>
          <w:sz w:val="32"/>
          <w:szCs w:val="32"/>
        </w:rPr>
        <w:t>Insurance</w:t>
      </w:r>
      <w:proofErr w:type="spellEnd"/>
      <w:r w:rsidRPr="000969FB">
        <w:rPr>
          <w:b/>
          <w:sz w:val="32"/>
          <w:szCs w:val="32"/>
        </w:rPr>
        <w:t xml:space="preserve"> Group</w:t>
      </w:r>
    </w:p>
    <w:p w:rsidR="009B22B4" w:rsidRPr="000969FB" w:rsidRDefault="009B22B4" w:rsidP="00486022">
      <w:pPr>
        <w:rPr>
          <w:b/>
        </w:rPr>
      </w:pPr>
      <w:r w:rsidRPr="000969FB">
        <w:rPr>
          <w:b/>
        </w:rPr>
        <w:t xml:space="preserve">se sídlem Praha 8, Pobřežní 665/21, PSČ 186 00, Česká republika </w:t>
      </w:r>
    </w:p>
    <w:p w:rsidR="009B22B4" w:rsidRPr="000969FB" w:rsidRDefault="00280823" w:rsidP="00486022">
      <w:pPr>
        <w:rPr>
          <w:b/>
        </w:rPr>
      </w:pPr>
      <w:r w:rsidRPr="000969FB">
        <w:rPr>
          <w:b/>
        </w:rPr>
        <w:t>IČO: 47116617</w:t>
      </w:r>
    </w:p>
    <w:p w:rsidR="009B22B4" w:rsidRPr="000969FB" w:rsidRDefault="009B22B4" w:rsidP="00486022">
      <w:pPr>
        <w:rPr>
          <w:szCs w:val="20"/>
        </w:rPr>
      </w:pPr>
      <w:r w:rsidRPr="000969FB">
        <w:rPr>
          <w:szCs w:val="20"/>
        </w:rPr>
        <w:t xml:space="preserve">zapsaná v obchodním rejstříku u Městského soudu v Praze, </w:t>
      </w:r>
      <w:proofErr w:type="spellStart"/>
      <w:r w:rsidRPr="000969FB">
        <w:rPr>
          <w:szCs w:val="20"/>
        </w:rPr>
        <w:t>sp</w:t>
      </w:r>
      <w:proofErr w:type="spellEnd"/>
      <w:r w:rsidRPr="000969FB">
        <w:rPr>
          <w:szCs w:val="20"/>
        </w:rPr>
        <w:t>. zn. B 1897</w:t>
      </w:r>
    </w:p>
    <w:p w:rsidR="009B22B4" w:rsidRPr="000969FB" w:rsidRDefault="009B22B4" w:rsidP="00486022">
      <w:pPr>
        <w:spacing w:after="60"/>
        <w:rPr>
          <w:szCs w:val="20"/>
        </w:rPr>
      </w:pPr>
      <w:r w:rsidRPr="000969FB">
        <w:rPr>
          <w:szCs w:val="20"/>
        </w:rPr>
        <w:t xml:space="preserve">(dále jen </w:t>
      </w:r>
      <w:r w:rsidRPr="008C1624">
        <w:rPr>
          <w:b/>
          <w:szCs w:val="20"/>
        </w:rPr>
        <w:t>„</w:t>
      </w:r>
      <w:r w:rsidRPr="000969FB">
        <w:rPr>
          <w:b/>
          <w:szCs w:val="20"/>
        </w:rPr>
        <w:t>pojistitel</w:t>
      </w:r>
      <w:r w:rsidRPr="000969FB">
        <w:rPr>
          <w:szCs w:val="20"/>
        </w:rPr>
        <w:t>“)</w:t>
      </w:r>
    </w:p>
    <w:p w:rsidR="009B22B4" w:rsidRPr="000969FB" w:rsidRDefault="009B22B4" w:rsidP="00FF6A7D">
      <w:pPr>
        <w:rPr>
          <w:szCs w:val="20"/>
        </w:rPr>
      </w:pPr>
      <w:r w:rsidRPr="000969FB">
        <w:rPr>
          <w:szCs w:val="20"/>
        </w:rPr>
        <w:t xml:space="preserve">zastoupený na základě </w:t>
      </w:r>
      <w:r w:rsidR="008C1624">
        <w:rPr>
          <w:szCs w:val="20"/>
        </w:rPr>
        <w:t xml:space="preserve">pověření </w:t>
      </w:r>
      <w:r w:rsidR="00AE184F" w:rsidRPr="00AE184F">
        <w:rPr>
          <w:rFonts w:cs="Arial"/>
        </w:rPr>
        <w:t>XXXXXXX</w:t>
      </w:r>
      <w:r w:rsidR="008C1624">
        <w:rPr>
          <w:rFonts w:cs="Arial"/>
        </w:rPr>
        <w:t xml:space="preserve">, obchodním ředitelem Úseku pojištění hospodářských rizik </w:t>
      </w:r>
      <w:r w:rsidR="00AE184F" w:rsidRPr="00AE184F">
        <w:rPr>
          <w:rFonts w:cs="Arial"/>
        </w:rPr>
        <w:t>XXXXXXX</w:t>
      </w:r>
      <w:r w:rsidR="008C1624">
        <w:rPr>
          <w:rFonts w:cs="Arial"/>
        </w:rPr>
        <w:t xml:space="preserve">, </w:t>
      </w:r>
      <w:proofErr w:type="spellStart"/>
      <w:r w:rsidR="008C1624">
        <w:rPr>
          <w:rFonts w:cs="Arial"/>
        </w:rPr>
        <w:t>underwriterem</w:t>
      </w:r>
      <w:proofErr w:type="spellEnd"/>
      <w:r w:rsidR="008C1624">
        <w:rPr>
          <w:rFonts w:cs="Arial"/>
        </w:rPr>
        <w:t xml:space="preserve"> specialistou Úseku pojištění hospodářských rizik</w:t>
      </w:r>
    </w:p>
    <w:p w:rsidR="00FF6A7D" w:rsidRPr="005E1D2B" w:rsidRDefault="00FF6A7D" w:rsidP="00FF6A7D">
      <w:pPr>
        <w:spacing w:line="280" w:lineRule="exact"/>
        <w:rPr>
          <w:rFonts w:cs="Arial"/>
        </w:rPr>
      </w:pPr>
      <w:r w:rsidRPr="005E1D2B">
        <w:rPr>
          <w:rFonts w:cs="Arial"/>
        </w:rPr>
        <w:t xml:space="preserve">Pracoviště: Kooperativa pojišťovna, a.s., </w:t>
      </w:r>
      <w:proofErr w:type="spellStart"/>
      <w:r w:rsidRPr="005E1D2B">
        <w:rPr>
          <w:rFonts w:cs="Arial"/>
        </w:rPr>
        <w:t>Vienna</w:t>
      </w:r>
      <w:proofErr w:type="spellEnd"/>
      <w:r w:rsidRPr="005E1D2B">
        <w:rPr>
          <w:rFonts w:cs="Arial"/>
        </w:rPr>
        <w:t xml:space="preserve"> </w:t>
      </w:r>
      <w:proofErr w:type="spellStart"/>
      <w:r w:rsidRPr="005E1D2B">
        <w:rPr>
          <w:rFonts w:cs="Arial"/>
        </w:rPr>
        <w:t>Insurance</w:t>
      </w:r>
      <w:proofErr w:type="spellEnd"/>
      <w:r w:rsidRPr="005E1D2B">
        <w:rPr>
          <w:rFonts w:cs="Arial"/>
        </w:rPr>
        <w:t xml:space="preserve"> Group, Praha </w:t>
      </w:r>
      <w:r>
        <w:rPr>
          <w:rFonts w:cs="Arial"/>
        </w:rPr>
        <w:t>8</w:t>
      </w:r>
      <w:r w:rsidRPr="005E1D2B">
        <w:rPr>
          <w:rFonts w:cs="Arial"/>
        </w:rPr>
        <w:t xml:space="preserve">, </w:t>
      </w:r>
      <w:r>
        <w:rPr>
          <w:rFonts w:cs="Arial"/>
        </w:rPr>
        <w:t>Pobřežní 665/21, PSČ 186 00</w:t>
      </w:r>
    </w:p>
    <w:p w:rsidR="00FF6A7D" w:rsidRDefault="00FF6A7D" w:rsidP="00FF6A7D">
      <w:pPr>
        <w:spacing w:after="240"/>
        <w:rPr>
          <w:rFonts w:cs="Arial"/>
        </w:rPr>
      </w:pPr>
      <w:r w:rsidRPr="005E1D2B">
        <w:rPr>
          <w:rFonts w:cs="Arial"/>
        </w:rPr>
        <w:t xml:space="preserve">tel. </w:t>
      </w:r>
      <w:r w:rsidR="00AE184F" w:rsidRPr="00AE184F">
        <w:rPr>
          <w:rFonts w:cs="Arial"/>
        </w:rPr>
        <w:t>XXXXXXX</w:t>
      </w:r>
      <w:r w:rsidR="00AE184F">
        <w:rPr>
          <w:rFonts w:cs="Arial"/>
        </w:rPr>
        <w:t xml:space="preserve"> </w:t>
      </w:r>
      <w:r>
        <w:rPr>
          <w:rFonts w:cs="Arial"/>
        </w:rPr>
        <w:t xml:space="preserve">fax </w:t>
      </w:r>
      <w:r w:rsidR="00AE184F" w:rsidRPr="00AE184F">
        <w:rPr>
          <w:rFonts w:cs="Arial"/>
        </w:rPr>
        <w:t>XXXXXXX</w:t>
      </w:r>
    </w:p>
    <w:p w:rsidR="008C1624" w:rsidRDefault="008C1624" w:rsidP="008C1624">
      <w:pPr>
        <w:spacing w:after="240"/>
        <w:rPr>
          <w:szCs w:val="20"/>
        </w:rPr>
      </w:pPr>
      <w:r w:rsidRPr="000969FB">
        <w:rPr>
          <w:szCs w:val="20"/>
        </w:rPr>
        <w:t>a</w:t>
      </w:r>
    </w:p>
    <w:p w:rsidR="00280823" w:rsidRPr="000969FB" w:rsidRDefault="007073E5" w:rsidP="00FF471C">
      <w:r>
        <w:rPr>
          <w:rFonts w:cs="Arial"/>
          <w:b/>
          <w:sz w:val="32"/>
          <w:szCs w:val="32"/>
        </w:rPr>
        <w:t>Želivská provozní a.s.</w:t>
      </w:r>
    </w:p>
    <w:p w:rsidR="009B22B4" w:rsidRPr="000969FB" w:rsidRDefault="009B22B4" w:rsidP="00FF471C">
      <w:r w:rsidRPr="000969FB">
        <w:rPr>
          <w:b/>
        </w:rPr>
        <w:t xml:space="preserve">se sídlem </w:t>
      </w:r>
      <w:r w:rsidR="00FF6A7D">
        <w:rPr>
          <w:rFonts w:cs="Arial"/>
          <w:b/>
        </w:rPr>
        <w:t>Praha 1</w:t>
      </w:r>
      <w:r w:rsidR="007073E5">
        <w:rPr>
          <w:rFonts w:cs="Arial"/>
          <w:b/>
        </w:rPr>
        <w:t>0, K Horkám 16/23, PSČ 102 00</w:t>
      </w:r>
    </w:p>
    <w:p w:rsidR="009B22B4" w:rsidRPr="000618CA" w:rsidRDefault="009B22B4" w:rsidP="00FF471C">
      <w:pPr>
        <w:rPr>
          <w:b/>
        </w:rPr>
      </w:pPr>
      <w:r w:rsidRPr="000969FB">
        <w:rPr>
          <w:b/>
        </w:rPr>
        <w:t>IČO:</w:t>
      </w:r>
      <w:r w:rsidRPr="000618CA">
        <w:rPr>
          <w:b/>
        </w:rPr>
        <w:t xml:space="preserve"> </w:t>
      </w:r>
      <w:r w:rsidR="007073E5" w:rsidRPr="007073E5">
        <w:rPr>
          <w:b/>
        </w:rPr>
        <w:t>29131804</w:t>
      </w:r>
    </w:p>
    <w:p w:rsidR="009B22B4" w:rsidRPr="000969FB" w:rsidRDefault="009B22B4" w:rsidP="00FF471C">
      <w:pPr>
        <w:rPr>
          <w:szCs w:val="20"/>
        </w:rPr>
      </w:pPr>
      <w:r w:rsidRPr="000969FB">
        <w:rPr>
          <w:szCs w:val="20"/>
        </w:rPr>
        <w:t xml:space="preserve">zapsaná v obchodním rejstříku u </w:t>
      </w:r>
      <w:r w:rsidR="00FF6A7D">
        <w:rPr>
          <w:szCs w:val="20"/>
        </w:rPr>
        <w:t>Městského soudu v Praze</w:t>
      </w:r>
      <w:r w:rsidRPr="000969FB">
        <w:rPr>
          <w:szCs w:val="20"/>
        </w:rPr>
        <w:t xml:space="preserve">, </w:t>
      </w:r>
      <w:proofErr w:type="spellStart"/>
      <w:r w:rsidRPr="000969FB">
        <w:rPr>
          <w:szCs w:val="20"/>
        </w:rPr>
        <w:t>sp</w:t>
      </w:r>
      <w:proofErr w:type="spellEnd"/>
      <w:r w:rsidRPr="000969FB">
        <w:rPr>
          <w:szCs w:val="20"/>
        </w:rPr>
        <w:t xml:space="preserve">. zn. </w:t>
      </w:r>
      <w:r w:rsidR="007073E5">
        <w:rPr>
          <w:szCs w:val="20"/>
        </w:rPr>
        <w:t>B 19766</w:t>
      </w:r>
    </w:p>
    <w:p w:rsidR="009B22B4" w:rsidRPr="000969FB" w:rsidRDefault="009B22B4" w:rsidP="00CB5FEE">
      <w:pPr>
        <w:spacing w:after="60"/>
        <w:rPr>
          <w:szCs w:val="20"/>
        </w:rPr>
      </w:pPr>
      <w:r w:rsidRPr="000969FB">
        <w:rPr>
          <w:szCs w:val="20"/>
        </w:rPr>
        <w:t>(dále jen „</w:t>
      </w:r>
      <w:r w:rsidRPr="000969FB">
        <w:rPr>
          <w:b/>
          <w:szCs w:val="20"/>
        </w:rPr>
        <w:t>pojistník</w:t>
      </w:r>
      <w:r w:rsidRPr="000969FB">
        <w:rPr>
          <w:szCs w:val="20"/>
        </w:rPr>
        <w:t>“)</w:t>
      </w:r>
    </w:p>
    <w:p w:rsidR="009B22B4" w:rsidRDefault="009B22B4" w:rsidP="00FF6A7D">
      <w:pPr>
        <w:rPr>
          <w:szCs w:val="20"/>
        </w:rPr>
      </w:pPr>
      <w:r w:rsidRPr="000969FB">
        <w:rPr>
          <w:szCs w:val="20"/>
        </w:rPr>
        <w:t>zastoupený</w:t>
      </w:r>
      <w:r w:rsidR="007073E5">
        <w:rPr>
          <w:szCs w:val="20"/>
        </w:rPr>
        <w:t>:</w:t>
      </w:r>
      <w:r w:rsidR="007073E5">
        <w:rPr>
          <w:szCs w:val="20"/>
        </w:rPr>
        <w:tab/>
      </w:r>
      <w:r w:rsidR="00AE184F" w:rsidRPr="00AE184F">
        <w:rPr>
          <w:szCs w:val="20"/>
        </w:rPr>
        <w:t>XXXXXXX</w:t>
      </w:r>
      <w:r w:rsidR="007073E5">
        <w:rPr>
          <w:szCs w:val="20"/>
        </w:rPr>
        <w:t>, předsedou představenstva</w:t>
      </w:r>
    </w:p>
    <w:p w:rsidR="007073E5" w:rsidRPr="000969FB" w:rsidRDefault="007073E5" w:rsidP="00FF6A7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AE184F" w:rsidRPr="00AE184F">
        <w:rPr>
          <w:szCs w:val="20"/>
        </w:rPr>
        <w:t>XXXXXXX</w:t>
      </w:r>
      <w:r>
        <w:rPr>
          <w:szCs w:val="20"/>
        </w:rPr>
        <w:t>, 2. místopředsedou představenstva</w:t>
      </w:r>
    </w:p>
    <w:p w:rsidR="009B22B4" w:rsidRPr="000969FB" w:rsidRDefault="009B22B4" w:rsidP="00FF6A7D">
      <w:pPr>
        <w:spacing w:line="280" w:lineRule="exact"/>
        <w:rPr>
          <w:szCs w:val="20"/>
        </w:rPr>
      </w:pPr>
      <w:r w:rsidRPr="000969FB">
        <w:rPr>
          <w:b/>
          <w:szCs w:val="20"/>
        </w:rPr>
        <w:t>Korespondenční adresa:</w:t>
      </w:r>
      <w:r w:rsidRPr="000969FB">
        <w:rPr>
          <w:szCs w:val="20"/>
        </w:rPr>
        <w:t xml:space="preserve"> </w:t>
      </w:r>
    </w:p>
    <w:p w:rsidR="009B22B4" w:rsidRPr="000969FB" w:rsidRDefault="009B22B4" w:rsidP="00456A83">
      <w:pPr>
        <w:spacing w:after="120"/>
        <w:rPr>
          <w:szCs w:val="20"/>
        </w:rPr>
      </w:pPr>
      <w:r w:rsidRPr="000969FB">
        <w:rPr>
          <w:szCs w:val="20"/>
        </w:rPr>
        <w:t>Korespondenční adresa pojistníka je totožná s korespondenční adresou pojišťovacího makléře.</w:t>
      </w:r>
    </w:p>
    <w:p w:rsidR="009B22B4" w:rsidRPr="000969FB" w:rsidRDefault="009B22B4" w:rsidP="00456A83">
      <w:pPr>
        <w:spacing w:before="240" w:after="240"/>
        <w:rPr>
          <w:szCs w:val="20"/>
        </w:rPr>
      </w:pPr>
      <w:r w:rsidRPr="000969FB">
        <w:rPr>
          <w:szCs w:val="20"/>
        </w:rPr>
        <w:t xml:space="preserve">uzavírají </w:t>
      </w:r>
    </w:p>
    <w:p w:rsidR="009B22B4" w:rsidRPr="000969FB" w:rsidRDefault="009B22B4" w:rsidP="00873C2F">
      <w:pPr>
        <w:spacing w:after="480"/>
        <w:rPr>
          <w:szCs w:val="20"/>
        </w:rPr>
      </w:pPr>
      <w:r w:rsidRPr="000969FB">
        <w:rPr>
          <w:szCs w:val="20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:rsidR="009B22B4" w:rsidRPr="000969FB" w:rsidRDefault="009B22B4" w:rsidP="00000DF1">
      <w:pPr>
        <w:spacing w:after="120"/>
        <w:rPr>
          <w:szCs w:val="20"/>
        </w:rPr>
      </w:pPr>
      <w:r w:rsidRPr="000969FB">
        <w:rPr>
          <w:szCs w:val="20"/>
        </w:rPr>
        <w:t xml:space="preserve">Tato pojistná smlouva byla sjednána prostřednictvím pojišťovacího makléře </w:t>
      </w:r>
    </w:p>
    <w:p w:rsidR="009B22B4" w:rsidRPr="000969FB" w:rsidRDefault="00D50018" w:rsidP="00FF471C">
      <w:pPr>
        <w:rPr>
          <w:b/>
        </w:rPr>
      </w:pPr>
      <w:r>
        <w:rPr>
          <w:rFonts w:cs="Arial"/>
          <w:b/>
          <w:sz w:val="32"/>
        </w:rPr>
        <w:t>MARSH, s.r.o.</w:t>
      </w:r>
    </w:p>
    <w:p w:rsidR="009B22B4" w:rsidRPr="000969FB" w:rsidRDefault="009B22B4" w:rsidP="00FF471C">
      <w:pPr>
        <w:rPr>
          <w:b/>
        </w:rPr>
      </w:pPr>
      <w:r w:rsidRPr="000969FB">
        <w:rPr>
          <w:b/>
        </w:rPr>
        <w:t xml:space="preserve">se sídlem </w:t>
      </w:r>
      <w:r w:rsidR="00FF6A7D" w:rsidRPr="00727ED4">
        <w:rPr>
          <w:rFonts w:cs="Arial"/>
          <w:b/>
        </w:rPr>
        <w:t xml:space="preserve">Praha </w:t>
      </w:r>
      <w:r w:rsidR="00D50018">
        <w:rPr>
          <w:rFonts w:cs="Arial"/>
          <w:b/>
        </w:rPr>
        <w:t>3</w:t>
      </w:r>
      <w:r w:rsidR="00FF6A7D" w:rsidRPr="00727ED4">
        <w:rPr>
          <w:rFonts w:cs="Arial"/>
          <w:b/>
        </w:rPr>
        <w:t xml:space="preserve">, </w:t>
      </w:r>
      <w:r w:rsidR="00D50018">
        <w:rPr>
          <w:rFonts w:cs="Arial"/>
          <w:b/>
        </w:rPr>
        <w:t>Vinohradská 2828/151, PSČ 130 00</w:t>
      </w:r>
    </w:p>
    <w:p w:rsidR="009B22B4" w:rsidRPr="000969FB" w:rsidRDefault="009B22B4" w:rsidP="00873C2F">
      <w:pPr>
        <w:spacing w:after="60"/>
        <w:rPr>
          <w:b/>
        </w:rPr>
      </w:pPr>
      <w:r w:rsidRPr="000969FB">
        <w:rPr>
          <w:b/>
        </w:rPr>
        <w:t xml:space="preserve">IČO: </w:t>
      </w:r>
      <w:r w:rsidR="00D50018">
        <w:rPr>
          <w:rFonts w:cs="Arial"/>
          <w:b/>
        </w:rPr>
        <w:t>45306541</w:t>
      </w:r>
    </w:p>
    <w:p w:rsidR="009B22B4" w:rsidRPr="000969FB" w:rsidRDefault="009B22B4" w:rsidP="00307784">
      <w:pPr>
        <w:rPr>
          <w:szCs w:val="20"/>
        </w:rPr>
      </w:pPr>
      <w:r w:rsidRPr="000969FB">
        <w:rPr>
          <w:szCs w:val="20"/>
        </w:rPr>
        <w:t>(dále jen „</w:t>
      </w:r>
      <w:r w:rsidRPr="000969FB">
        <w:rPr>
          <w:b/>
          <w:szCs w:val="20"/>
        </w:rPr>
        <w:t>pojišťovací makléř</w:t>
      </w:r>
      <w:r w:rsidRPr="000969FB">
        <w:rPr>
          <w:szCs w:val="20"/>
        </w:rPr>
        <w:t>“)</w:t>
      </w:r>
    </w:p>
    <w:p w:rsidR="009B22B4" w:rsidRPr="000969FB" w:rsidRDefault="009B22B4" w:rsidP="00307784">
      <w:pPr>
        <w:spacing w:line="280" w:lineRule="exact"/>
        <w:rPr>
          <w:szCs w:val="20"/>
        </w:rPr>
      </w:pPr>
      <w:r w:rsidRPr="000969FB">
        <w:rPr>
          <w:b/>
          <w:szCs w:val="20"/>
        </w:rPr>
        <w:t>Korespondenční adresa pojišťovacího makléře:</w:t>
      </w:r>
      <w:r w:rsidRPr="000969FB">
        <w:rPr>
          <w:szCs w:val="20"/>
        </w:rPr>
        <w:t xml:space="preserve"> </w:t>
      </w:r>
    </w:p>
    <w:p w:rsidR="009B22B4" w:rsidRPr="000969FB" w:rsidRDefault="009B22B4" w:rsidP="00FF471C">
      <w:pPr>
        <w:rPr>
          <w:szCs w:val="20"/>
        </w:rPr>
      </w:pPr>
      <w:r w:rsidRPr="000969FB">
        <w:rPr>
          <w:szCs w:val="20"/>
        </w:rPr>
        <w:t>Korespondenční adresa pojišťovacího makléře je totožná s výše uvedenou adresou pojišťovacího makléře.</w:t>
      </w:r>
    </w:p>
    <w:p w:rsidR="009B7E07" w:rsidRDefault="009B7E07">
      <w:pPr>
        <w:spacing w:after="200" w:line="276" w:lineRule="auto"/>
        <w:jc w:val="left"/>
      </w:pPr>
      <w:r>
        <w:br w:type="page"/>
      </w:r>
    </w:p>
    <w:p w:rsidR="002E36D1" w:rsidRDefault="009B22B4" w:rsidP="002E36D1">
      <w:pPr>
        <w:pStyle w:val="Nadpislnk"/>
        <w:spacing w:after="0"/>
      </w:pPr>
      <w:r w:rsidRPr="000969FB">
        <w:lastRenderedPageBreak/>
        <w:t>Článek I.</w:t>
      </w:r>
    </w:p>
    <w:p w:rsidR="009B22B4" w:rsidRPr="000969FB" w:rsidRDefault="009B22B4" w:rsidP="002E36D1">
      <w:pPr>
        <w:pStyle w:val="Nadpislnk"/>
        <w:spacing w:before="0" w:after="0"/>
      </w:pPr>
      <w:r w:rsidRPr="000969FB">
        <w:t>Úvodní ustanovení</w:t>
      </w:r>
    </w:p>
    <w:p w:rsidR="003C14BC" w:rsidRPr="000969FB" w:rsidRDefault="003C14BC" w:rsidP="00CA7135">
      <w:pPr>
        <w:pStyle w:val="slovn-rove1-netun"/>
      </w:pPr>
      <w:r w:rsidRPr="000969FB">
        <w:rPr>
          <w:szCs w:val="20"/>
        </w:rPr>
        <w:t>Pojištěným je:</w:t>
      </w:r>
    </w:p>
    <w:p w:rsidR="009B22B4" w:rsidRPr="000969FB" w:rsidRDefault="009B22B4" w:rsidP="00807DB0">
      <w:pPr>
        <w:pStyle w:val="slovn-psmena"/>
      </w:pPr>
      <w:r w:rsidRPr="000969FB">
        <w:t>Pojistník</w:t>
      </w:r>
    </w:p>
    <w:p w:rsidR="009B22B4" w:rsidRPr="000969FB" w:rsidRDefault="00D50018" w:rsidP="00807DB0">
      <w:pPr>
        <w:pStyle w:val="slovn-psmena"/>
        <w:rPr>
          <w:b/>
        </w:rPr>
      </w:pPr>
      <w:r w:rsidRPr="00D50018">
        <w:rPr>
          <w:b/>
        </w:rPr>
        <w:t xml:space="preserve">Úpravna vody Želivka, a.s., </w:t>
      </w:r>
      <w:r w:rsidR="009B22B4" w:rsidRPr="000969FB">
        <w:rPr>
          <w:b/>
        </w:rPr>
        <w:t xml:space="preserve">se sídlem </w:t>
      </w:r>
      <w:r>
        <w:rPr>
          <w:b/>
        </w:rPr>
        <w:t>Praha 10, K Horkám 16/23,</w:t>
      </w:r>
      <w:r w:rsidR="009B22B4" w:rsidRPr="000969FB">
        <w:rPr>
          <w:b/>
        </w:rPr>
        <w:t xml:space="preserve"> IČO:</w:t>
      </w:r>
      <w:r>
        <w:rPr>
          <w:b/>
        </w:rPr>
        <w:t xml:space="preserve"> 26496224</w:t>
      </w:r>
    </w:p>
    <w:p w:rsidR="009B22B4" w:rsidRPr="000969FB" w:rsidRDefault="009B22B4" w:rsidP="00CA7135">
      <w:pPr>
        <w:pStyle w:val="slovn-rove1-netun"/>
      </w:pPr>
      <w:r w:rsidRPr="000969FB">
        <w:t>K pojištění se vztahují: Všeobecné pojistné podmínky (dále jen „</w:t>
      </w:r>
      <w:r w:rsidRPr="000969FB">
        <w:rPr>
          <w:b/>
        </w:rPr>
        <w:t>VPP</w:t>
      </w:r>
      <w:r w:rsidRPr="000969FB">
        <w:t>“), Zvláštní pojistné podmínky (dále jen „</w:t>
      </w:r>
      <w:r w:rsidRPr="000969FB">
        <w:rPr>
          <w:b/>
        </w:rPr>
        <w:t>ZPP</w:t>
      </w:r>
      <w:r w:rsidRPr="000969FB">
        <w:t>“)</w:t>
      </w:r>
      <w:r w:rsidR="00F719CC">
        <w:t>,</w:t>
      </w:r>
      <w:r w:rsidRPr="000969FB">
        <w:t xml:space="preserve"> Dodatkové pojistné podmínky (dále jen „</w:t>
      </w:r>
      <w:r w:rsidRPr="000969FB">
        <w:rPr>
          <w:b/>
        </w:rPr>
        <w:t>DPP</w:t>
      </w:r>
      <w:r w:rsidRPr="000969FB">
        <w:t>“)</w:t>
      </w:r>
      <w:r w:rsidR="00F719CC">
        <w:t xml:space="preserve"> a </w:t>
      </w:r>
      <w:r w:rsidR="00DD2855">
        <w:t xml:space="preserve">zvláštní </w:t>
      </w:r>
      <w:r w:rsidR="00F719CC">
        <w:t>ujednání ve smyslu přílohy č. 1 – Pojištění terorismu a sabotáže</w:t>
      </w:r>
      <w:r w:rsidRPr="000969FB">
        <w:t>.</w:t>
      </w:r>
    </w:p>
    <w:p w:rsidR="009B22B4" w:rsidRPr="000969FB" w:rsidRDefault="00D212AA" w:rsidP="00DD55C5">
      <w:pPr>
        <w:keepNext/>
        <w:keepLines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0969FB">
        <w:rPr>
          <w:szCs w:val="20"/>
        </w:rPr>
        <w:tab/>
      </w:r>
      <w:r w:rsidR="009B22B4" w:rsidRPr="000969FB">
        <w:rPr>
          <w:b/>
          <w:szCs w:val="20"/>
        </w:rPr>
        <w:t xml:space="preserve">Všeobecné pojistné podmínky </w:t>
      </w:r>
    </w:p>
    <w:p w:rsidR="009B22B4" w:rsidRPr="000969FB" w:rsidRDefault="009B22B4" w:rsidP="00832DDD">
      <w:pPr>
        <w:keepLines/>
        <w:tabs>
          <w:tab w:val="left" w:pos="426"/>
        </w:tabs>
        <w:spacing w:after="240"/>
        <w:ind w:left="1559" w:hanging="1559"/>
        <w:rPr>
          <w:szCs w:val="20"/>
        </w:rPr>
      </w:pPr>
      <w:r w:rsidRPr="000969FB">
        <w:rPr>
          <w:szCs w:val="20"/>
        </w:rPr>
        <w:tab/>
        <w:t>VPP P-100/14 - pro pojištění majetku a odpovědnosti</w:t>
      </w:r>
    </w:p>
    <w:p w:rsidR="009B22B4" w:rsidRPr="000969FB" w:rsidRDefault="009B22B4" w:rsidP="00832DDD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0969FB">
        <w:rPr>
          <w:szCs w:val="20"/>
        </w:rPr>
        <w:tab/>
      </w:r>
      <w:r w:rsidRPr="000969FB">
        <w:rPr>
          <w:b/>
          <w:szCs w:val="20"/>
        </w:rPr>
        <w:t>Zvláštní pojistné podmínky</w:t>
      </w:r>
    </w:p>
    <w:p w:rsidR="00C31A42" w:rsidRPr="000969FB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0969FB">
        <w:rPr>
          <w:szCs w:val="20"/>
        </w:rPr>
        <w:tab/>
      </w:r>
      <w:r w:rsidR="009B22B4" w:rsidRPr="000969FB">
        <w:rPr>
          <w:szCs w:val="20"/>
        </w:rPr>
        <w:t>ZPP P-</w:t>
      </w:r>
      <w:r w:rsidR="00CD1796" w:rsidRPr="000969FB">
        <w:rPr>
          <w:szCs w:val="20"/>
        </w:rPr>
        <w:t>150/14 -</w:t>
      </w:r>
      <w:r w:rsidR="00CD1796" w:rsidRPr="000969FB">
        <w:rPr>
          <w:szCs w:val="20"/>
        </w:rPr>
        <w:tab/>
      </w:r>
      <w:r w:rsidR="00C31A42" w:rsidRPr="000969FB">
        <w:rPr>
          <w:szCs w:val="20"/>
        </w:rPr>
        <w:t>pro živelní pojištění</w:t>
      </w:r>
    </w:p>
    <w:p w:rsidR="00C31A42" w:rsidRPr="000969FB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0969FB">
        <w:rPr>
          <w:szCs w:val="20"/>
        </w:rPr>
        <w:tab/>
      </w:r>
      <w:r w:rsidR="00CD1796" w:rsidRPr="000969FB">
        <w:rPr>
          <w:szCs w:val="20"/>
        </w:rPr>
        <w:t>ZPP P-200/14 -</w:t>
      </w:r>
      <w:r w:rsidR="00CD1796" w:rsidRPr="000969FB">
        <w:rPr>
          <w:szCs w:val="20"/>
        </w:rPr>
        <w:tab/>
      </w:r>
      <w:r w:rsidR="009B22B4" w:rsidRPr="000969FB">
        <w:rPr>
          <w:szCs w:val="20"/>
        </w:rPr>
        <w:t>pro</w:t>
      </w:r>
      <w:r w:rsidR="00C31A42" w:rsidRPr="000969FB">
        <w:rPr>
          <w:szCs w:val="20"/>
        </w:rPr>
        <w:t xml:space="preserve"> pojištění pro případ odcizení</w:t>
      </w:r>
    </w:p>
    <w:p w:rsidR="00C31A42" w:rsidRPr="000969FB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0969FB">
        <w:rPr>
          <w:szCs w:val="20"/>
        </w:rPr>
        <w:tab/>
      </w:r>
      <w:r w:rsidR="009B22B4" w:rsidRPr="000969FB">
        <w:rPr>
          <w:szCs w:val="20"/>
        </w:rPr>
        <w:t>ZPP</w:t>
      </w:r>
      <w:r w:rsidR="00CD1796" w:rsidRPr="000969FB">
        <w:rPr>
          <w:szCs w:val="20"/>
        </w:rPr>
        <w:t xml:space="preserve"> P-250/14 -</w:t>
      </w:r>
      <w:r w:rsidR="00CD1796" w:rsidRPr="000969FB">
        <w:rPr>
          <w:szCs w:val="20"/>
        </w:rPr>
        <w:tab/>
      </w:r>
      <w:r w:rsidR="00C31A42" w:rsidRPr="000969FB">
        <w:rPr>
          <w:szCs w:val="20"/>
        </w:rPr>
        <w:t>pro pojištění skla</w:t>
      </w:r>
    </w:p>
    <w:p w:rsidR="00C31A42" w:rsidRPr="000969FB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0969FB">
        <w:rPr>
          <w:szCs w:val="20"/>
        </w:rPr>
        <w:tab/>
      </w:r>
      <w:r w:rsidR="00CD1796" w:rsidRPr="000969FB">
        <w:rPr>
          <w:szCs w:val="20"/>
        </w:rPr>
        <w:t>ZPP P-300/14 -</w:t>
      </w:r>
      <w:r w:rsidR="00CD1796" w:rsidRPr="000969FB">
        <w:rPr>
          <w:szCs w:val="20"/>
        </w:rPr>
        <w:tab/>
      </w:r>
      <w:r w:rsidR="009B22B4" w:rsidRPr="000969FB">
        <w:rPr>
          <w:szCs w:val="20"/>
        </w:rPr>
        <w:t>pro</w:t>
      </w:r>
      <w:r w:rsidR="00C31A42" w:rsidRPr="000969FB">
        <w:rPr>
          <w:szCs w:val="20"/>
        </w:rPr>
        <w:t xml:space="preserve"> pojištění strojů</w:t>
      </w:r>
    </w:p>
    <w:p w:rsidR="00C31A42" w:rsidRPr="000969FB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0969FB">
        <w:rPr>
          <w:szCs w:val="20"/>
        </w:rPr>
        <w:tab/>
      </w:r>
      <w:r w:rsidR="00CD1796" w:rsidRPr="000969FB">
        <w:rPr>
          <w:szCs w:val="20"/>
        </w:rPr>
        <w:t>ZPP P-320/14 -</w:t>
      </w:r>
      <w:r w:rsidR="00CD1796" w:rsidRPr="000969FB">
        <w:rPr>
          <w:szCs w:val="20"/>
        </w:rPr>
        <w:tab/>
      </w:r>
      <w:r w:rsidR="009B22B4" w:rsidRPr="000969FB">
        <w:rPr>
          <w:szCs w:val="20"/>
        </w:rPr>
        <w:t>pro poj</w:t>
      </w:r>
      <w:r w:rsidR="00C31A42" w:rsidRPr="000969FB">
        <w:rPr>
          <w:szCs w:val="20"/>
        </w:rPr>
        <w:t>ištění elektronických zařízení</w:t>
      </w:r>
    </w:p>
    <w:p w:rsidR="00C31A42" w:rsidRPr="000969FB" w:rsidRDefault="00F26672" w:rsidP="00FF6685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0969FB">
        <w:rPr>
          <w:szCs w:val="20"/>
        </w:rPr>
        <w:tab/>
      </w:r>
      <w:r w:rsidR="00CD1796" w:rsidRPr="000969FB">
        <w:rPr>
          <w:szCs w:val="20"/>
        </w:rPr>
        <w:t>ZPP P-400/14 -</w:t>
      </w:r>
      <w:r w:rsidR="00CD1796" w:rsidRPr="000969FB">
        <w:rPr>
          <w:szCs w:val="20"/>
        </w:rPr>
        <w:tab/>
      </w:r>
      <w:r w:rsidR="009B22B4" w:rsidRPr="000969FB">
        <w:rPr>
          <w:szCs w:val="20"/>
        </w:rPr>
        <w:t xml:space="preserve">pro pojištění pro případ </w:t>
      </w:r>
      <w:r w:rsidR="00C31A42" w:rsidRPr="000969FB">
        <w:rPr>
          <w:szCs w:val="20"/>
        </w:rPr>
        <w:t>přerušení nebo omezení provozu</w:t>
      </w:r>
    </w:p>
    <w:p w:rsidR="009B22B4" w:rsidRPr="000969FB" w:rsidRDefault="009B22B4" w:rsidP="00832DDD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0969FB">
        <w:rPr>
          <w:szCs w:val="20"/>
        </w:rPr>
        <w:tab/>
      </w:r>
      <w:r w:rsidRPr="000969FB">
        <w:rPr>
          <w:b/>
          <w:szCs w:val="20"/>
        </w:rPr>
        <w:t>Dodatkové pojistné podmínky</w:t>
      </w:r>
    </w:p>
    <w:p w:rsidR="009B22B4" w:rsidRPr="000969FB" w:rsidRDefault="00FF6685" w:rsidP="00FF6685">
      <w:pPr>
        <w:tabs>
          <w:tab w:val="left" w:pos="426"/>
          <w:tab w:val="left" w:pos="1786"/>
        </w:tabs>
        <w:spacing w:after="120"/>
        <w:ind w:left="1560" w:hanging="1560"/>
        <w:rPr>
          <w:szCs w:val="20"/>
        </w:rPr>
      </w:pPr>
      <w:r w:rsidRPr="000969FB">
        <w:rPr>
          <w:szCs w:val="20"/>
        </w:rPr>
        <w:tab/>
        <w:t>DPP P-520/14 -</w:t>
      </w:r>
      <w:r w:rsidRPr="000969FB">
        <w:rPr>
          <w:szCs w:val="20"/>
        </w:rPr>
        <w:tab/>
      </w:r>
      <w:r w:rsidR="009B22B4" w:rsidRPr="000969FB">
        <w:rPr>
          <w:szCs w:val="20"/>
        </w:rPr>
        <w:t>pro pojištění hospodářských rizik, sestávající se z následujících doložek:</w:t>
      </w:r>
    </w:p>
    <w:p w:rsidR="00CD1796" w:rsidRPr="000969FB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0969FB">
        <w:rPr>
          <w:szCs w:val="20"/>
        </w:rPr>
        <w:tab/>
      </w:r>
      <w:r w:rsidRPr="000969FB">
        <w:rPr>
          <w:b/>
          <w:szCs w:val="20"/>
        </w:rPr>
        <w:t>Živel</w:t>
      </w:r>
      <w:r w:rsidR="00CD1796" w:rsidRPr="000969FB">
        <w:rPr>
          <w:szCs w:val="20"/>
        </w:rPr>
        <w:t xml:space="preserve"> </w:t>
      </w:r>
    </w:p>
    <w:p w:rsidR="00CD1796" w:rsidRPr="000969FB" w:rsidRDefault="00F26672" w:rsidP="004768DA">
      <w:pPr>
        <w:tabs>
          <w:tab w:val="left" w:pos="426"/>
          <w:tab w:val="left" w:pos="1191"/>
        </w:tabs>
        <w:ind w:left="1560" w:hanging="1560"/>
        <w:rPr>
          <w:szCs w:val="20"/>
        </w:rPr>
      </w:pPr>
      <w:r w:rsidRPr="000969FB">
        <w:rPr>
          <w:szCs w:val="20"/>
        </w:rPr>
        <w:tab/>
      </w:r>
      <w:r w:rsidR="00CD1796" w:rsidRPr="000969FB">
        <w:rPr>
          <w:szCs w:val="20"/>
        </w:rPr>
        <w:t>DZ101 -</w:t>
      </w:r>
      <w:r w:rsidR="00CD1796" w:rsidRPr="000969FB">
        <w:rPr>
          <w:szCs w:val="20"/>
        </w:rPr>
        <w:tab/>
      </w:r>
      <w:r w:rsidR="009B22B4" w:rsidRPr="000969FB">
        <w:rPr>
          <w:szCs w:val="20"/>
        </w:rPr>
        <w:t>Lehké stavb</w:t>
      </w:r>
      <w:r w:rsidR="00CD1796" w:rsidRPr="000969FB">
        <w:rPr>
          <w:szCs w:val="20"/>
        </w:rPr>
        <w:t>y, dřevostavby - Výluka (1401)</w:t>
      </w:r>
    </w:p>
    <w:p w:rsidR="009B22B4" w:rsidRPr="000969FB" w:rsidRDefault="00F26672" w:rsidP="004768DA">
      <w:pPr>
        <w:tabs>
          <w:tab w:val="left" w:pos="426"/>
          <w:tab w:val="left" w:pos="1191"/>
        </w:tabs>
        <w:ind w:left="1560" w:hanging="1560"/>
        <w:rPr>
          <w:szCs w:val="20"/>
        </w:rPr>
      </w:pPr>
      <w:r w:rsidRPr="000969FB">
        <w:rPr>
          <w:szCs w:val="20"/>
        </w:rPr>
        <w:tab/>
      </w:r>
      <w:r w:rsidR="00CD1796" w:rsidRPr="000969FB">
        <w:rPr>
          <w:szCs w:val="20"/>
        </w:rPr>
        <w:t>DZ106 -</w:t>
      </w:r>
      <w:r w:rsidR="00CD1796" w:rsidRPr="000969FB">
        <w:rPr>
          <w:szCs w:val="20"/>
        </w:rPr>
        <w:tab/>
      </w:r>
      <w:r w:rsidR="009B22B4" w:rsidRPr="000969FB">
        <w:rPr>
          <w:szCs w:val="20"/>
        </w:rPr>
        <w:t>Zásoby a jejich uložení - Vymezení podmínek (1401)</w:t>
      </w:r>
    </w:p>
    <w:p w:rsidR="009B22B4" w:rsidRPr="000969FB" w:rsidRDefault="00F26672" w:rsidP="004768DA">
      <w:pPr>
        <w:tabs>
          <w:tab w:val="left" w:pos="426"/>
          <w:tab w:val="left" w:pos="1191"/>
          <w:tab w:val="left" w:pos="1247"/>
        </w:tabs>
        <w:ind w:left="1560" w:hanging="1560"/>
        <w:rPr>
          <w:szCs w:val="20"/>
        </w:rPr>
      </w:pPr>
      <w:r w:rsidRPr="000969FB">
        <w:rPr>
          <w:b/>
          <w:color w:val="FF00FF"/>
          <w:szCs w:val="20"/>
        </w:rPr>
        <w:tab/>
      </w:r>
      <w:r w:rsidR="00CD1796" w:rsidRPr="000969FB">
        <w:rPr>
          <w:szCs w:val="20"/>
        </w:rPr>
        <w:t>DZ112 -</w:t>
      </w:r>
      <w:r w:rsidR="00CD1796" w:rsidRPr="000969FB">
        <w:rPr>
          <w:szCs w:val="20"/>
        </w:rPr>
        <w:tab/>
      </w:r>
      <w:proofErr w:type="spellStart"/>
      <w:r w:rsidR="009B22B4" w:rsidRPr="000969FB">
        <w:rPr>
          <w:szCs w:val="20"/>
        </w:rPr>
        <w:t>Fotovoltaická</w:t>
      </w:r>
      <w:proofErr w:type="spellEnd"/>
      <w:r w:rsidR="009B22B4" w:rsidRPr="000969FB">
        <w:rPr>
          <w:szCs w:val="20"/>
        </w:rPr>
        <w:t xml:space="preserve"> elektrárna - Výluka (1401)</w:t>
      </w:r>
    </w:p>
    <w:p w:rsidR="009B22B4" w:rsidRPr="000969FB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0969FB">
        <w:rPr>
          <w:szCs w:val="20"/>
        </w:rPr>
        <w:tab/>
      </w:r>
      <w:r w:rsidRPr="000969FB">
        <w:rPr>
          <w:b/>
          <w:szCs w:val="20"/>
        </w:rPr>
        <w:t>Zabezpečení</w:t>
      </w:r>
    </w:p>
    <w:p w:rsidR="009B22B4" w:rsidRPr="000969FB" w:rsidRDefault="00CD1796" w:rsidP="00DD55C5">
      <w:pPr>
        <w:keepLines/>
        <w:tabs>
          <w:tab w:val="left" w:pos="426"/>
          <w:tab w:val="left" w:pos="1332"/>
        </w:tabs>
        <w:ind w:left="1332" w:hanging="1332"/>
        <w:rPr>
          <w:szCs w:val="20"/>
        </w:rPr>
      </w:pPr>
      <w:r w:rsidRPr="000969FB">
        <w:rPr>
          <w:b/>
          <w:color w:val="FF00FF"/>
          <w:szCs w:val="20"/>
        </w:rPr>
        <w:tab/>
      </w:r>
      <w:r w:rsidRPr="000969FB">
        <w:rPr>
          <w:szCs w:val="20"/>
        </w:rPr>
        <w:t>DOZ101 -</w:t>
      </w:r>
      <w:r w:rsidRPr="000969FB">
        <w:rPr>
          <w:szCs w:val="20"/>
        </w:rPr>
        <w:tab/>
      </w:r>
      <w:r w:rsidR="009B22B4" w:rsidRPr="000969FB">
        <w:rPr>
          <w:szCs w:val="20"/>
        </w:rPr>
        <w:t>Předepsané způsoby zabezpečení pojištěných věcí (netýká se fi</w:t>
      </w:r>
      <w:r w:rsidR="000D0067" w:rsidRPr="000969FB">
        <w:rPr>
          <w:szCs w:val="20"/>
        </w:rPr>
        <w:t>nančních prostředků a </w:t>
      </w:r>
      <w:r w:rsidR="009B22B4" w:rsidRPr="000969FB">
        <w:rPr>
          <w:szCs w:val="20"/>
        </w:rPr>
        <w:t xml:space="preserve">cenných </w:t>
      </w:r>
      <w:proofErr w:type="gramStart"/>
      <w:r w:rsidR="009B22B4" w:rsidRPr="000969FB">
        <w:rPr>
          <w:szCs w:val="20"/>
        </w:rPr>
        <w:t>předmětů) (16</w:t>
      </w:r>
      <w:r w:rsidR="00705D2B" w:rsidRPr="000969FB">
        <w:rPr>
          <w:szCs w:val="20"/>
        </w:rPr>
        <w:t>12</w:t>
      </w:r>
      <w:proofErr w:type="gramEnd"/>
      <w:r w:rsidR="009B22B4" w:rsidRPr="000969FB">
        <w:rPr>
          <w:szCs w:val="20"/>
        </w:rPr>
        <w:t>)</w:t>
      </w:r>
    </w:p>
    <w:p w:rsidR="009B22B4" w:rsidRPr="000969FB" w:rsidRDefault="00CD1796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0969FB">
        <w:rPr>
          <w:b/>
          <w:color w:val="FF00FF"/>
          <w:szCs w:val="20"/>
        </w:rPr>
        <w:tab/>
      </w:r>
      <w:r w:rsidR="009B22B4" w:rsidRPr="000969FB">
        <w:rPr>
          <w:szCs w:val="20"/>
        </w:rPr>
        <w:t>DOZ102</w:t>
      </w:r>
      <w:r w:rsidRPr="000969FB">
        <w:rPr>
          <w:szCs w:val="20"/>
        </w:rPr>
        <w:t xml:space="preserve"> -</w:t>
      </w:r>
      <w:r w:rsidRPr="000969FB">
        <w:rPr>
          <w:szCs w:val="20"/>
        </w:rPr>
        <w:tab/>
      </w:r>
      <w:r w:rsidR="009B22B4" w:rsidRPr="000969FB">
        <w:rPr>
          <w:szCs w:val="20"/>
        </w:rPr>
        <w:t>Předepsané způsoby zabezpečení finančních prostředků a cenných předmětů (1606)</w:t>
      </w:r>
    </w:p>
    <w:p w:rsidR="009B22B4" w:rsidRPr="000969FB" w:rsidRDefault="00CD1796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0969FB">
        <w:rPr>
          <w:b/>
          <w:color w:val="FF00FF"/>
          <w:szCs w:val="20"/>
        </w:rPr>
        <w:tab/>
      </w:r>
      <w:r w:rsidRPr="000969FB">
        <w:rPr>
          <w:szCs w:val="20"/>
        </w:rPr>
        <w:t>DOZ105 -</w:t>
      </w:r>
      <w:r w:rsidRPr="000969FB">
        <w:rPr>
          <w:szCs w:val="20"/>
        </w:rPr>
        <w:tab/>
      </w:r>
      <w:r w:rsidR="009B22B4" w:rsidRPr="000969FB">
        <w:rPr>
          <w:szCs w:val="20"/>
        </w:rPr>
        <w:t>Předepsané způsoby zabezpečení - Výklad pojmů (1401)</w:t>
      </w:r>
    </w:p>
    <w:p w:rsidR="009B22B4" w:rsidRPr="000969FB" w:rsidRDefault="00CD1796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0969FB">
        <w:rPr>
          <w:b/>
          <w:color w:val="FF00FF"/>
          <w:szCs w:val="20"/>
        </w:rPr>
        <w:tab/>
      </w:r>
      <w:r w:rsidRPr="000969FB">
        <w:rPr>
          <w:szCs w:val="20"/>
        </w:rPr>
        <w:t>DOZ108 -</w:t>
      </w:r>
      <w:r w:rsidRPr="000969FB">
        <w:rPr>
          <w:szCs w:val="20"/>
        </w:rPr>
        <w:tab/>
      </w:r>
      <w:r w:rsidR="009B22B4" w:rsidRPr="000969FB">
        <w:rPr>
          <w:szCs w:val="20"/>
        </w:rPr>
        <w:t>Předepsané způsoby zabezpečení mobilních strojů (1606)</w:t>
      </w:r>
    </w:p>
    <w:p w:rsidR="009B22B4" w:rsidRPr="000969FB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0969FB">
        <w:rPr>
          <w:szCs w:val="20"/>
        </w:rPr>
        <w:tab/>
      </w:r>
      <w:r w:rsidRPr="000969FB">
        <w:rPr>
          <w:b/>
          <w:szCs w:val="20"/>
        </w:rPr>
        <w:t>Stroje</w:t>
      </w:r>
    </w:p>
    <w:p w:rsidR="009B22B4" w:rsidRPr="000969FB" w:rsidRDefault="004A223A" w:rsidP="00910D56">
      <w:pPr>
        <w:tabs>
          <w:tab w:val="left" w:pos="426"/>
          <w:tab w:val="left" w:pos="1276"/>
        </w:tabs>
        <w:ind w:left="1560" w:hanging="1560"/>
        <w:rPr>
          <w:szCs w:val="20"/>
        </w:rPr>
      </w:pPr>
      <w:r w:rsidRPr="000969FB">
        <w:rPr>
          <w:szCs w:val="20"/>
        </w:rPr>
        <w:tab/>
        <w:t>DST109 -</w:t>
      </w:r>
      <w:r w:rsidRPr="000969FB">
        <w:rPr>
          <w:szCs w:val="20"/>
        </w:rPr>
        <w:tab/>
      </w:r>
      <w:r w:rsidR="009B22B4" w:rsidRPr="000969FB">
        <w:rPr>
          <w:szCs w:val="20"/>
        </w:rPr>
        <w:t>Ponorná čerpadla nebo čerpadla v hlubinných studních - Výluka (1401)</w:t>
      </w:r>
    </w:p>
    <w:p w:rsidR="009B22B4" w:rsidRPr="000969FB" w:rsidRDefault="004A223A" w:rsidP="00910D56">
      <w:pPr>
        <w:tabs>
          <w:tab w:val="left" w:pos="426"/>
          <w:tab w:val="left" w:pos="1276"/>
        </w:tabs>
        <w:ind w:left="1560" w:hanging="1560"/>
        <w:rPr>
          <w:szCs w:val="20"/>
        </w:rPr>
      </w:pPr>
      <w:r w:rsidRPr="000969FB">
        <w:rPr>
          <w:szCs w:val="20"/>
        </w:rPr>
        <w:tab/>
        <w:t>DST111 -</w:t>
      </w:r>
      <w:r w:rsidRPr="000969FB">
        <w:rPr>
          <w:szCs w:val="20"/>
        </w:rPr>
        <w:tab/>
      </w:r>
      <w:r w:rsidR="009B22B4" w:rsidRPr="000969FB">
        <w:rPr>
          <w:szCs w:val="20"/>
        </w:rPr>
        <w:t>Výměna agregátů, opravy vinutí - Vymezení pojistného plnění (1401)</w:t>
      </w:r>
    </w:p>
    <w:p w:rsidR="009B22B4" w:rsidRPr="000969FB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0969FB">
        <w:rPr>
          <w:szCs w:val="20"/>
        </w:rPr>
        <w:tab/>
      </w:r>
      <w:r w:rsidRPr="000969FB">
        <w:rPr>
          <w:b/>
          <w:szCs w:val="20"/>
        </w:rPr>
        <w:t>Obecné</w:t>
      </w:r>
    </w:p>
    <w:p w:rsidR="009B22B4" w:rsidRPr="000969FB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0969FB">
        <w:rPr>
          <w:szCs w:val="20"/>
        </w:rPr>
        <w:tab/>
        <w:t>DOB101 -</w:t>
      </w:r>
      <w:r w:rsidRPr="000969FB">
        <w:rPr>
          <w:szCs w:val="20"/>
        </w:rPr>
        <w:tab/>
      </w:r>
      <w:r w:rsidR="009B22B4" w:rsidRPr="000969FB">
        <w:rPr>
          <w:szCs w:val="20"/>
        </w:rPr>
        <w:t>Elektronická rizika - Výluka (1401)</w:t>
      </w:r>
    </w:p>
    <w:p w:rsidR="009B22B4" w:rsidRPr="000969FB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0969FB">
        <w:rPr>
          <w:szCs w:val="20"/>
        </w:rPr>
        <w:tab/>
        <w:t>DOB103 -</w:t>
      </w:r>
      <w:r w:rsidRPr="000969FB">
        <w:rPr>
          <w:szCs w:val="20"/>
        </w:rPr>
        <w:tab/>
      </w:r>
      <w:r w:rsidR="009B22B4" w:rsidRPr="000969FB">
        <w:rPr>
          <w:szCs w:val="20"/>
        </w:rPr>
        <w:t>Výklad pojmů pro účely pojistné smlouvy (1401)</w:t>
      </w:r>
    </w:p>
    <w:p w:rsidR="009B22B4" w:rsidRPr="000969FB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0969FB">
        <w:rPr>
          <w:szCs w:val="20"/>
        </w:rPr>
        <w:tab/>
        <w:t>DOB105 -</w:t>
      </w:r>
      <w:r w:rsidRPr="000969FB">
        <w:rPr>
          <w:szCs w:val="20"/>
        </w:rPr>
        <w:tab/>
      </w:r>
      <w:r w:rsidR="009B22B4" w:rsidRPr="000969FB">
        <w:rPr>
          <w:szCs w:val="20"/>
        </w:rPr>
        <w:t xml:space="preserve">Tíha sněhu, námraza - Vymezení podmínek (1401) </w:t>
      </w:r>
    </w:p>
    <w:p w:rsidR="002E36D1" w:rsidRDefault="009B22B4" w:rsidP="002E36D1">
      <w:pPr>
        <w:pStyle w:val="Nadpislnk"/>
        <w:spacing w:after="0"/>
      </w:pPr>
      <w:r w:rsidRPr="000969FB">
        <w:t>Článek II.</w:t>
      </w:r>
    </w:p>
    <w:p w:rsidR="009B22B4" w:rsidRPr="000969FB" w:rsidRDefault="009B22B4" w:rsidP="002E36D1">
      <w:pPr>
        <w:pStyle w:val="Nadpislnk"/>
        <w:spacing w:before="0"/>
      </w:pPr>
      <w:r w:rsidRPr="000969FB">
        <w:t>Druhy a způsoby pojištění, předměty a rozsah pojištění</w:t>
      </w:r>
    </w:p>
    <w:p w:rsidR="009B22B4" w:rsidRPr="000969FB" w:rsidRDefault="009B22B4" w:rsidP="00E41D35">
      <w:pPr>
        <w:pStyle w:val="slovn-rove1"/>
        <w:numPr>
          <w:ilvl w:val="0"/>
          <w:numId w:val="9"/>
        </w:numPr>
      </w:pPr>
      <w:r w:rsidRPr="000969FB">
        <w:t xml:space="preserve">Obecná ujednání pro pojištění majetku </w:t>
      </w:r>
    </w:p>
    <w:p w:rsidR="009B22B4" w:rsidRPr="000969FB" w:rsidRDefault="009B22B4" w:rsidP="00521E53">
      <w:pPr>
        <w:pStyle w:val="slovn-rove2-netun"/>
      </w:pPr>
      <w:r w:rsidRPr="000969FB"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9B22B4" w:rsidRPr="000969FB" w:rsidRDefault="009B22B4" w:rsidP="003C0442">
      <w:pPr>
        <w:pStyle w:val="slovn-rove2"/>
        <w:keepLines/>
        <w:spacing w:after="0"/>
      </w:pPr>
      <w:r w:rsidRPr="000969FB">
        <w:t>Pro pojištění m</w:t>
      </w:r>
      <w:r w:rsidR="002E36D1">
        <w:t>ajetku je místem pojištění:</w:t>
      </w:r>
    </w:p>
    <w:p w:rsidR="009B22B4" w:rsidRDefault="00451F2F" w:rsidP="00451F2F">
      <w:pPr>
        <w:pStyle w:val="slovn-rove3"/>
        <w:numPr>
          <w:ilvl w:val="0"/>
          <w:numId w:val="0"/>
        </w:numPr>
        <w:tabs>
          <w:tab w:val="clear" w:pos="454"/>
          <w:tab w:val="clear" w:pos="510"/>
          <w:tab w:val="left" w:pos="1134"/>
        </w:tabs>
        <w:spacing w:before="0"/>
        <w:ind w:left="425"/>
        <w:rPr>
          <w:b w:val="0"/>
        </w:rPr>
      </w:pPr>
      <w:r>
        <w:rPr>
          <w:b w:val="0"/>
        </w:rPr>
        <w:t>1.2.1.</w:t>
      </w:r>
      <w:r>
        <w:rPr>
          <w:b w:val="0"/>
        </w:rPr>
        <w:tab/>
        <w:t xml:space="preserve">Úpravna vody Želivka (areál), Hulice 106, PSČ 257 63 </w:t>
      </w:r>
      <w:r w:rsidRPr="00451F2F">
        <w:rPr>
          <w:b w:val="0"/>
        </w:rPr>
        <w:t>Trhový</w:t>
      </w:r>
      <w:r>
        <w:rPr>
          <w:b w:val="0"/>
        </w:rPr>
        <w:t xml:space="preserve"> Štěpánov;</w:t>
      </w:r>
    </w:p>
    <w:p w:rsidR="00451F2F" w:rsidRDefault="00451F2F" w:rsidP="00451F2F">
      <w:pPr>
        <w:pStyle w:val="slovn-rove3"/>
        <w:numPr>
          <w:ilvl w:val="0"/>
          <w:numId w:val="0"/>
        </w:numPr>
        <w:tabs>
          <w:tab w:val="clear" w:pos="454"/>
          <w:tab w:val="clear" w:pos="510"/>
          <w:tab w:val="left" w:pos="1134"/>
        </w:tabs>
        <w:spacing w:before="0"/>
        <w:ind w:left="425"/>
        <w:rPr>
          <w:b w:val="0"/>
        </w:rPr>
      </w:pPr>
      <w:r>
        <w:rPr>
          <w:b w:val="0"/>
        </w:rPr>
        <w:t>1.2.2.</w:t>
      </w:r>
      <w:r>
        <w:rPr>
          <w:b w:val="0"/>
        </w:rPr>
        <w:tab/>
      </w:r>
      <w:proofErr w:type="spellStart"/>
      <w:proofErr w:type="gramStart"/>
      <w:r>
        <w:rPr>
          <w:b w:val="0"/>
        </w:rPr>
        <w:t>k.ú</w:t>
      </w:r>
      <w:proofErr w:type="spellEnd"/>
      <w:r>
        <w:rPr>
          <w:b w:val="0"/>
        </w:rPr>
        <w:t>.</w:t>
      </w:r>
      <w:proofErr w:type="gramEnd"/>
      <w:r>
        <w:rPr>
          <w:b w:val="0"/>
        </w:rPr>
        <w:t xml:space="preserve"> Vestec u Prahy, Objekt vodojemu Jesenice (areál), Vestecká 151, 252 42 Vestec, VDJ Jesenice;</w:t>
      </w:r>
    </w:p>
    <w:p w:rsidR="00451F2F" w:rsidRDefault="00451F2F" w:rsidP="00451F2F">
      <w:pPr>
        <w:pStyle w:val="slovn-rove3"/>
        <w:numPr>
          <w:ilvl w:val="0"/>
          <w:numId w:val="0"/>
        </w:numPr>
        <w:tabs>
          <w:tab w:val="clear" w:pos="454"/>
          <w:tab w:val="clear" w:pos="510"/>
          <w:tab w:val="left" w:pos="1134"/>
        </w:tabs>
        <w:spacing w:before="0"/>
        <w:ind w:left="425"/>
        <w:rPr>
          <w:b w:val="0"/>
        </w:rPr>
      </w:pPr>
      <w:r>
        <w:rPr>
          <w:b w:val="0"/>
        </w:rPr>
        <w:t>1.2.3.</w:t>
      </w:r>
      <w:r>
        <w:rPr>
          <w:b w:val="0"/>
        </w:rPr>
        <w:tab/>
        <w:t xml:space="preserve">K Horkám 16/23, </w:t>
      </w:r>
      <w:proofErr w:type="gramStart"/>
      <w:r>
        <w:rPr>
          <w:b w:val="0"/>
        </w:rPr>
        <w:t>102 00  Praha</w:t>
      </w:r>
      <w:proofErr w:type="gramEnd"/>
      <w:r>
        <w:rPr>
          <w:b w:val="0"/>
        </w:rPr>
        <w:t xml:space="preserve"> 10;</w:t>
      </w:r>
    </w:p>
    <w:p w:rsidR="00451F2F" w:rsidRPr="00451F2F" w:rsidRDefault="00451F2F" w:rsidP="00451F2F">
      <w:pPr>
        <w:pStyle w:val="slovn-rove3"/>
        <w:numPr>
          <w:ilvl w:val="0"/>
          <w:numId w:val="0"/>
        </w:numPr>
        <w:tabs>
          <w:tab w:val="clear" w:pos="454"/>
          <w:tab w:val="clear" w:pos="510"/>
          <w:tab w:val="left" w:pos="1134"/>
        </w:tabs>
        <w:spacing w:before="0"/>
        <w:ind w:left="425"/>
        <w:rPr>
          <w:b w:val="0"/>
        </w:rPr>
      </w:pPr>
      <w:r>
        <w:rPr>
          <w:b w:val="0"/>
        </w:rPr>
        <w:t>1.2.4.</w:t>
      </w:r>
      <w:r>
        <w:rPr>
          <w:b w:val="0"/>
        </w:rPr>
        <w:tab/>
        <w:t>další lokality na území ČR, která pojistník nebo pojištěný po právu užívá;</w:t>
      </w:r>
    </w:p>
    <w:p w:rsidR="009B22B4" w:rsidRPr="000969FB" w:rsidRDefault="009B22B4" w:rsidP="003C0442">
      <w:pPr>
        <w:keepLines/>
        <w:spacing w:after="120"/>
        <w:ind w:left="426"/>
      </w:pPr>
      <w:r w:rsidRPr="000969FB">
        <w:t>není-li dále uvedeno jinak.</w:t>
      </w:r>
    </w:p>
    <w:p w:rsidR="009B22B4" w:rsidRPr="000969FB" w:rsidRDefault="009B22B4" w:rsidP="00CD617F">
      <w:pPr>
        <w:pStyle w:val="slovn-rove1"/>
        <w:numPr>
          <w:ilvl w:val="0"/>
          <w:numId w:val="9"/>
        </w:numPr>
        <w:spacing w:before="240" w:after="80"/>
      </w:pPr>
      <w:r w:rsidRPr="000969FB">
        <w:lastRenderedPageBreak/>
        <w:t>Přehled sjednaných pojištění</w:t>
      </w:r>
    </w:p>
    <w:p w:rsidR="009B22B4" w:rsidRPr="000969FB" w:rsidRDefault="009B22B4" w:rsidP="00CD617F">
      <w:pPr>
        <w:pStyle w:val="slovn-rove2"/>
        <w:spacing w:before="300" w:after="0"/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0969FB">
        <w:t>Živelní pojištění</w:t>
      </w:r>
    </w:p>
    <w:p w:rsidR="009B22B4" w:rsidRPr="000969FB" w:rsidRDefault="009B22B4" w:rsidP="00CD617F">
      <w:pPr>
        <w:keepLines/>
        <w:spacing w:before="120" w:after="120"/>
      </w:pPr>
      <w:r w:rsidRPr="000969FB">
        <w:t>Pojištění se sjednává pro předměty pojištění v rozsahu a na místech pojištění uvedených v následující tabulce/následujících tabulkách:</w:t>
      </w:r>
    </w:p>
    <w:p w:rsidR="009B22B4" w:rsidRPr="000969FB" w:rsidRDefault="009B22B4" w:rsidP="00CD617F">
      <w:pPr>
        <w:pStyle w:val="slovn-rove3"/>
        <w:spacing w:before="180" w:after="60"/>
      </w:pPr>
      <w:r w:rsidRPr="000969FB">
        <w:t>Živelní pojištění</w:t>
      </w:r>
    </w:p>
    <w:tbl>
      <w:tblPr>
        <w:tblStyle w:val="Mkatabulky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2"/>
        <w:gridCol w:w="1418"/>
        <w:gridCol w:w="1277"/>
        <w:gridCol w:w="1559"/>
        <w:gridCol w:w="1558"/>
      </w:tblGrid>
      <w:tr w:rsidR="009B22B4" w:rsidRPr="000969FB" w:rsidTr="00CD617F">
        <w:tc>
          <w:tcPr>
            <w:tcW w:w="10348" w:type="dxa"/>
            <w:gridSpan w:val="7"/>
          </w:tcPr>
          <w:p w:rsidR="009B22B4" w:rsidRPr="00451F2F" w:rsidRDefault="009B22B4" w:rsidP="0094395E">
            <w:r w:rsidRPr="000969FB">
              <w:rPr>
                <w:b/>
              </w:rPr>
              <w:t>Místo pojištění:</w:t>
            </w:r>
            <w:r w:rsidR="00451F2F">
              <w:rPr>
                <w:b/>
              </w:rPr>
              <w:t xml:space="preserve"> </w:t>
            </w:r>
            <w:r w:rsidR="00451F2F">
              <w:t>viz čl. II. bod 1.2.</w:t>
            </w:r>
          </w:p>
        </w:tc>
      </w:tr>
      <w:tr w:rsidR="009B22B4" w:rsidRPr="000969FB" w:rsidTr="00CD617F">
        <w:tc>
          <w:tcPr>
            <w:tcW w:w="10348" w:type="dxa"/>
            <w:gridSpan w:val="7"/>
          </w:tcPr>
          <w:p w:rsidR="009B22B4" w:rsidRPr="000969FB" w:rsidRDefault="009B22B4" w:rsidP="005331F0">
            <w:r w:rsidRPr="000969FB">
              <w:rPr>
                <w:b/>
              </w:rPr>
              <w:t>Rozsah pojištění:</w:t>
            </w:r>
            <w:r w:rsidRPr="000969FB">
              <w:t xml:space="preserve"> </w:t>
            </w:r>
            <w:r w:rsidR="005331F0">
              <w:t>„</w:t>
            </w:r>
            <w:proofErr w:type="spellStart"/>
            <w:r w:rsidR="005331F0">
              <w:t>flexa</w:t>
            </w:r>
            <w:proofErr w:type="spellEnd"/>
            <w:r w:rsidR="005331F0">
              <w:t xml:space="preserve">“, „vodovodní škody“, „vichřice, krupobití“, povodeň a záplava, zemětřesení, </w:t>
            </w:r>
            <w:r w:rsidR="00422C74">
              <w:t>atmosférické srážky a vlivy, nepřímý úder blesku</w:t>
            </w:r>
            <w:r w:rsidR="009B6D91">
              <w:t xml:space="preserve"> a </w:t>
            </w:r>
            <w:r w:rsidR="00422C74">
              <w:t>přepětí, terorismus a sabotáž</w:t>
            </w:r>
          </w:p>
        </w:tc>
      </w:tr>
      <w:tr w:rsidR="009B22B4" w:rsidRPr="000969FB" w:rsidTr="00CD617F">
        <w:tc>
          <w:tcPr>
            <w:tcW w:w="10348" w:type="dxa"/>
            <w:gridSpan w:val="7"/>
          </w:tcPr>
          <w:p w:rsidR="009B22B4" w:rsidRPr="000969FB" w:rsidRDefault="009B22B4" w:rsidP="00C3191D">
            <w:r w:rsidRPr="000969FB">
              <w:rPr>
                <w:b/>
              </w:rPr>
              <w:t>Pojištění se řídí:</w:t>
            </w:r>
            <w:r w:rsidRPr="000969FB">
              <w:t xml:space="preserve"> VPP P-100/14, ZPP P-150/14</w:t>
            </w:r>
            <w:r w:rsidR="00DD2855">
              <w:t>, zvláštním ujednáním pro pojištění terorismu a sabotáže v příloze č. 1</w:t>
            </w:r>
            <w:r w:rsidRPr="000969FB">
              <w:t xml:space="preserve"> a doložkami DOB101, DOB103, DOB105</w:t>
            </w:r>
            <w:r w:rsidR="00C3191D">
              <w:t>, DZ101, DZ106, DZ112</w:t>
            </w:r>
          </w:p>
        </w:tc>
      </w:tr>
      <w:tr w:rsidR="009B22B4" w:rsidRPr="000969FB" w:rsidTr="00CD617F">
        <w:trPr>
          <w:cantSplit/>
        </w:trPr>
        <w:tc>
          <w:tcPr>
            <w:tcW w:w="709" w:type="dxa"/>
            <w:vAlign w:val="center"/>
          </w:tcPr>
          <w:p w:rsidR="009B22B4" w:rsidRPr="000969FB" w:rsidRDefault="009B22B4" w:rsidP="0094395E">
            <w:pPr>
              <w:jc w:val="center"/>
              <w:rPr>
                <w:b/>
              </w:rPr>
            </w:pPr>
            <w:proofErr w:type="spellStart"/>
            <w:r w:rsidRPr="000969FB">
              <w:rPr>
                <w:b/>
              </w:rPr>
              <w:t>Poř</w:t>
            </w:r>
            <w:proofErr w:type="spellEnd"/>
            <w:r w:rsidRPr="000969FB">
              <w:rPr>
                <w:b/>
              </w:rPr>
              <w:t>. číslo</w:t>
            </w:r>
          </w:p>
        </w:tc>
        <w:tc>
          <w:tcPr>
            <w:tcW w:w="1985" w:type="dxa"/>
            <w:vAlign w:val="center"/>
          </w:tcPr>
          <w:p w:rsidR="009B22B4" w:rsidRPr="000969FB" w:rsidRDefault="009B22B4" w:rsidP="0094395E">
            <w:pPr>
              <w:jc w:val="center"/>
              <w:rPr>
                <w:b/>
              </w:rPr>
            </w:pPr>
            <w:r w:rsidRPr="000969FB">
              <w:rPr>
                <w:b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:rsidR="009B22B4" w:rsidRPr="000969FB" w:rsidRDefault="009B22B4" w:rsidP="0094395E">
            <w:pPr>
              <w:jc w:val="center"/>
              <w:rPr>
                <w:b/>
              </w:rPr>
            </w:pPr>
            <w:r w:rsidRPr="000969FB">
              <w:rPr>
                <w:b/>
              </w:rPr>
              <w:t>Pojistná částka</w:t>
            </w:r>
            <w:r w:rsidRPr="000969FB">
              <w:rPr>
                <w:b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B22B4" w:rsidRPr="000969FB" w:rsidRDefault="009B22B4" w:rsidP="0094395E">
            <w:pPr>
              <w:jc w:val="center"/>
              <w:rPr>
                <w:b/>
              </w:rPr>
            </w:pPr>
            <w:r w:rsidRPr="000969FB">
              <w:rPr>
                <w:b/>
              </w:rPr>
              <w:t>Spoluúčast</w:t>
            </w:r>
            <w:r w:rsidRPr="000969FB">
              <w:rPr>
                <w:b/>
                <w:vertAlign w:val="superscript"/>
              </w:rPr>
              <w:t>5)</w:t>
            </w:r>
          </w:p>
        </w:tc>
        <w:tc>
          <w:tcPr>
            <w:tcW w:w="1277" w:type="dxa"/>
            <w:vAlign w:val="center"/>
          </w:tcPr>
          <w:p w:rsidR="009B22B4" w:rsidRPr="000969FB" w:rsidRDefault="009B22B4" w:rsidP="0094395E">
            <w:pPr>
              <w:jc w:val="center"/>
              <w:rPr>
                <w:b/>
              </w:rPr>
            </w:pPr>
            <w:r w:rsidRPr="000969FB">
              <w:rPr>
                <w:b/>
              </w:rPr>
              <w:t>Pojištění se sjednává na cenu</w:t>
            </w:r>
            <w:r w:rsidRPr="000969FB">
              <w:rPr>
                <w:b/>
                <w:vertAlign w:val="superscript"/>
              </w:rPr>
              <w:t>*</w:t>
            </w:r>
            <w:r w:rsidR="00E6665B" w:rsidRPr="000969FB">
              <w:rPr>
                <w:b/>
                <w:vertAlign w:val="superscript"/>
              </w:rPr>
              <w:t xml:space="preserve">) </w:t>
            </w:r>
            <w:r w:rsidRPr="000969FB">
              <w:rPr>
                <w:b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:rsidR="009B22B4" w:rsidRPr="000969FB" w:rsidRDefault="009B22B4" w:rsidP="0094395E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  <w:p w:rsidR="009B22B4" w:rsidRPr="000969FB" w:rsidRDefault="009B22B4" w:rsidP="0094395E">
            <w:pPr>
              <w:jc w:val="center"/>
              <w:rPr>
                <w:b/>
              </w:rPr>
            </w:pPr>
            <w:r w:rsidRPr="000969FB">
              <w:rPr>
                <w:b/>
              </w:rPr>
              <w:t>První riziko</w:t>
            </w:r>
            <w:r w:rsidRPr="000969FB">
              <w:rPr>
                <w:b/>
                <w:vertAlign w:val="superscript"/>
              </w:rPr>
              <w:t>2)</w:t>
            </w:r>
          </w:p>
        </w:tc>
        <w:tc>
          <w:tcPr>
            <w:tcW w:w="1558" w:type="dxa"/>
            <w:vAlign w:val="center"/>
          </w:tcPr>
          <w:p w:rsidR="009B22B4" w:rsidRPr="000969FB" w:rsidRDefault="009B22B4" w:rsidP="0094395E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</w:tc>
      </w:tr>
      <w:tr w:rsidR="009B22B4" w:rsidRPr="000969FB" w:rsidTr="00CD617F">
        <w:tc>
          <w:tcPr>
            <w:tcW w:w="709" w:type="dxa"/>
            <w:vAlign w:val="center"/>
          </w:tcPr>
          <w:p w:rsidR="009B22B4" w:rsidRPr="000969FB" w:rsidRDefault="009B22B4" w:rsidP="004062B5">
            <w:pPr>
              <w:jc w:val="center"/>
            </w:pPr>
            <w:r w:rsidRPr="000969FB">
              <w:t>1.</w:t>
            </w:r>
          </w:p>
        </w:tc>
        <w:tc>
          <w:tcPr>
            <w:tcW w:w="1985" w:type="dxa"/>
            <w:vAlign w:val="center"/>
          </w:tcPr>
          <w:p w:rsidR="009B22B4" w:rsidRPr="000969FB" w:rsidRDefault="004062B5" w:rsidP="004062B5">
            <w:pPr>
              <w:jc w:val="left"/>
            </w:pPr>
            <w:r>
              <w:t>Soubor nemovitostí vlastních a cizích – vyjma štolového přivaděče</w:t>
            </w:r>
          </w:p>
        </w:tc>
        <w:tc>
          <w:tcPr>
            <w:tcW w:w="1842" w:type="dxa"/>
            <w:vAlign w:val="center"/>
          </w:tcPr>
          <w:p w:rsidR="009B22B4" w:rsidRPr="000969FB" w:rsidRDefault="004062B5" w:rsidP="004062B5">
            <w:pPr>
              <w:jc w:val="center"/>
            </w:pPr>
            <w:r>
              <w:t>5 625 000 000 Kč</w:t>
            </w:r>
          </w:p>
        </w:tc>
        <w:tc>
          <w:tcPr>
            <w:tcW w:w="1418" w:type="dxa"/>
            <w:vAlign w:val="center"/>
          </w:tcPr>
          <w:p w:rsidR="009B22B4" w:rsidRPr="000969FB" w:rsidRDefault="001E4EDF" w:rsidP="004062B5">
            <w:pPr>
              <w:jc w:val="center"/>
            </w:pPr>
            <w:r>
              <w:t>Viz níže</w:t>
            </w:r>
          </w:p>
        </w:tc>
        <w:tc>
          <w:tcPr>
            <w:tcW w:w="1277" w:type="dxa"/>
            <w:vAlign w:val="center"/>
          </w:tcPr>
          <w:p w:rsidR="009B22B4" w:rsidRPr="000969FB" w:rsidRDefault="009B22B4" w:rsidP="004062B5">
            <w:pPr>
              <w:jc w:val="center"/>
            </w:pPr>
            <w:r w:rsidRPr="000969FB">
              <w:t>*)</w:t>
            </w:r>
          </w:p>
        </w:tc>
        <w:tc>
          <w:tcPr>
            <w:tcW w:w="1559" w:type="dxa"/>
            <w:vAlign w:val="center"/>
          </w:tcPr>
          <w:p w:rsidR="009B22B4" w:rsidRPr="000969FB" w:rsidRDefault="004062B5" w:rsidP="004062B5">
            <w:pPr>
              <w:jc w:val="center"/>
            </w:pPr>
            <w:r>
              <w:t>××</w:t>
            </w:r>
          </w:p>
        </w:tc>
        <w:tc>
          <w:tcPr>
            <w:tcW w:w="1558" w:type="dxa"/>
            <w:vAlign w:val="center"/>
          </w:tcPr>
          <w:p w:rsidR="009B22B4" w:rsidRPr="000969FB" w:rsidRDefault="004062B5" w:rsidP="004062B5">
            <w:pPr>
              <w:jc w:val="center"/>
            </w:pPr>
            <w:r>
              <w:t>××</w:t>
            </w:r>
          </w:p>
        </w:tc>
      </w:tr>
      <w:tr w:rsidR="004062B5" w:rsidRPr="000969FB" w:rsidTr="00CD617F">
        <w:tc>
          <w:tcPr>
            <w:tcW w:w="709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2.</w:t>
            </w:r>
          </w:p>
        </w:tc>
        <w:tc>
          <w:tcPr>
            <w:tcW w:w="1985" w:type="dxa"/>
            <w:vAlign w:val="center"/>
          </w:tcPr>
          <w:p w:rsidR="004062B5" w:rsidRPr="000969FB" w:rsidRDefault="004062B5" w:rsidP="004062B5">
            <w:pPr>
              <w:jc w:val="left"/>
            </w:pPr>
            <w:r>
              <w:t>Soubor věcí movitých vlastních a cizích – vyjma štolového přivaděče</w:t>
            </w:r>
          </w:p>
        </w:tc>
        <w:tc>
          <w:tcPr>
            <w:tcW w:w="1842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1 900 000 000 Kč</w:t>
            </w:r>
          </w:p>
        </w:tc>
        <w:tc>
          <w:tcPr>
            <w:tcW w:w="1418" w:type="dxa"/>
            <w:vAlign w:val="center"/>
          </w:tcPr>
          <w:p w:rsidR="004062B5" w:rsidRPr="000969FB" w:rsidRDefault="001E4EDF" w:rsidP="004062B5">
            <w:pPr>
              <w:jc w:val="center"/>
            </w:pPr>
            <w:r>
              <w:t>Viz níže</w:t>
            </w:r>
          </w:p>
        </w:tc>
        <w:tc>
          <w:tcPr>
            <w:tcW w:w="1277" w:type="dxa"/>
            <w:vAlign w:val="center"/>
          </w:tcPr>
          <w:p w:rsidR="004062B5" w:rsidRPr="000969FB" w:rsidRDefault="004062B5" w:rsidP="004062B5">
            <w:pPr>
              <w:jc w:val="center"/>
            </w:pPr>
            <w:r w:rsidRPr="000969FB">
              <w:t>*)</w:t>
            </w:r>
          </w:p>
        </w:tc>
        <w:tc>
          <w:tcPr>
            <w:tcW w:w="1559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××</w:t>
            </w:r>
          </w:p>
        </w:tc>
        <w:tc>
          <w:tcPr>
            <w:tcW w:w="1558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××</w:t>
            </w:r>
          </w:p>
        </w:tc>
      </w:tr>
      <w:tr w:rsidR="004062B5" w:rsidRPr="000969FB" w:rsidTr="00CD617F">
        <w:tc>
          <w:tcPr>
            <w:tcW w:w="709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3.</w:t>
            </w:r>
          </w:p>
        </w:tc>
        <w:tc>
          <w:tcPr>
            <w:tcW w:w="1985" w:type="dxa"/>
            <w:vAlign w:val="center"/>
          </w:tcPr>
          <w:p w:rsidR="004062B5" w:rsidRPr="000969FB" w:rsidRDefault="004062B5" w:rsidP="00422C74">
            <w:pPr>
              <w:jc w:val="left"/>
            </w:pPr>
            <w:r>
              <w:t>Soubor nemovitostí vlastních a cizích – štolový přivaděč</w:t>
            </w:r>
          </w:p>
        </w:tc>
        <w:tc>
          <w:tcPr>
            <w:tcW w:w="1842" w:type="dxa"/>
            <w:vAlign w:val="center"/>
          </w:tcPr>
          <w:p w:rsidR="004062B5" w:rsidRPr="000969FB" w:rsidRDefault="004062B5" w:rsidP="00422C74">
            <w:pPr>
              <w:jc w:val="center"/>
            </w:pPr>
            <w:r>
              <w:t>6 900 000 000 Kč</w:t>
            </w:r>
          </w:p>
        </w:tc>
        <w:tc>
          <w:tcPr>
            <w:tcW w:w="1418" w:type="dxa"/>
            <w:vAlign w:val="center"/>
          </w:tcPr>
          <w:p w:rsidR="004062B5" w:rsidRPr="000969FB" w:rsidRDefault="001E4EDF" w:rsidP="004062B5">
            <w:pPr>
              <w:jc w:val="center"/>
            </w:pPr>
            <w:r>
              <w:t>Viz níže</w:t>
            </w:r>
          </w:p>
        </w:tc>
        <w:tc>
          <w:tcPr>
            <w:tcW w:w="1277" w:type="dxa"/>
            <w:vAlign w:val="center"/>
          </w:tcPr>
          <w:p w:rsidR="004062B5" w:rsidRPr="000969FB" w:rsidRDefault="004062B5" w:rsidP="004062B5">
            <w:pPr>
              <w:jc w:val="center"/>
            </w:pPr>
            <w:r w:rsidRPr="000969FB">
              <w:t>*)</w:t>
            </w:r>
          </w:p>
        </w:tc>
        <w:tc>
          <w:tcPr>
            <w:tcW w:w="1559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××</w:t>
            </w:r>
          </w:p>
        </w:tc>
        <w:tc>
          <w:tcPr>
            <w:tcW w:w="1558" w:type="dxa"/>
            <w:vMerge w:val="restart"/>
            <w:vAlign w:val="center"/>
          </w:tcPr>
          <w:p w:rsidR="004062B5" w:rsidRPr="000969FB" w:rsidRDefault="004062B5" w:rsidP="004062B5">
            <w:pPr>
              <w:jc w:val="center"/>
            </w:pPr>
            <w:r>
              <w:t>40 000 000 Kč</w:t>
            </w:r>
          </w:p>
        </w:tc>
      </w:tr>
      <w:tr w:rsidR="004062B5" w:rsidRPr="000969FB" w:rsidTr="00CD617F">
        <w:tc>
          <w:tcPr>
            <w:tcW w:w="709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4.</w:t>
            </w:r>
          </w:p>
        </w:tc>
        <w:tc>
          <w:tcPr>
            <w:tcW w:w="1985" w:type="dxa"/>
            <w:vAlign w:val="center"/>
          </w:tcPr>
          <w:p w:rsidR="004062B5" w:rsidRPr="000969FB" w:rsidRDefault="004062B5" w:rsidP="004062B5">
            <w:pPr>
              <w:jc w:val="left"/>
            </w:pPr>
            <w:r>
              <w:t>Soubor věcí movitých vlastních a cizích – štolový přivaděč</w:t>
            </w:r>
          </w:p>
        </w:tc>
        <w:tc>
          <w:tcPr>
            <w:tcW w:w="1842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24 894 000 Kč</w:t>
            </w:r>
          </w:p>
        </w:tc>
        <w:tc>
          <w:tcPr>
            <w:tcW w:w="1418" w:type="dxa"/>
            <w:vAlign w:val="center"/>
          </w:tcPr>
          <w:p w:rsidR="004062B5" w:rsidRPr="000969FB" w:rsidRDefault="001E4EDF" w:rsidP="004062B5">
            <w:pPr>
              <w:jc w:val="center"/>
            </w:pPr>
            <w:r>
              <w:t>Viz níže</w:t>
            </w:r>
          </w:p>
        </w:tc>
        <w:tc>
          <w:tcPr>
            <w:tcW w:w="1277" w:type="dxa"/>
            <w:vAlign w:val="center"/>
          </w:tcPr>
          <w:p w:rsidR="004062B5" w:rsidRPr="000969FB" w:rsidRDefault="004062B5" w:rsidP="004062B5">
            <w:pPr>
              <w:jc w:val="center"/>
            </w:pPr>
            <w:r w:rsidRPr="000969FB">
              <w:t>*)</w:t>
            </w:r>
          </w:p>
        </w:tc>
        <w:tc>
          <w:tcPr>
            <w:tcW w:w="1559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××</w:t>
            </w:r>
          </w:p>
        </w:tc>
        <w:tc>
          <w:tcPr>
            <w:tcW w:w="1558" w:type="dxa"/>
            <w:vMerge/>
            <w:vAlign w:val="center"/>
          </w:tcPr>
          <w:p w:rsidR="004062B5" w:rsidRPr="000969FB" w:rsidRDefault="004062B5" w:rsidP="004062B5">
            <w:pPr>
              <w:jc w:val="center"/>
            </w:pPr>
          </w:p>
        </w:tc>
      </w:tr>
      <w:tr w:rsidR="004062B5" w:rsidRPr="000969FB" w:rsidTr="00CD617F">
        <w:tc>
          <w:tcPr>
            <w:tcW w:w="709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5.</w:t>
            </w:r>
          </w:p>
        </w:tc>
        <w:tc>
          <w:tcPr>
            <w:tcW w:w="1985" w:type="dxa"/>
            <w:vAlign w:val="center"/>
          </w:tcPr>
          <w:p w:rsidR="004062B5" w:rsidRPr="000969FB" w:rsidRDefault="004062B5" w:rsidP="004062B5">
            <w:pPr>
              <w:jc w:val="left"/>
            </w:pPr>
            <w:r>
              <w:t>Soubor zásob vlastních a cizích</w:t>
            </w:r>
          </w:p>
        </w:tc>
        <w:tc>
          <w:tcPr>
            <w:tcW w:w="1842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××</w:t>
            </w:r>
          </w:p>
        </w:tc>
        <w:tc>
          <w:tcPr>
            <w:tcW w:w="1418" w:type="dxa"/>
            <w:vAlign w:val="center"/>
          </w:tcPr>
          <w:p w:rsidR="004062B5" w:rsidRPr="000969FB" w:rsidRDefault="001E4EDF" w:rsidP="004062B5">
            <w:pPr>
              <w:jc w:val="center"/>
            </w:pPr>
            <w:r>
              <w:t>Viz níže</w:t>
            </w:r>
          </w:p>
        </w:tc>
        <w:tc>
          <w:tcPr>
            <w:tcW w:w="1277" w:type="dxa"/>
            <w:vAlign w:val="center"/>
          </w:tcPr>
          <w:p w:rsidR="004062B5" w:rsidRPr="000969FB" w:rsidRDefault="004062B5" w:rsidP="004062B5">
            <w:pPr>
              <w:jc w:val="center"/>
            </w:pPr>
            <w:r w:rsidRPr="000969FB">
              <w:t>*)</w:t>
            </w:r>
          </w:p>
        </w:tc>
        <w:tc>
          <w:tcPr>
            <w:tcW w:w="1559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5 000 000 Kč</w:t>
            </w:r>
          </w:p>
        </w:tc>
        <w:tc>
          <w:tcPr>
            <w:tcW w:w="1558" w:type="dxa"/>
            <w:vAlign w:val="center"/>
          </w:tcPr>
          <w:p w:rsidR="004062B5" w:rsidRPr="000969FB" w:rsidRDefault="004062B5" w:rsidP="004062B5">
            <w:pPr>
              <w:jc w:val="center"/>
            </w:pPr>
            <w:r>
              <w:t>××</w:t>
            </w:r>
          </w:p>
        </w:tc>
      </w:tr>
      <w:tr w:rsidR="004062B5" w:rsidRPr="000969FB" w:rsidTr="00CD617F">
        <w:tc>
          <w:tcPr>
            <w:tcW w:w="709" w:type="dxa"/>
            <w:vAlign w:val="center"/>
          </w:tcPr>
          <w:p w:rsidR="004062B5" w:rsidRPr="000969FB" w:rsidRDefault="00BB15C0" w:rsidP="004062B5">
            <w:pPr>
              <w:jc w:val="center"/>
            </w:pPr>
            <w:r>
              <w:t>6.</w:t>
            </w:r>
          </w:p>
        </w:tc>
        <w:tc>
          <w:tcPr>
            <w:tcW w:w="1985" w:type="dxa"/>
            <w:vAlign w:val="center"/>
          </w:tcPr>
          <w:p w:rsidR="004062B5" w:rsidRPr="000969FB" w:rsidRDefault="00692D51" w:rsidP="004062B5">
            <w:pPr>
              <w:jc w:val="left"/>
            </w:pPr>
            <w:r>
              <w:t>Soubor cenností, vlastních a cizích</w:t>
            </w:r>
          </w:p>
        </w:tc>
        <w:tc>
          <w:tcPr>
            <w:tcW w:w="1842" w:type="dxa"/>
            <w:vAlign w:val="center"/>
          </w:tcPr>
          <w:p w:rsidR="004062B5" w:rsidRPr="000969FB" w:rsidRDefault="00533A94" w:rsidP="004062B5">
            <w:pPr>
              <w:jc w:val="center"/>
            </w:pPr>
            <w:r>
              <w:t>××</w:t>
            </w:r>
          </w:p>
        </w:tc>
        <w:tc>
          <w:tcPr>
            <w:tcW w:w="1418" w:type="dxa"/>
            <w:vAlign w:val="center"/>
          </w:tcPr>
          <w:p w:rsidR="004062B5" w:rsidRPr="000969FB" w:rsidRDefault="001E4EDF" w:rsidP="004062B5">
            <w:pPr>
              <w:jc w:val="center"/>
            </w:pPr>
            <w:r>
              <w:t>Viz níže</w:t>
            </w:r>
          </w:p>
        </w:tc>
        <w:tc>
          <w:tcPr>
            <w:tcW w:w="1277" w:type="dxa"/>
            <w:vAlign w:val="center"/>
          </w:tcPr>
          <w:p w:rsidR="004062B5" w:rsidRPr="000969FB" w:rsidRDefault="004062B5" w:rsidP="004062B5">
            <w:pPr>
              <w:jc w:val="center"/>
            </w:pPr>
            <w:r w:rsidRPr="000969FB">
              <w:t>*)</w:t>
            </w:r>
          </w:p>
        </w:tc>
        <w:tc>
          <w:tcPr>
            <w:tcW w:w="1559" w:type="dxa"/>
            <w:vAlign w:val="center"/>
          </w:tcPr>
          <w:p w:rsidR="004062B5" w:rsidRPr="000969FB" w:rsidRDefault="00BB15C0" w:rsidP="004062B5">
            <w:pPr>
              <w:jc w:val="center"/>
            </w:pPr>
            <w:r>
              <w:t>100 000 Kč</w:t>
            </w:r>
          </w:p>
        </w:tc>
        <w:tc>
          <w:tcPr>
            <w:tcW w:w="1558" w:type="dxa"/>
            <w:vAlign w:val="center"/>
          </w:tcPr>
          <w:p w:rsidR="004062B5" w:rsidRPr="000969FB" w:rsidRDefault="00BB15C0" w:rsidP="004062B5">
            <w:pPr>
              <w:jc w:val="center"/>
            </w:pPr>
            <w:r>
              <w:t>××</w:t>
            </w:r>
          </w:p>
        </w:tc>
      </w:tr>
      <w:tr w:rsidR="004062B5" w:rsidRPr="000969FB" w:rsidTr="00CD617F">
        <w:tc>
          <w:tcPr>
            <w:tcW w:w="709" w:type="dxa"/>
            <w:vAlign w:val="center"/>
          </w:tcPr>
          <w:p w:rsidR="004062B5" w:rsidRPr="000969FB" w:rsidRDefault="00533A94" w:rsidP="004062B5">
            <w:pPr>
              <w:jc w:val="center"/>
            </w:pPr>
            <w:r>
              <w:t>7.</w:t>
            </w:r>
          </w:p>
        </w:tc>
        <w:tc>
          <w:tcPr>
            <w:tcW w:w="1985" w:type="dxa"/>
            <w:vAlign w:val="center"/>
          </w:tcPr>
          <w:p w:rsidR="004062B5" w:rsidRPr="000969FB" w:rsidRDefault="00533A94" w:rsidP="004062B5">
            <w:pPr>
              <w:jc w:val="left"/>
            </w:pPr>
            <w:r>
              <w:t>Náklady na demolici, hašení, apod.</w:t>
            </w:r>
          </w:p>
        </w:tc>
        <w:tc>
          <w:tcPr>
            <w:tcW w:w="1842" w:type="dxa"/>
            <w:vAlign w:val="center"/>
          </w:tcPr>
          <w:p w:rsidR="004062B5" w:rsidRPr="000969FB" w:rsidRDefault="00533A94" w:rsidP="004062B5">
            <w:pPr>
              <w:jc w:val="center"/>
            </w:pPr>
            <w:r>
              <w:t>××</w:t>
            </w:r>
          </w:p>
        </w:tc>
        <w:tc>
          <w:tcPr>
            <w:tcW w:w="1418" w:type="dxa"/>
            <w:vAlign w:val="center"/>
          </w:tcPr>
          <w:p w:rsidR="004062B5" w:rsidRPr="000969FB" w:rsidRDefault="001E4EDF" w:rsidP="001E4EDF">
            <w:pPr>
              <w:jc w:val="center"/>
            </w:pPr>
            <w:r>
              <w:t>Viz níže</w:t>
            </w:r>
          </w:p>
        </w:tc>
        <w:tc>
          <w:tcPr>
            <w:tcW w:w="1277" w:type="dxa"/>
            <w:vAlign w:val="center"/>
          </w:tcPr>
          <w:p w:rsidR="004062B5" w:rsidRPr="000969FB" w:rsidRDefault="004062B5" w:rsidP="004062B5">
            <w:pPr>
              <w:jc w:val="center"/>
            </w:pPr>
            <w:r w:rsidRPr="000969FB">
              <w:t>*)</w:t>
            </w:r>
          </w:p>
        </w:tc>
        <w:tc>
          <w:tcPr>
            <w:tcW w:w="1559" w:type="dxa"/>
            <w:vAlign w:val="center"/>
          </w:tcPr>
          <w:p w:rsidR="004062B5" w:rsidRPr="000969FB" w:rsidRDefault="007B16FC" w:rsidP="00F719CC">
            <w:pPr>
              <w:jc w:val="center"/>
            </w:pPr>
            <w:r>
              <w:t xml:space="preserve">Viz příloha č. </w:t>
            </w:r>
            <w:r w:rsidR="00F719CC">
              <w:t>2</w:t>
            </w:r>
          </w:p>
        </w:tc>
        <w:tc>
          <w:tcPr>
            <w:tcW w:w="1558" w:type="dxa"/>
            <w:vAlign w:val="center"/>
          </w:tcPr>
          <w:p w:rsidR="004062B5" w:rsidRPr="000969FB" w:rsidRDefault="00533A94" w:rsidP="004062B5">
            <w:pPr>
              <w:jc w:val="center"/>
            </w:pPr>
            <w:r>
              <w:t>××</w:t>
            </w:r>
          </w:p>
        </w:tc>
      </w:tr>
      <w:tr w:rsidR="00533A94" w:rsidRPr="000969FB" w:rsidTr="00CD617F">
        <w:tc>
          <w:tcPr>
            <w:tcW w:w="709" w:type="dxa"/>
            <w:vAlign w:val="center"/>
          </w:tcPr>
          <w:p w:rsidR="00533A94" w:rsidRPr="000969FB" w:rsidRDefault="00533A94" w:rsidP="004062B5">
            <w:pPr>
              <w:jc w:val="center"/>
            </w:pPr>
            <w:r>
              <w:t>8.</w:t>
            </w:r>
          </w:p>
        </w:tc>
        <w:tc>
          <w:tcPr>
            <w:tcW w:w="1985" w:type="dxa"/>
            <w:vAlign w:val="center"/>
          </w:tcPr>
          <w:p w:rsidR="00533A94" w:rsidRPr="000969FB" w:rsidRDefault="00533A94" w:rsidP="004062B5">
            <w:pPr>
              <w:jc w:val="left"/>
            </w:pPr>
            <w:r>
              <w:t>Náklady na obnovu dat a dokumentace</w:t>
            </w:r>
          </w:p>
        </w:tc>
        <w:tc>
          <w:tcPr>
            <w:tcW w:w="1842" w:type="dxa"/>
            <w:vAlign w:val="center"/>
          </w:tcPr>
          <w:p w:rsidR="00533A94" w:rsidRPr="000969FB" w:rsidRDefault="00533A94" w:rsidP="004062B5">
            <w:pPr>
              <w:jc w:val="center"/>
            </w:pPr>
            <w:r>
              <w:t>××</w:t>
            </w:r>
          </w:p>
        </w:tc>
        <w:tc>
          <w:tcPr>
            <w:tcW w:w="1418" w:type="dxa"/>
            <w:vAlign w:val="center"/>
          </w:tcPr>
          <w:p w:rsidR="00533A94" w:rsidRPr="000969FB" w:rsidRDefault="001E4EDF" w:rsidP="004062B5">
            <w:pPr>
              <w:jc w:val="center"/>
            </w:pPr>
            <w:r>
              <w:t>Viz níže</w:t>
            </w:r>
          </w:p>
        </w:tc>
        <w:tc>
          <w:tcPr>
            <w:tcW w:w="1277" w:type="dxa"/>
            <w:vAlign w:val="center"/>
          </w:tcPr>
          <w:p w:rsidR="00533A94" w:rsidRPr="000969FB" w:rsidRDefault="00533A94" w:rsidP="004062B5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3A94" w:rsidRPr="000969FB" w:rsidRDefault="007B16FC" w:rsidP="00F719CC">
            <w:pPr>
              <w:jc w:val="center"/>
            </w:pPr>
            <w:r>
              <w:t xml:space="preserve">Viz příloha č. </w:t>
            </w:r>
            <w:r w:rsidR="00F719CC">
              <w:t>2</w:t>
            </w:r>
          </w:p>
        </w:tc>
        <w:tc>
          <w:tcPr>
            <w:tcW w:w="1558" w:type="dxa"/>
            <w:vAlign w:val="center"/>
          </w:tcPr>
          <w:p w:rsidR="00533A94" w:rsidRPr="000969FB" w:rsidRDefault="00533A94" w:rsidP="004062B5">
            <w:pPr>
              <w:jc w:val="center"/>
            </w:pPr>
            <w:r>
              <w:t>××</w:t>
            </w:r>
          </w:p>
        </w:tc>
      </w:tr>
      <w:tr w:rsidR="004062B5" w:rsidRPr="000969FB" w:rsidTr="00CD617F">
        <w:tc>
          <w:tcPr>
            <w:tcW w:w="709" w:type="dxa"/>
            <w:vAlign w:val="center"/>
          </w:tcPr>
          <w:p w:rsidR="004062B5" w:rsidRPr="000969FB" w:rsidRDefault="00533A94" w:rsidP="004062B5">
            <w:pPr>
              <w:jc w:val="center"/>
            </w:pPr>
            <w:r>
              <w:t>9.</w:t>
            </w:r>
          </w:p>
        </w:tc>
        <w:tc>
          <w:tcPr>
            <w:tcW w:w="1985" w:type="dxa"/>
            <w:vAlign w:val="center"/>
          </w:tcPr>
          <w:p w:rsidR="004062B5" w:rsidRPr="000969FB" w:rsidRDefault="00533A94" w:rsidP="001E4EDF">
            <w:pPr>
              <w:jc w:val="left"/>
            </w:pPr>
            <w:r>
              <w:t>Náklady na dokumentaci a likvidaci pojistn</w:t>
            </w:r>
            <w:r w:rsidR="001E4EDF">
              <w:t>é události</w:t>
            </w:r>
          </w:p>
        </w:tc>
        <w:tc>
          <w:tcPr>
            <w:tcW w:w="1842" w:type="dxa"/>
            <w:vAlign w:val="center"/>
          </w:tcPr>
          <w:p w:rsidR="004062B5" w:rsidRPr="000969FB" w:rsidRDefault="00533A94" w:rsidP="004062B5">
            <w:pPr>
              <w:jc w:val="center"/>
            </w:pPr>
            <w:r>
              <w:t>××</w:t>
            </w:r>
          </w:p>
        </w:tc>
        <w:tc>
          <w:tcPr>
            <w:tcW w:w="1418" w:type="dxa"/>
            <w:vAlign w:val="center"/>
          </w:tcPr>
          <w:p w:rsidR="004062B5" w:rsidRPr="000969FB" w:rsidRDefault="001E4EDF" w:rsidP="004062B5">
            <w:pPr>
              <w:jc w:val="center"/>
            </w:pPr>
            <w:r>
              <w:t>Viz níže</w:t>
            </w:r>
          </w:p>
        </w:tc>
        <w:tc>
          <w:tcPr>
            <w:tcW w:w="1277" w:type="dxa"/>
            <w:vAlign w:val="center"/>
          </w:tcPr>
          <w:p w:rsidR="004062B5" w:rsidRPr="000969FB" w:rsidRDefault="004062B5" w:rsidP="004062B5">
            <w:pPr>
              <w:jc w:val="center"/>
            </w:pPr>
            <w:r w:rsidRPr="000969FB">
              <w:t>*)</w:t>
            </w:r>
          </w:p>
        </w:tc>
        <w:tc>
          <w:tcPr>
            <w:tcW w:w="1559" w:type="dxa"/>
            <w:vAlign w:val="center"/>
          </w:tcPr>
          <w:p w:rsidR="004062B5" w:rsidRPr="000969FB" w:rsidRDefault="007B16FC" w:rsidP="00F719CC">
            <w:pPr>
              <w:jc w:val="center"/>
            </w:pPr>
            <w:r>
              <w:t xml:space="preserve">Viz příloha č. </w:t>
            </w:r>
            <w:r w:rsidR="00F719CC">
              <w:t>2</w:t>
            </w:r>
          </w:p>
        </w:tc>
        <w:tc>
          <w:tcPr>
            <w:tcW w:w="1558" w:type="dxa"/>
            <w:vAlign w:val="center"/>
          </w:tcPr>
          <w:p w:rsidR="004062B5" w:rsidRPr="000969FB" w:rsidRDefault="00533A94" w:rsidP="004062B5">
            <w:pPr>
              <w:jc w:val="center"/>
            </w:pPr>
            <w:r>
              <w:t>××</w:t>
            </w:r>
          </w:p>
        </w:tc>
      </w:tr>
      <w:tr w:rsidR="004062B5" w:rsidRPr="000969FB" w:rsidTr="00CD617F">
        <w:tc>
          <w:tcPr>
            <w:tcW w:w="10348" w:type="dxa"/>
            <w:gridSpan w:val="7"/>
          </w:tcPr>
          <w:p w:rsidR="004062B5" w:rsidRPr="000969FB" w:rsidRDefault="004062B5" w:rsidP="004062B5">
            <w:r w:rsidRPr="000969FB">
              <w:t xml:space="preserve">Poznámky: </w:t>
            </w:r>
          </w:p>
        </w:tc>
      </w:tr>
      <w:tr w:rsidR="001E4EDF" w:rsidRPr="000969FB" w:rsidTr="00CD617F">
        <w:trPr>
          <w:trHeight w:val="1305"/>
        </w:trPr>
        <w:tc>
          <w:tcPr>
            <w:tcW w:w="10348" w:type="dxa"/>
            <w:gridSpan w:val="7"/>
          </w:tcPr>
          <w:p w:rsidR="001E4EDF" w:rsidRPr="001E4EDF" w:rsidRDefault="001E4EDF" w:rsidP="004062B5">
            <w:r w:rsidRPr="001E4EDF">
              <w:t>Spoluúčast</w:t>
            </w:r>
            <w:r w:rsidRPr="001E4EDF">
              <w:rPr>
                <w:vertAlign w:val="superscript"/>
              </w:rPr>
              <w:t>5)</w:t>
            </w:r>
            <w:r w:rsidRPr="001E4EDF">
              <w:t xml:space="preserve">: </w:t>
            </w:r>
          </w:p>
          <w:p w:rsidR="001E4EDF" w:rsidRDefault="001E4EDF" w:rsidP="0071430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714" w:hanging="357"/>
              <w:rPr>
                <w:rFonts w:ascii="Koop Office" w:hAnsi="Koop Office"/>
              </w:rPr>
            </w:pPr>
            <w:r w:rsidRPr="001E4EDF">
              <w:rPr>
                <w:rFonts w:ascii="Koop Office" w:hAnsi="Koop Office"/>
              </w:rPr>
              <w:t xml:space="preserve">terorismus a sabotáž </w:t>
            </w:r>
            <w:r>
              <w:rPr>
                <w:rFonts w:ascii="Koop Office" w:hAnsi="Koop Office"/>
              </w:rPr>
              <w:t>100 000 Kč;</w:t>
            </w:r>
          </w:p>
          <w:p w:rsidR="00CD617F" w:rsidRDefault="00CD617F" w:rsidP="0071430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714" w:hanging="357"/>
              <w:rPr>
                <w:rFonts w:ascii="Koop Office" w:hAnsi="Koop Office"/>
              </w:rPr>
            </w:pPr>
            <w:r>
              <w:rPr>
                <w:rFonts w:ascii="Koop Office" w:hAnsi="Koop Office"/>
              </w:rPr>
              <w:t>povodeň a záplava, zemětřesení 10%, min. 50 000 Kč;</w:t>
            </w:r>
          </w:p>
          <w:p w:rsidR="001E4EDF" w:rsidRDefault="001E4EDF" w:rsidP="00714307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="Koop Office" w:hAnsi="Koop Office"/>
              </w:rPr>
            </w:pPr>
            <w:r>
              <w:rPr>
                <w:rFonts w:ascii="Koop Office" w:hAnsi="Koop Office"/>
              </w:rPr>
              <w:t>atmosférické srážky a vlivy, nepřímý úder blesku</w:t>
            </w:r>
            <w:r w:rsidR="003123BF">
              <w:rPr>
                <w:rFonts w:ascii="Koop Office" w:hAnsi="Koop Office"/>
              </w:rPr>
              <w:t xml:space="preserve"> a </w:t>
            </w:r>
            <w:r>
              <w:rPr>
                <w:rFonts w:ascii="Koop Office" w:hAnsi="Koop Office"/>
              </w:rPr>
              <w:t>přepětí 1 000 Kč;</w:t>
            </w:r>
          </w:p>
          <w:p w:rsidR="001E4EDF" w:rsidRPr="001E4EDF" w:rsidRDefault="001E4EDF" w:rsidP="00714307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="Koop Office" w:hAnsi="Koop Office"/>
              </w:rPr>
            </w:pPr>
            <w:r>
              <w:rPr>
                <w:rFonts w:ascii="Koop Office" w:hAnsi="Koop Office"/>
              </w:rPr>
              <w:t>ostatní pojistná nebezpečí 50 000 Kč.</w:t>
            </w:r>
          </w:p>
        </w:tc>
      </w:tr>
      <w:tr w:rsidR="009B6D91" w:rsidRPr="000969FB" w:rsidTr="00CD617F">
        <w:trPr>
          <w:trHeight w:val="544"/>
        </w:trPr>
        <w:tc>
          <w:tcPr>
            <w:tcW w:w="10348" w:type="dxa"/>
            <w:gridSpan w:val="7"/>
          </w:tcPr>
          <w:p w:rsidR="009B6D91" w:rsidRPr="000969FB" w:rsidRDefault="009B6D91" w:rsidP="009B6D91">
            <w:r>
              <w:t>Odchylně od čl. 1 odst. 6) ZPP P-150/14 se ujednává, že předmětem pojištění jsou i modely, vzorky, rostliny, stromy, lodě.</w:t>
            </w:r>
          </w:p>
        </w:tc>
      </w:tr>
      <w:tr w:rsidR="009B6D91" w:rsidRPr="000969FB" w:rsidTr="00CD617F">
        <w:tc>
          <w:tcPr>
            <w:tcW w:w="10348" w:type="dxa"/>
            <w:gridSpan w:val="7"/>
          </w:tcPr>
          <w:p w:rsidR="009B6D91" w:rsidRPr="000969FB" w:rsidRDefault="009B6D91" w:rsidP="002A256B">
            <w:r>
              <w:t xml:space="preserve">Předmět pojištění </w:t>
            </w:r>
            <w:proofErr w:type="spellStart"/>
            <w:proofErr w:type="gramStart"/>
            <w:r>
              <w:t>poř.č</w:t>
            </w:r>
            <w:proofErr w:type="spellEnd"/>
            <w:r>
              <w:t>.</w:t>
            </w:r>
            <w:proofErr w:type="gramEnd"/>
            <w:r>
              <w:t xml:space="preserve"> 1. – jedná se o budovy vč. stavebních součástí (vnitřních i vnějších), příslušenství, strojních a elektronických součástí budov (např. instalace elektro, vody, topení, plynu výtahů, EZS, EPS, vnější a vnitřní kamerový systém, antény, dešťové svody, apod.), energetických zařízení (trafostanice, výměníkové stanice), technického zhodnocení, zpevněné a umělé plochy (včetně hřišť a dalších povrchů), komunikace, stožáry, oplocení, terénní úpravy, inženýrské sítě, rozvodné sítě, hráze, lavičky, veřejné osvětlení v rámci areálu, soubor investic, apod. – vyjma štolového přivaděče</w:t>
            </w:r>
            <w:r w:rsidR="00141535">
              <w:t>.</w:t>
            </w:r>
          </w:p>
        </w:tc>
      </w:tr>
      <w:tr w:rsidR="009B6D91" w:rsidRPr="000969FB" w:rsidTr="00CD617F">
        <w:tc>
          <w:tcPr>
            <w:tcW w:w="10348" w:type="dxa"/>
            <w:gridSpan w:val="7"/>
          </w:tcPr>
          <w:p w:rsidR="009B6D91" w:rsidRPr="000969FB" w:rsidRDefault="009B6D91" w:rsidP="004062B5">
            <w:r>
              <w:lastRenderedPageBreak/>
              <w:t xml:space="preserve">Předmět pojištění </w:t>
            </w:r>
            <w:proofErr w:type="spellStart"/>
            <w:proofErr w:type="gramStart"/>
            <w:r>
              <w:t>poř.č</w:t>
            </w:r>
            <w:proofErr w:type="spellEnd"/>
            <w:r>
              <w:t>.</w:t>
            </w:r>
            <w:proofErr w:type="gramEnd"/>
            <w:r>
              <w:t xml:space="preserve"> 2. – jedná se o soubor věcí movitých, vlastních a cizích – vč. přístrojů, strojů, zařízení, elektroniky, vybavení, inventáře (vč. DDHM), ostatních vlastních a cizích věcí movitých včetně modelů, vzorků, exponátů, nosičů dat, software, nákladů na znovupořízení dat, dokumentace, písemností, plánů, výkresů, map, vzácných tisků, archiválií, knih a časopisů (knižní fond, apod.), zabezpečovacích zařízení, antén, materiálů, potravin, zboží, zvířat, rostlin, stromů, lodí, DHIM, apod. vedený v účetní, operativní či jiné evidenci – vyjma štolového přivaděče</w:t>
            </w:r>
            <w:r w:rsidR="00141535">
              <w:t>.</w:t>
            </w:r>
          </w:p>
        </w:tc>
      </w:tr>
      <w:tr w:rsidR="009B6D91" w:rsidRPr="000969FB" w:rsidTr="00CD617F">
        <w:tc>
          <w:tcPr>
            <w:tcW w:w="10348" w:type="dxa"/>
            <w:gridSpan w:val="7"/>
          </w:tcPr>
          <w:p w:rsidR="009B6D91" w:rsidRPr="000969FB" w:rsidRDefault="009B6D91" w:rsidP="002B1888">
            <w:r>
              <w:t xml:space="preserve">Předmět pojištění </w:t>
            </w:r>
            <w:proofErr w:type="spellStart"/>
            <w:proofErr w:type="gramStart"/>
            <w:r>
              <w:t>poř.č</w:t>
            </w:r>
            <w:proofErr w:type="spellEnd"/>
            <w:r>
              <w:t>.</w:t>
            </w:r>
            <w:proofErr w:type="gramEnd"/>
            <w:r>
              <w:t xml:space="preserve"> 3. – jedná se o budovy vč. stavebních součástí (vnitřních i vnějších), příslušenství, strojních a elektronických součástí budov (např. instalace elektro, vody, topení, plynu výtahů, EZS, EPS, vnější a vnitřní kamerový systém, antény, dešťové svody, apod.), energetických zařízení (trafostanice, výměníkové stanice), technického zhodnocení, zpevněné a umělé plochy (včetně hřišť a dalších povrchů), komunikace, stožáry, oplocení, terénní úpravy, inženýrské sítě, rozvodné sítě, hráze, lavičky, veřejné osvětlení v rámci areálu, soubor investic, apod. – štolový přivaděč</w:t>
            </w:r>
            <w:r w:rsidR="00141535">
              <w:t>.</w:t>
            </w:r>
          </w:p>
        </w:tc>
      </w:tr>
      <w:tr w:rsidR="009B6D91" w:rsidRPr="000969FB" w:rsidTr="00CD617F">
        <w:tc>
          <w:tcPr>
            <w:tcW w:w="10348" w:type="dxa"/>
            <w:gridSpan w:val="7"/>
          </w:tcPr>
          <w:p w:rsidR="009B6D91" w:rsidRPr="000969FB" w:rsidRDefault="009B6D91" w:rsidP="00C74C53">
            <w:r>
              <w:t xml:space="preserve">Předmět pojištění </w:t>
            </w:r>
            <w:proofErr w:type="spellStart"/>
            <w:proofErr w:type="gramStart"/>
            <w:r>
              <w:t>poř.č</w:t>
            </w:r>
            <w:proofErr w:type="spellEnd"/>
            <w:r>
              <w:t>.</w:t>
            </w:r>
            <w:proofErr w:type="gramEnd"/>
            <w:r>
              <w:t xml:space="preserve"> 4. – jedná se o soubor věcí movitých, vlastních a cizích – vč. přístrojů, strojů, zařízení, elektroniky, vybavení, inventáře (vč. DDHM), ostatních vlastních a cizích věcí movitých včetně modelů, vzorků, exponátů, nosičů dat, software, nákladů na znovupořízení dat, dokumentace, písemností, plánů, výkresů, map, vzácných tisků, archiválií, knih a časopisů (knižní fond, apod.), zabezpečovacích zařízení, antén, materiálů, potravin, zboží, zvířat, rostlin, stromů, lodí, DHIM, apod. vedený v účetní, operativní či jiné evidenci – štolový přivaděč</w:t>
            </w:r>
            <w:r w:rsidR="00141535">
              <w:t>.</w:t>
            </w:r>
          </w:p>
        </w:tc>
      </w:tr>
      <w:tr w:rsidR="009B6D91" w:rsidRPr="000969FB" w:rsidTr="00CD617F">
        <w:tc>
          <w:tcPr>
            <w:tcW w:w="10348" w:type="dxa"/>
            <w:gridSpan w:val="7"/>
          </w:tcPr>
          <w:p w:rsidR="009B6D91" w:rsidRPr="000969FB" w:rsidRDefault="009B6D91" w:rsidP="00692D51">
            <w:r>
              <w:t xml:space="preserve">Předmět pojištění </w:t>
            </w:r>
            <w:proofErr w:type="spellStart"/>
            <w:proofErr w:type="gramStart"/>
            <w:r>
              <w:t>poř.č</w:t>
            </w:r>
            <w:proofErr w:type="spellEnd"/>
            <w:r>
              <w:t>.</w:t>
            </w:r>
            <w:proofErr w:type="gramEnd"/>
            <w:r>
              <w:t xml:space="preserve"> 6. – jedná se o peníze, ceniny a cennosti uložené v příručních pokladnách a tr</w:t>
            </w:r>
            <w:r w:rsidR="00141535">
              <w:t>e</w:t>
            </w:r>
            <w:r>
              <w:t>zorech.</w:t>
            </w:r>
            <w:r w:rsidR="00692D51">
              <w:t xml:space="preserve"> Tímto předmětem pojištění se rozumí finanční prostředky a cenné předměty ve smyslu ZPP P-150/14.</w:t>
            </w:r>
          </w:p>
        </w:tc>
      </w:tr>
      <w:tr w:rsidR="009B6D91" w:rsidRPr="000969FB" w:rsidTr="00CD617F">
        <w:tc>
          <w:tcPr>
            <w:tcW w:w="10348" w:type="dxa"/>
            <w:gridSpan w:val="7"/>
          </w:tcPr>
          <w:p w:rsidR="009B6D91" w:rsidRPr="000969FB" w:rsidRDefault="009B6D91" w:rsidP="00F719CC">
            <w:r>
              <w:t xml:space="preserve">Předměty pojištění </w:t>
            </w:r>
            <w:proofErr w:type="spellStart"/>
            <w:proofErr w:type="gramStart"/>
            <w:r>
              <w:t>poř.č</w:t>
            </w:r>
            <w:proofErr w:type="spellEnd"/>
            <w:r>
              <w:t>.</w:t>
            </w:r>
            <w:proofErr w:type="gramEnd"/>
            <w:r>
              <w:t xml:space="preserve"> 7., 8. a 9. – </w:t>
            </w:r>
            <w:r w:rsidR="00884A35">
              <w:t xml:space="preserve">definice </w:t>
            </w:r>
            <w:r>
              <w:t xml:space="preserve">viz </w:t>
            </w:r>
            <w:r w:rsidR="00B02A75">
              <w:t xml:space="preserve">příloha č. </w:t>
            </w:r>
            <w:r w:rsidR="00F719CC">
              <w:t>2</w:t>
            </w:r>
            <w:r w:rsidR="00B02A75">
              <w:t xml:space="preserve"> - </w:t>
            </w:r>
            <w:r>
              <w:t>Smluvní ujednání MARSH, s.r.o.</w:t>
            </w:r>
          </w:p>
        </w:tc>
      </w:tr>
    </w:tbl>
    <w:p w:rsidR="009B22B4" w:rsidRPr="000969FB" w:rsidRDefault="009B22B4" w:rsidP="00F72086">
      <w:pPr>
        <w:spacing w:after="240"/>
        <w:rPr>
          <w:sz w:val="16"/>
        </w:rPr>
      </w:pPr>
      <w:r w:rsidRPr="000969FB">
        <w:rPr>
          <w:sz w:val="16"/>
        </w:rPr>
        <w:t>*) není-li uvedeno, sjednává se pojištění s pojistnou hodnotou uvedenou v příslušných pojistných podmínkách</w:t>
      </w:r>
    </w:p>
    <w:p w:rsidR="00EE5879" w:rsidRPr="000969FB" w:rsidRDefault="00EE5879" w:rsidP="00CD617F">
      <w:pPr>
        <w:pStyle w:val="slovn-rove2"/>
        <w:spacing w:before="360" w:after="0"/>
      </w:pPr>
      <w:r w:rsidRPr="000969FB">
        <w:t>Pojištění pro případ přerušení nebo omezení provozu</w:t>
      </w:r>
    </w:p>
    <w:p w:rsidR="00EE5879" w:rsidRPr="000969FB" w:rsidRDefault="00EE5879" w:rsidP="00CD617F">
      <w:pPr>
        <w:keepLines/>
        <w:spacing w:before="60"/>
      </w:pPr>
      <w:r w:rsidRPr="000969FB">
        <w:t>Pojištění se sjednává pro předměty pojištění v rozsahu a na místech pojištění uvedených v následující tabulce/následujících tabulkách:</w:t>
      </w:r>
    </w:p>
    <w:p w:rsidR="00EE5879" w:rsidRPr="000969FB" w:rsidRDefault="00EE5879" w:rsidP="00EE5879">
      <w:pPr>
        <w:pStyle w:val="slovn-rove3"/>
      </w:pPr>
      <w:r w:rsidRPr="000969FB">
        <w:t>Pojištění pro případ přerušení nebo omezení provozu</w:t>
      </w:r>
    </w:p>
    <w:tbl>
      <w:tblPr>
        <w:tblStyle w:val="Mkatabulky"/>
        <w:tblW w:w="104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418"/>
        <w:gridCol w:w="1134"/>
        <w:gridCol w:w="1417"/>
        <w:gridCol w:w="1135"/>
      </w:tblGrid>
      <w:tr w:rsidR="00EE5879" w:rsidRPr="000969FB" w:rsidTr="00141535"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79" w:rsidRPr="00451F2F" w:rsidRDefault="00EE5879" w:rsidP="00141535">
            <w:r w:rsidRPr="000969FB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t>viz čl. II. bod 1.2.</w:t>
            </w:r>
          </w:p>
        </w:tc>
      </w:tr>
      <w:tr w:rsidR="00EE5879" w:rsidRPr="000969FB" w:rsidTr="00141535"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79" w:rsidRPr="000969FB" w:rsidRDefault="00EE5879" w:rsidP="00141535">
            <w:r w:rsidRPr="000969FB">
              <w:rPr>
                <w:b/>
              </w:rPr>
              <w:t>Pojištění se řídí:</w:t>
            </w:r>
            <w:r w:rsidRPr="000969FB">
              <w:t xml:space="preserve"> VPP P-100/14, ZPP P-400/14</w:t>
            </w:r>
            <w:r w:rsidR="00DD2855">
              <w:t>, zvláštním ujednáním pro pojištění terorismu a sabotáže v příloze č. 1</w:t>
            </w:r>
            <w:r w:rsidRPr="000969FB">
              <w:t xml:space="preserve"> a doložkami DOB101, DOB103 </w:t>
            </w:r>
          </w:p>
        </w:tc>
      </w:tr>
      <w:tr w:rsidR="00EE5879" w:rsidRPr="000969FB" w:rsidTr="0014153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jc w:val="center"/>
              <w:rPr>
                <w:b/>
                <w:szCs w:val="20"/>
              </w:rPr>
            </w:pPr>
            <w:proofErr w:type="spellStart"/>
            <w:r w:rsidRPr="00344538">
              <w:rPr>
                <w:b/>
                <w:szCs w:val="20"/>
              </w:rPr>
              <w:t>Poř</w:t>
            </w:r>
            <w:proofErr w:type="spellEnd"/>
            <w:r w:rsidRPr="00344538">
              <w:rPr>
                <w:b/>
                <w:szCs w:val="20"/>
              </w:rPr>
              <w:t>. číslo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jc w:val="center"/>
              <w:rPr>
                <w:b/>
                <w:szCs w:val="20"/>
              </w:rPr>
            </w:pPr>
            <w:r w:rsidRPr="00344538">
              <w:rPr>
                <w:b/>
                <w:szCs w:val="20"/>
              </w:rPr>
              <w:t>Předmět pojištění / Rozsah pojištění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jc w:val="center"/>
              <w:rPr>
                <w:b/>
                <w:szCs w:val="20"/>
              </w:rPr>
            </w:pPr>
            <w:r w:rsidRPr="00344538">
              <w:rPr>
                <w:b/>
                <w:szCs w:val="20"/>
              </w:rPr>
              <w:t>Pojistná částka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jc w:val="center"/>
              <w:rPr>
                <w:b/>
                <w:szCs w:val="20"/>
              </w:rPr>
            </w:pPr>
            <w:r w:rsidRPr="00344538">
              <w:rPr>
                <w:b/>
                <w:szCs w:val="20"/>
              </w:rPr>
              <w:t>Spoluúčast</w:t>
            </w:r>
            <w:r w:rsidRPr="00344538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jc w:val="center"/>
              <w:rPr>
                <w:b/>
                <w:szCs w:val="20"/>
              </w:rPr>
            </w:pPr>
            <w:r w:rsidRPr="00344538">
              <w:rPr>
                <w:b/>
                <w:szCs w:val="20"/>
              </w:rPr>
              <w:t>Integrální časová franšíza</w:t>
            </w:r>
            <w:r w:rsidRPr="00344538">
              <w:rPr>
                <w:b/>
                <w:szCs w:val="20"/>
                <w:vertAlign w:val="superscript"/>
              </w:rPr>
              <w:t>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jc w:val="center"/>
              <w:rPr>
                <w:b/>
                <w:szCs w:val="20"/>
              </w:rPr>
            </w:pPr>
            <w:r w:rsidRPr="00344538">
              <w:rPr>
                <w:b/>
                <w:szCs w:val="20"/>
              </w:rPr>
              <w:t>MRLPPR</w:t>
            </w:r>
            <w:r w:rsidRPr="00344538">
              <w:rPr>
                <w:b/>
                <w:szCs w:val="20"/>
                <w:vertAlign w:val="superscript"/>
              </w:rPr>
              <w:t>11)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jc w:val="center"/>
              <w:rPr>
                <w:b/>
                <w:szCs w:val="20"/>
              </w:rPr>
            </w:pPr>
            <w:r w:rsidRPr="00344538">
              <w:rPr>
                <w:b/>
                <w:szCs w:val="20"/>
              </w:rPr>
              <w:t>Doba ručení</w:t>
            </w:r>
            <w:r w:rsidRPr="00344538">
              <w:rPr>
                <w:b/>
                <w:szCs w:val="20"/>
                <w:vertAlign w:val="superscript"/>
              </w:rPr>
              <w:t>8)</w:t>
            </w:r>
          </w:p>
        </w:tc>
      </w:tr>
      <w:tr w:rsidR="00EE5879" w:rsidRPr="000969FB" w:rsidTr="001415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pStyle w:val="slovn-tabulka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Ušlý zisk, vícenáklady a náklady na zajištění náhradních prostor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21 000 000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××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79" w:rsidRPr="00344538" w:rsidRDefault="00EE5879" w:rsidP="0014153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 dny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jc w:val="center"/>
              <w:rPr>
                <w:szCs w:val="20"/>
              </w:rPr>
            </w:pPr>
            <w:r w:rsidRPr="00344538">
              <w:rPr>
                <w:szCs w:val="20"/>
              </w:rPr>
              <w:t>nesjednává se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879" w:rsidRPr="00344538" w:rsidRDefault="00EE5879" w:rsidP="0014153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 měsíce</w:t>
            </w:r>
          </w:p>
        </w:tc>
      </w:tr>
      <w:tr w:rsidR="00EE5879" w:rsidRPr="000969FB" w:rsidTr="00141535">
        <w:trPr>
          <w:trHeight w:val="982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9" w:rsidRPr="00344538" w:rsidRDefault="00EE5879" w:rsidP="00141535">
            <w:pPr>
              <w:rPr>
                <w:szCs w:val="20"/>
              </w:rPr>
            </w:pPr>
            <w:r w:rsidRPr="00344538">
              <w:rPr>
                <w:szCs w:val="20"/>
              </w:rPr>
              <w:t>Poznámky:</w:t>
            </w:r>
          </w:p>
          <w:p w:rsidR="00EE5879" w:rsidRPr="00344538" w:rsidRDefault="00EE5879" w:rsidP="00141535">
            <w:pPr>
              <w:rPr>
                <w:szCs w:val="20"/>
              </w:rPr>
            </w:pPr>
            <w:r w:rsidRPr="00344538">
              <w:rPr>
                <w:szCs w:val="20"/>
              </w:rPr>
              <w:t>Odchylně od čl. 7 odst. 2) ZPP P-400/14 stanoví pojistník pojistnou částku tak, aby odpovídala maximální části pojistné hodnoty s ohledem na sjednanou dobu ručení požadovanou pojistníkem a možné okamžiky vzniku věcné škody.</w:t>
            </w:r>
          </w:p>
        </w:tc>
      </w:tr>
      <w:tr w:rsidR="00B65FE0" w:rsidRPr="000969FB" w:rsidTr="00141535">
        <w:trPr>
          <w:trHeight w:val="982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E0" w:rsidRPr="00B65FE0" w:rsidRDefault="00B65FE0" w:rsidP="00B65FE0">
            <w:pPr>
              <w:rPr>
                <w:szCs w:val="20"/>
              </w:rPr>
            </w:pPr>
            <w:r w:rsidRPr="00B65FE0">
              <w:rPr>
                <w:szCs w:val="20"/>
              </w:rPr>
              <w:t xml:space="preserve">Ujednává se, že pro účely pojištění přerušení nebo omezení provozu se za věcnou škodu </w:t>
            </w:r>
            <w:r w:rsidR="005331F0">
              <w:rPr>
                <w:szCs w:val="20"/>
              </w:rPr>
              <w:t>odchylně od čl. 3 ZPP P-400/14</w:t>
            </w:r>
            <w:r w:rsidRPr="00B65FE0">
              <w:rPr>
                <w:szCs w:val="20"/>
              </w:rPr>
              <w:t xml:space="preserve"> považuje poškození, zničení věci sloužící provozu pojištěného:</w:t>
            </w:r>
          </w:p>
          <w:p w:rsidR="005331F0" w:rsidRDefault="00B65FE0" w:rsidP="00B65FE0">
            <w:pPr>
              <w:ind w:left="544" w:hanging="272"/>
              <w:rPr>
                <w:szCs w:val="20"/>
              </w:rPr>
            </w:pPr>
            <w:r w:rsidRPr="00B65FE0">
              <w:rPr>
                <w:szCs w:val="20"/>
              </w:rPr>
              <w:t>a)</w:t>
            </w:r>
            <w:r w:rsidRPr="00B65FE0">
              <w:rPr>
                <w:szCs w:val="20"/>
              </w:rPr>
              <w:tab/>
            </w:r>
            <w:r w:rsidR="005331F0">
              <w:rPr>
                <w:szCs w:val="20"/>
              </w:rPr>
              <w:t>„</w:t>
            </w:r>
            <w:proofErr w:type="spellStart"/>
            <w:r w:rsidR="005331F0">
              <w:rPr>
                <w:szCs w:val="20"/>
              </w:rPr>
              <w:t>flexou</w:t>
            </w:r>
            <w:proofErr w:type="spellEnd"/>
            <w:r w:rsidR="005331F0">
              <w:rPr>
                <w:szCs w:val="20"/>
              </w:rPr>
              <w:t>“,</w:t>
            </w:r>
          </w:p>
          <w:p w:rsidR="005331F0" w:rsidRDefault="005331F0" w:rsidP="005331F0">
            <w:pPr>
              <w:ind w:left="544" w:hanging="272"/>
              <w:rPr>
                <w:szCs w:val="20"/>
              </w:rPr>
            </w:pPr>
            <w:r>
              <w:rPr>
                <w:szCs w:val="20"/>
              </w:rPr>
              <w:t>b</w:t>
            </w:r>
            <w:r w:rsidRPr="00B65FE0">
              <w:rPr>
                <w:szCs w:val="20"/>
              </w:rPr>
              <w:t>)</w:t>
            </w:r>
            <w:r w:rsidRPr="00B65FE0">
              <w:rPr>
                <w:szCs w:val="20"/>
              </w:rPr>
              <w:tab/>
            </w:r>
            <w:r>
              <w:rPr>
                <w:szCs w:val="20"/>
              </w:rPr>
              <w:t>„vodovodní škodou“,</w:t>
            </w:r>
          </w:p>
          <w:p w:rsidR="00B65FE0" w:rsidRPr="00B65FE0" w:rsidRDefault="005331F0" w:rsidP="00B65FE0">
            <w:pPr>
              <w:ind w:left="544" w:hanging="272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B65FE0" w:rsidRPr="00B65FE0">
              <w:rPr>
                <w:szCs w:val="20"/>
              </w:rPr>
              <w:t>)</w:t>
            </w:r>
            <w:r w:rsidR="00B65FE0" w:rsidRPr="00B65FE0">
              <w:rPr>
                <w:szCs w:val="20"/>
              </w:rPr>
              <w:tab/>
            </w:r>
            <w:r>
              <w:rPr>
                <w:szCs w:val="20"/>
              </w:rPr>
              <w:t>„</w:t>
            </w:r>
            <w:r w:rsidR="00B65FE0" w:rsidRPr="00B65FE0">
              <w:rPr>
                <w:szCs w:val="20"/>
              </w:rPr>
              <w:t>vichřicí</w:t>
            </w:r>
            <w:r>
              <w:rPr>
                <w:szCs w:val="20"/>
              </w:rPr>
              <w:t xml:space="preserve">, </w:t>
            </w:r>
            <w:r w:rsidR="00B65FE0" w:rsidRPr="00B65FE0">
              <w:rPr>
                <w:szCs w:val="20"/>
              </w:rPr>
              <w:t>krupobitím</w:t>
            </w:r>
            <w:r>
              <w:rPr>
                <w:szCs w:val="20"/>
              </w:rPr>
              <w:t>“</w:t>
            </w:r>
            <w:r w:rsidR="00B65FE0" w:rsidRPr="00B65FE0">
              <w:rPr>
                <w:szCs w:val="20"/>
              </w:rPr>
              <w:t xml:space="preserve">, </w:t>
            </w:r>
          </w:p>
          <w:p w:rsidR="00B65FE0" w:rsidRPr="00B65FE0" w:rsidRDefault="005331F0" w:rsidP="00B65FE0">
            <w:pPr>
              <w:ind w:left="544" w:hanging="272"/>
              <w:rPr>
                <w:szCs w:val="20"/>
              </w:rPr>
            </w:pPr>
            <w:r>
              <w:rPr>
                <w:szCs w:val="20"/>
              </w:rPr>
              <w:t>d</w:t>
            </w:r>
            <w:r w:rsidR="00B65FE0" w:rsidRPr="00B65FE0">
              <w:rPr>
                <w:szCs w:val="20"/>
              </w:rPr>
              <w:t xml:space="preserve">) </w:t>
            </w:r>
            <w:r w:rsidR="00B65FE0" w:rsidRPr="00B65FE0">
              <w:rPr>
                <w:szCs w:val="20"/>
              </w:rPr>
              <w:tab/>
            </w:r>
            <w:r w:rsidRPr="00B65FE0">
              <w:rPr>
                <w:szCs w:val="20"/>
              </w:rPr>
              <w:t xml:space="preserve">povodní </w:t>
            </w:r>
            <w:r w:rsidR="00692D51">
              <w:rPr>
                <w:szCs w:val="20"/>
              </w:rPr>
              <w:t>a</w:t>
            </w:r>
            <w:r w:rsidRPr="00B65FE0">
              <w:rPr>
                <w:szCs w:val="20"/>
              </w:rPr>
              <w:t xml:space="preserve"> záplavou,</w:t>
            </w:r>
            <w:r>
              <w:rPr>
                <w:szCs w:val="20"/>
              </w:rPr>
              <w:t xml:space="preserve"> </w:t>
            </w:r>
            <w:r w:rsidR="00B65FE0" w:rsidRPr="00B65FE0">
              <w:rPr>
                <w:szCs w:val="20"/>
              </w:rPr>
              <w:t>zemětřesením,</w:t>
            </w:r>
          </w:p>
          <w:p w:rsidR="00B65FE0" w:rsidRDefault="005331F0" w:rsidP="00B65FE0">
            <w:pPr>
              <w:ind w:left="544" w:hanging="272"/>
              <w:rPr>
                <w:szCs w:val="20"/>
              </w:rPr>
            </w:pPr>
            <w:r>
              <w:rPr>
                <w:szCs w:val="20"/>
              </w:rPr>
              <w:t>e)</w:t>
            </w:r>
            <w:r w:rsidR="00B65FE0" w:rsidRPr="00B65FE0">
              <w:rPr>
                <w:szCs w:val="20"/>
              </w:rPr>
              <w:tab/>
            </w:r>
            <w:r w:rsidR="00B65FE0">
              <w:rPr>
                <w:szCs w:val="20"/>
              </w:rPr>
              <w:t>atmosférickými srážkami, vlivy,</w:t>
            </w:r>
          </w:p>
          <w:p w:rsidR="00B65FE0" w:rsidRDefault="005331F0" w:rsidP="00B65FE0">
            <w:pPr>
              <w:ind w:left="544" w:hanging="272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B65FE0" w:rsidRPr="00B65FE0">
              <w:rPr>
                <w:szCs w:val="20"/>
              </w:rPr>
              <w:t>)</w:t>
            </w:r>
            <w:r w:rsidR="00B65FE0" w:rsidRPr="00B65FE0">
              <w:rPr>
                <w:szCs w:val="20"/>
              </w:rPr>
              <w:tab/>
            </w:r>
            <w:r w:rsidR="00B65FE0">
              <w:rPr>
                <w:szCs w:val="20"/>
              </w:rPr>
              <w:t>nepřímým úderem blesku, přepětím,</w:t>
            </w:r>
          </w:p>
          <w:p w:rsidR="00B65FE0" w:rsidRPr="00B65FE0" w:rsidRDefault="005331F0" w:rsidP="005331F0">
            <w:pPr>
              <w:ind w:left="544" w:hanging="272"/>
              <w:rPr>
                <w:szCs w:val="20"/>
              </w:rPr>
            </w:pPr>
            <w:r>
              <w:rPr>
                <w:szCs w:val="20"/>
              </w:rPr>
              <w:t>g</w:t>
            </w:r>
            <w:r w:rsidR="00B65FE0" w:rsidRPr="00B65FE0">
              <w:rPr>
                <w:szCs w:val="20"/>
              </w:rPr>
              <w:t>)</w:t>
            </w:r>
            <w:r w:rsidR="00B65FE0" w:rsidRPr="00B65FE0">
              <w:rPr>
                <w:szCs w:val="20"/>
              </w:rPr>
              <w:tab/>
            </w:r>
            <w:r w:rsidR="00B65FE0">
              <w:rPr>
                <w:szCs w:val="20"/>
              </w:rPr>
              <w:t>terorismem a sabotáží.</w:t>
            </w:r>
          </w:p>
        </w:tc>
      </w:tr>
      <w:tr w:rsidR="005331F0" w:rsidRPr="000969FB" w:rsidTr="00032BB8">
        <w:trPr>
          <w:trHeight w:val="686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Pr="00B65FE0" w:rsidRDefault="005331F0" w:rsidP="00032BB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Pojištění se vztahuje na zvýšené provozní náklady a vícenáklady, které mají za cíl snížit pokles obratu, ke kterému by došlo během doby ručení, pokud by tyto náklady nebyly vynaloženy</w:t>
            </w:r>
            <w:r w:rsidR="00032BB8">
              <w:rPr>
                <w:szCs w:val="20"/>
              </w:rPr>
              <w:t>,</w:t>
            </w:r>
            <w:r>
              <w:rPr>
                <w:szCs w:val="20"/>
              </w:rPr>
              <w:t xml:space="preserve"> nebo takovému poklesu zcela </w:t>
            </w:r>
            <w:r w:rsidR="00032BB8">
              <w:rPr>
                <w:szCs w:val="20"/>
              </w:rPr>
              <w:t>obratu zcela zabránit.</w:t>
            </w:r>
          </w:p>
        </w:tc>
      </w:tr>
    </w:tbl>
    <w:p w:rsidR="00CD617F" w:rsidRDefault="00CD617F" w:rsidP="00CD617F">
      <w:pPr>
        <w:pStyle w:val="slovn-rove2"/>
        <w:numPr>
          <w:ilvl w:val="0"/>
          <w:numId w:val="0"/>
        </w:numPr>
        <w:spacing w:after="0"/>
      </w:pPr>
    </w:p>
    <w:p w:rsidR="00CD617F" w:rsidRDefault="00CD617F">
      <w:pPr>
        <w:spacing w:after="200" w:line="276" w:lineRule="auto"/>
        <w:jc w:val="left"/>
        <w:rPr>
          <w:b/>
        </w:rPr>
      </w:pPr>
      <w:r>
        <w:br w:type="page"/>
      </w:r>
    </w:p>
    <w:p w:rsidR="009B22B4" w:rsidRPr="000969FB" w:rsidRDefault="009B22B4" w:rsidP="00521E53">
      <w:pPr>
        <w:pStyle w:val="slovn-rove2"/>
        <w:spacing w:after="0"/>
      </w:pPr>
      <w:r w:rsidRPr="000969FB">
        <w:lastRenderedPageBreak/>
        <w:t>Pojištění pro případ odcizení</w:t>
      </w:r>
    </w:p>
    <w:p w:rsidR="00F577F6" w:rsidRPr="000969FB" w:rsidRDefault="00F577F6" w:rsidP="00150363">
      <w:pPr>
        <w:keepLines/>
        <w:spacing w:after="120"/>
      </w:pPr>
      <w:r w:rsidRPr="000969FB">
        <w:t>Pojištění se sjednává pro předměty pojištění v rozsahu a na místech pojištění uvedených v následující tabulce/následujících tabulkách:</w:t>
      </w:r>
    </w:p>
    <w:p w:rsidR="00F577F6" w:rsidRPr="000969FB" w:rsidRDefault="00F577F6" w:rsidP="009C0F40">
      <w:pPr>
        <w:pStyle w:val="slovn-rove3"/>
      </w:pPr>
      <w:r w:rsidRPr="000969FB">
        <w:t>Pojištění pro případ odcizení</w:t>
      </w:r>
    </w:p>
    <w:tbl>
      <w:tblPr>
        <w:tblStyle w:val="Mkatabulky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417"/>
        <w:gridCol w:w="1559"/>
        <w:gridCol w:w="1560"/>
        <w:gridCol w:w="1134"/>
      </w:tblGrid>
      <w:tr w:rsidR="004062B5" w:rsidRPr="000969FB" w:rsidTr="00D86C0B">
        <w:tc>
          <w:tcPr>
            <w:tcW w:w="10490" w:type="dxa"/>
            <w:gridSpan w:val="7"/>
          </w:tcPr>
          <w:p w:rsidR="004062B5" w:rsidRPr="00451F2F" w:rsidRDefault="004062B5" w:rsidP="00422C74">
            <w:r w:rsidRPr="000969FB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t>viz čl. II. bod 1.2.</w:t>
            </w:r>
          </w:p>
        </w:tc>
      </w:tr>
      <w:tr w:rsidR="009B22B4" w:rsidRPr="000969FB" w:rsidTr="00D86C0B">
        <w:tc>
          <w:tcPr>
            <w:tcW w:w="10490" w:type="dxa"/>
            <w:gridSpan w:val="7"/>
          </w:tcPr>
          <w:p w:rsidR="009B22B4" w:rsidRPr="000969FB" w:rsidRDefault="009B22B4" w:rsidP="003206F6">
            <w:r w:rsidRPr="000969FB">
              <w:rPr>
                <w:b/>
              </w:rPr>
              <w:t>Rozsah pojištění:</w:t>
            </w:r>
            <w:r w:rsidRPr="000969FB">
              <w:t xml:space="preserve"> pojištění pro případ odcizení (s výjimkou loupeže přepravovaných peněz nebo cenin)</w:t>
            </w:r>
          </w:p>
        </w:tc>
      </w:tr>
      <w:tr w:rsidR="009B22B4" w:rsidRPr="000969FB" w:rsidTr="00D86C0B">
        <w:tc>
          <w:tcPr>
            <w:tcW w:w="10490" w:type="dxa"/>
            <w:gridSpan w:val="7"/>
          </w:tcPr>
          <w:p w:rsidR="009B22B4" w:rsidRPr="000969FB" w:rsidRDefault="009B22B4" w:rsidP="00D86C0B">
            <w:r w:rsidRPr="000969FB">
              <w:rPr>
                <w:b/>
              </w:rPr>
              <w:t>Pojištění se řídí:</w:t>
            </w:r>
            <w:r w:rsidRPr="000969FB">
              <w:t xml:space="preserve"> VPP P-100/14, ZPP P-200/14 a doložkami DOB101, DOB103, </w:t>
            </w:r>
            <w:r w:rsidR="00EE5879">
              <w:t xml:space="preserve">DOZ101, DOZ102, </w:t>
            </w:r>
            <w:r w:rsidRPr="000969FB">
              <w:t>DOZ105</w:t>
            </w:r>
            <w:r w:rsidR="00EE5879">
              <w:t>, DOZ108</w:t>
            </w:r>
          </w:p>
        </w:tc>
      </w:tr>
      <w:tr w:rsidR="009B22B4" w:rsidRPr="000969FB" w:rsidTr="00D86C0B">
        <w:trPr>
          <w:cantSplit/>
        </w:trPr>
        <w:tc>
          <w:tcPr>
            <w:tcW w:w="709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proofErr w:type="spellStart"/>
            <w:r w:rsidRPr="000969FB">
              <w:rPr>
                <w:b/>
              </w:rPr>
              <w:t>Poř</w:t>
            </w:r>
            <w:proofErr w:type="spellEnd"/>
            <w:r w:rsidRPr="000969FB">
              <w:rPr>
                <w:b/>
              </w:rPr>
              <w:t>. číslo</w:t>
            </w:r>
          </w:p>
        </w:tc>
        <w:tc>
          <w:tcPr>
            <w:tcW w:w="2835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Pojistná částka</w:t>
            </w:r>
            <w:r w:rsidRPr="000969FB">
              <w:rPr>
                <w:b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Spoluúčast</w:t>
            </w:r>
            <w:r w:rsidRPr="000969FB">
              <w:rPr>
                <w:b/>
                <w:vertAlign w:val="superscript"/>
              </w:rPr>
              <w:t>5)</w:t>
            </w:r>
          </w:p>
        </w:tc>
        <w:tc>
          <w:tcPr>
            <w:tcW w:w="1559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Pojištění se sjednává na cenu</w:t>
            </w:r>
            <w:r w:rsidRPr="000969FB">
              <w:rPr>
                <w:b/>
                <w:vertAlign w:val="superscript"/>
              </w:rPr>
              <w:t>*</w:t>
            </w:r>
            <w:r w:rsidR="00F577F6" w:rsidRPr="000969FB">
              <w:rPr>
                <w:b/>
                <w:vertAlign w:val="superscript"/>
              </w:rPr>
              <w:t xml:space="preserve">) </w:t>
            </w:r>
            <w:r w:rsidRPr="000969FB">
              <w:rPr>
                <w:b/>
                <w:vertAlign w:val="superscript"/>
              </w:rPr>
              <w:t>1)</w:t>
            </w:r>
          </w:p>
        </w:tc>
        <w:tc>
          <w:tcPr>
            <w:tcW w:w="1560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První riziko</w:t>
            </w:r>
            <w:r w:rsidRPr="000969FB">
              <w:rPr>
                <w:b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</w:tc>
      </w:tr>
      <w:tr w:rsidR="00EE5879" w:rsidRPr="000969FB" w:rsidTr="00D86C0B">
        <w:tc>
          <w:tcPr>
            <w:tcW w:w="709" w:type="dxa"/>
            <w:vAlign w:val="center"/>
          </w:tcPr>
          <w:p w:rsidR="00EE5879" w:rsidRPr="000969FB" w:rsidRDefault="00EE5879" w:rsidP="00EE5879">
            <w:pPr>
              <w:jc w:val="left"/>
            </w:pPr>
            <w:r w:rsidRPr="000969FB">
              <w:t>1.</w:t>
            </w:r>
          </w:p>
        </w:tc>
        <w:tc>
          <w:tcPr>
            <w:tcW w:w="2835" w:type="dxa"/>
            <w:vAlign w:val="center"/>
          </w:tcPr>
          <w:p w:rsidR="00EE5879" w:rsidRPr="000969FB" w:rsidRDefault="00EE5879" w:rsidP="00EE5879">
            <w:pPr>
              <w:jc w:val="left"/>
            </w:pPr>
            <w:r>
              <w:t xml:space="preserve">Předměty pojištění uvedené pod </w:t>
            </w:r>
            <w:proofErr w:type="spellStart"/>
            <w:proofErr w:type="gramStart"/>
            <w:r>
              <w:t>poř.č</w:t>
            </w:r>
            <w:proofErr w:type="spellEnd"/>
            <w:r>
              <w:t>.</w:t>
            </w:r>
            <w:proofErr w:type="gramEnd"/>
            <w:r>
              <w:t xml:space="preserve"> 1. – 6. v tabulce č. 2.1.1. Živelní pojištění</w:t>
            </w:r>
          </w:p>
        </w:tc>
        <w:tc>
          <w:tcPr>
            <w:tcW w:w="1276" w:type="dxa"/>
            <w:vAlign w:val="center"/>
          </w:tcPr>
          <w:p w:rsidR="00EE5879" w:rsidRPr="000969FB" w:rsidRDefault="00EE5879" w:rsidP="00741A8E">
            <w:pPr>
              <w:jc w:val="center"/>
            </w:pPr>
            <w:r>
              <w:t>××</w:t>
            </w:r>
          </w:p>
        </w:tc>
        <w:tc>
          <w:tcPr>
            <w:tcW w:w="1417" w:type="dxa"/>
            <w:vAlign w:val="center"/>
          </w:tcPr>
          <w:p w:rsidR="00EE5879" w:rsidRPr="000969FB" w:rsidRDefault="00EE5879" w:rsidP="00741A8E">
            <w:pPr>
              <w:jc w:val="center"/>
            </w:pPr>
            <w:r>
              <w:t>5 000 Kč</w:t>
            </w:r>
          </w:p>
        </w:tc>
        <w:tc>
          <w:tcPr>
            <w:tcW w:w="1559" w:type="dxa"/>
            <w:vAlign w:val="center"/>
          </w:tcPr>
          <w:p w:rsidR="00EE5879" w:rsidRPr="000969FB" w:rsidRDefault="00EE5879" w:rsidP="00741A8E">
            <w:pPr>
              <w:jc w:val="center"/>
            </w:pPr>
            <w:r w:rsidRPr="000969FB">
              <w:t>*)</w:t>
            </w:r>
          </w:p>
        </w:tc>
        <w:tc>
          <w:tcPr>
            <w:tcW w:w="1560" w:type="dxa"/>
            <w:vAlign w:val="center"/>
          </w:tcPr>
          <w:p w:rsidR="00EE5879" w:rsidRPr="000969FB" w:rsidRDefault="00EE5879" w:rsidP="00741A8E">
            <w:pPr>
              <w:jc w:val="center"/>
            </w:pPr>
            <w:r>
              <w:t>100 000 Kč</w:t>
            </w:r>
          </w:p>
        </w:tc>
        <w:tc>
          <w:tcPr>
            <w:tcW w:w="1134" w:type="dxa"/>
            <w:vAlign w:val="center"/>
          </w:tcPr>
          <w:p w:rsidR="00EE5879" w:rsidRPr="000969FB" w:rsidRDefault="00EE5879" w:rsidP="00741A8E">
            <w:pPr>
              <w:jc w:val="center"/>
            </w:pPr>
            <w:r>
              <w:t>××</w:t>
            </w:r>
          </w:p>
        </w:tc>
      </w:tr>
      <w:tr w:rsidR="00EE5879" w:rsidRPr="000969FB" w:rsidTr="00D86C0B">
        <w:tc>
          <w:tcPr>
            <w:tcW w:w="10490" w:type="dxa"/>
            <w:gridSpan w:val="7"/>
          </w:tcPr>
          <w:p w:rsidR="00EE5879" w:rsidRPr="000969FB" w:rsidRDefault="00EE5879" w:rsidP="00741A8E">
            <w:r w:rsidRPr="000969FB">
              <w:t>Poznámky:</w:t>
            </w:r>
          </w:p>
        </w:tc>
      </w:tr>
    </w:tbl>
    <w:p w:rsidR="009B22B4" w:rsidRPr="000969FB" w:rsidRDefault="009B22B4" w:rsidP="00F577F6">
      <w:pPr>
        <w:spacing w:after="240"/>
        <w:rPr>
          <w:sz w:val="16"/>
        </w:rPr>
      </w:pPr>
      <w:r w:rsidRPr="000969FB">
        <w:rPr>
          <w:sz w:val="16"/>
        </w:rPr>
        <w:t xml:space="preserve">*) není-li uvedeno, sjednává se pojištění s pojistnou hodnotou uvedenou v příslušných pojistných podmínkách </w:t>
      </w:r>
    </w:p>
    <w:p w:rsidR="009B22B4" w:rsidRPr="000969FB" w:rsidRDefault="009B22B4" w:rsidP="00521E53">
      <w:pPr>
        <w:pStyle w:val="slovn-rove2"/>
        <w:spacing w:after="0"/>
      </w:pPr>
      <w:r w:rsidRPr="000969FB">
        <w:t>Pojištění pro případ vandalismu</w:t>
      </w:r>
    </w:p>
    <w:p w:rsidR="003206F6" w:rsidRPr="000969FB" w:rsidRDefault="003206F6" w:rsidP="00150363">
      <w:pPr>
        <w:keepLines/>
        <w:spacing w:after="120"/>
      </w:pPr>
      <w:r w:rsidRPr="000969FB">
        <w:t>Pojištění se sjednává pro předměty pojištění v rozsahu a na místech pojištění uvedených v následující tabulce/následujících tabulkách:</w:t>
      </w:r>
    </w:p>
    <w:p w:rsidR="003206F6" w:rsidRPr="000969FB" w:rsidRDefault="003206F6" w:rsidP="009C0F40">
      <w:pPr>
        <w:pStyle w:val="slovn-rove3"/>
      </w:pPr>
      <w:r w:rsidRPr="000969FB">
        <w:t>Pojištění pro případ vandalismu</w:t>
      </w:r>
    </w:p>
    <w:tbl>
      <w:tblPr>
        <w:tblStyle w:val="Mkatabulky"/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417"/>
        <w:gridCol w:w="1418"/>
        <w:gridCol w:w="1559"/>
        <w:gridCol w:w="1277"/>
      </w:tblGrid>
      <w:tr w:rsidR="004062B5" w:rsidRPr="000969FB" w:rsidTr="00741A8E">
        <w:tc>
          <w:tcPr>
            <w:tcW w:w="10349" w:type="dxa"/>
            <w:gridSpan w:val="7"/>
          </w:tcPr>
          <w:p w:rsidR="004062B5" w:rsidRPr="00451F2F" w:rsidRDefault="004062B5" w:rsidP="00422C74">
            <w:r w:rsidRPr="000969FB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t>viz čl. II. bod 1.2.</w:t>
            </w:r>
          </w:p>
        </w:tc>
      </w:tr>
      <w:tr w:rsidR="009B22B4" w:rsidRPr="000969FB" w:rsidTr="00741A8E">
        <w:tc>
          <w:tcPr>
            <w:tcW w:w="10349" w:type="dxa"/>
            <w:gridSpan w:val="7"/>
          </w:tcPr>
          <w:p w:rsidR="009B22B4" w:rsidRPr="000969FB" w:rsidRDefault="009B22B4" w:rsidP="003206F6">
            <w:r w:rsidRPr="000969FB">
              <w:rPr>
                <w:b/>
              </w:rPr>
              <w:t>Rozsah pojištění:</w:t>
            </w:r>
            <w:r w:rsidRPr="000969FB">
              <w:t xml:space="preserve"> pojištění pro případ vandalismu</w:t>
            </w:r>
          </w:p>
        </w:tc>
      </w:tr>
      <w:tr w:rsidR="009B22B4" w:rsidRPr="000969FB" w:rsidTr="00741A8E">
        <w:tc>
          <w:tcPr>
            <w:tcW w:w="10349" w:type="dxa"/>
            <w:gridSpan w:val="7"/>
          </w:tcPr>
          <w:p w:rsidR="009B22B4" w:rsidRPr="000969FB" w:rsidRDefault="009B22B4" w:rsidP="003206F6">
            <w:r w:rsidRPr="000969FB">
              <w:rPr>
                <w:b/>
              </w:rPr>
              <w:t>Pojištění se řídí:</w:t>
            </w:r>
            <w:r w:rsidRPr="000969FB">
              <w:t xml:space="preserve"> VPP P-100/14, ZPP P-200/14 a doložkami DOB101, DOB103</w:t>
            </w:r>
          </w:p>
        </w:tc>
      </w:tr>
      <w:tr w:rsidR="009B22B4" w:rsidRPr="000969FB" w:rsidTr="00741A8E">
        <w:trPr>
          <w:cantSplit/>
        </w:trPr>
        <w:tc>
          <w:tcPr>
            <w:tcW w:w="709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proofErr w:type="spellStart"/>
            <w:r w:rsidRPr="000969FB">
              <w:rPr>
                <w:b/>
              </w:rPr>
              <w:t>Poř</w:t>
            </w:r>
            <w:proofErr w:type="spellEnd"/>
            <w:r w:rsidRPr="000969FB">
              <w:rPr>
                <w:b/>
              </w:rPr>
              <w:t>. číslo</w:t>
            </w:r>
          </w:p>
        </w:tc>
        <w:tc>
          <w:tcPr>
            <w:tcW w:w="2693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Pojistná částka</w:t>
            </w:r>
            <w:r w:rsidRPr="000969FB">
              <w:rPr>
                <w:b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Spoluúčast</w:t>
            </w:r>
            <w:r w:rsidRPr="000969FB">
              <w:rPr>
                <w:b/>
                <w:vertAlign w:val="superscript"/>
              </w:rPr>
              <w:t>5)</w:t>
            </w:r>
          </w:p>
        </w:tc>
        <w:tc>
          <w:tcPr>
            <w:tcW w:w="1418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Pojištění se sjednává na cenu</w:t>
            </w:r>
            <w:r w:rsidRPr="000969FB">
              <w:rPr>
                <w:b/>
                <w:vertAlign w:val="superscript"/>
              </w:rPr>
              <w:t>*</w:t>
            </w:r>
            <w:r w:rsidR="003206F6" w:rsidRPr="000969FB">
              <w:rPr>
                <w:b/>
                <w:vertAlign w:val="superscript"/>
              </w:rPr>
              <w:t xml:space="preserve">) </w:t>
            </w:r>
            <w:r w:rsidRPr="000969FB">
              <w:rPr>
                <w:b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První riziko</w:t>
            </w:r>
            <w:r w:rsidRPr="000969FB">
              <w:rPr>
                <w:b/>
                <w:vertAlign w:val="superscript"/>
              </w:rPr>
              <w:t>2)</w:t>
            </w:r>
          </w:p>
        </w:tc>
        <w:tc>
          <w:tcPr>
            <w:tcW w:w="1277" w:type="dxa"/>
            <w:vAlign w:val="center"/>
          </w:tcPr>
          <w:p w:rsidR="009B22B4" w:rsidRPr="000969FB" w:rsidRDefault="009B22B4" w:rsidP="003206F6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</w:tc>
      </w:tr>
      <w:tr w:rsidR="00EE5879" w:rsidRPr="000969FB" w:rsidTr="00EE5879">
        <w:tc>
          <w:tcPr>
            <w:tcW w:w="709" w:type="dxa"/>
            <w:vAlign w:val="center"/>
          </w:tcPr>
          <w:p w:rsidR="00EE5879" w:rsidRPr="000969FB" w:rsidRDefault="00EE5879" w:rsidP="00EE5879">
            <w:pPr>
              <w:jc w:val="left"/>
            </w:pPr>
            <w:r w:rsidRPr="000969FB">
              <w:t>1.</w:t>
            </w:r>
          </w:p>
        </w:tc>
        <w:tc>
          <w:tcPr>
            <w:tcW w:w="2693" w:type="dxa"/>
            <w:vAlign w:val="center"/>
          </w:tcPr>
          <w:p w:rsidR="00EE5879" w:rsidRPr="000969FB" w:rsidRDefault="00EE5879" w:rsidP="00141535">
            <w:pPr>
              <w:jc w:val="left"/>
            </w:pPr>
            <w:r>
              <w:t xml:space="preserve">Předměty pojištění uvedené pod </w:t>
            </w:r>
            <w:proofErr w:type="spellStart"/>
            <w:proofErr w:type="gramStart"/>
            <w:r>
              <w:t>poř.č</w:t>
            </w:r>
            <w:proofErr w:type="spellEnd"/>
            <w:r>
              <w:t>.</w:t>
            </w:r>
            <w:proofErr w:type="gramEnd"/>
            <w:r>
              <w:t xml:space="preserve"> 1. – 6. v tabulce č. 2.1.1. Živelní pojištění</w:t>
            </w:r>
          </w:p>
        </w:tc>
        <w:tc>
          <w:tcPr>
            <w:tcW w:w="1276" w:type="dxa"/>
            <w:vAlign w:val="center"/>
          </w:tcPr>
          <w:p w:rsidR="00EE5879" w:rsidRPr="000969FB" w:rsidRDefault="00EE5879" w:rsidP="009B6D91">
            <w:pPr>
              <w:jc w:val="center"/>
            </w:pPr>
            <w:r>
              <w:t>××</w:t>
            </w:r>
          </w:p>
        </w:tc>
        <w:tc>
          <w:tcPr>
            <w:tcW w:w="1417" w:type="dxa"/>
            <w:vAlign w:val="center"/>
          </w:tcPr>
          <w:p w:rsidR="00EE5879" w:rsidRPr="000969FB" w:rsidRDefault="00EE5879" w:rsidP="009B6D91">
            <w:pPr>
              <w:jc w:val="center"/>
            </w:pPr>
            <w:r>
              <w:t>5 000 Kč</w:t>
            </w:r>
          </w:p>
        </w:tc>
        <w:tc>
          <w:tcPr>
            <w:tcW w:w="1418" w:type="dxa"/>
            <w:vAlign w:val="center"/>
          </w:tcPr>
          <w:p w:rsidR="00EE5879" w:rsidRPr="000969FB" w:rsidRDefault="00EE5879" w:rsidP="009B6D91">
            <w:pPr>
              <w:jc w:val="center"/>
            </w:pPr>
            <w:r w:rsidRPr="000969FB">
              <w:t>*)</w:t>
            </w:r>
          </w:p>
        </w:tc>
        <w:tc>
          <w:tcPr>
            <w:tcW w:w="1559" w:type="dxa"/>
            <w:vAlign w:val="center"/>
          </w:tcPr>
          <w:p w:rsidR="00EE5879" w:rsidRPr="000969FB" w:rsidRDefault="00EE5879" w:rsidP="00741A8E">
            <w:pPr>
              <w:jc w:val="center"/>
            </w:pPr>
            <w:r>
              <w:t>600 000 Kč</w:t>
            </w:r>
          </w:p>
        </w:tc>
        <w:tc>
          <w:tcPr>
            <w:tcW w:w="1277" w:type="dxa"/>
            <w:vAlign w:val="center"/>
          </w:tcPr>
          <w:p w:rsidR="00EE5879" w:rsidRPr="000969FB" w:rsidRDefault="00EE5879" w:rsidP="009B6D91">
            <w:pPr>
              <w:jc w:val="center"/>
            </w:pPr>
            <w:r>
              <w:t>××</w:t>
            </w:r>
          </w:p>
        </w:tc>
      </w:tr>
      <w:tr w:rsidR="00EE5879" w:rsidRPr="000969FB" w:rsidTr="00741A8E">
        <w:tc>
          <w:tcPr>
            <w:tcW w:w="10349" w:type="dxa"/>
            <w:gridSpan w:val="7"/>
          </w:tcPr>
          <w:p w:rsidR="00EE5879" w:rsidRPr="000969FB" w:rsidRDefault="00EE5879" w:rsidP="00741A8E">
            <w:r w:rsidRPr="000969FB">
              <w:t>Poznámky:</w:t>
            </w:r>
          </w:p>
        </w:tc>
      </w:tr>
    </w:tbl>
    <w:p w:rsidR="009B22B4" w:rsidRPr="000969FB" w:rsidRDefault="009B22B4" w:rsidP="00714307">
      <w:pPr>
        <w:spacing w:after="180"/>
        <w:rPr>
          <w:sz w:val="16"/>
        </w:rPr>
      </w:pPr>
      <w:r w:rsidRPr="000969FB">
        <w:rPr>
          <w:sz w:val="16"/>
        </w:rPr>
        <w:t xml:space="preserve">*) není-li uvedeno, sjednává se pojištění s pojistnou hodnotou uvedenou v příslušných pojistných podmínkách </w:t>
      </w:r>
    </w:p>
    <w:p w:rsidR="009B22B4" w:rsidRPr="000969FB" w:rsidRDefault="009B22B4" w:rsidP="00521E53">
      <w:pPr>
        <w:pStyle w:val="slovn-rove2"/>
        <w:spacing w:after="0"/>
      </w:pPr>
      <w:r w:rsidRPr="000969FB">
        <w:t>Pojištění skla</w:t>
      </w:r>
    </w:p>
    <w:p w:rsidR="00C71DE4" w:rsidRPr="000969FB" w:rsidRDefault="00C71DE4" w:rsidP="00A32127">
      <w:pPr>
        <w:keepLines/>
        <w:spacing w:after="120"/>
      </w:pPr>
      <w:r w:rsidRPr="000969FB">
        <w:t>Pojištění se sjednává pro předměty pojištění v rozsahu a na místech pojištění uvedených v následující tabulce/následujících tabulkách:</w:t>
      </w:r>
    </w:p>
    <w:p w:rsidR="00C71DE4" w:rsidRPr="000969FB" w:rsidRDefault="00C71DE4" w:rsidP="009C0F40">
      <w:pPr>
        <w:pStyle w:val="slovn-rove3"/>
      </w:pPr>
      <w:r w:rsidRPr="000969FB">
        <w:t>Pojištění skla</w:t>
      </w:r>
    </w:p>
    <w:tbl>
      <w:tblPr>
        <w:tblStyle w:val="Mkatabulky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417"/>
        <w:gridCol w:w="1418"/>
        <w:gridCol w:w="1417"/>
        <w:gridCol w:w="1276"/>
      </w:tblGrid>
      <w:tr w:rsidR="004062B5" w:rsidRPr="000969FB" w:rsidTr="00741A8E">
        <w:tc>
          <w:tcPr>
            <w:tcW w:w="10348" w:type="dxa"/>
            <w:gridSpan w:val="7"/>
          </w:tcPr>
          <w:p w:rsidR="004062B5" w:rsidRPr="00451F2F" w:rsidRDefault="004062B5" w:rsidP="00422C74">
            <w:r w:rsidRPr="000969FB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t>viz čl. II. bod 1.2.</w:t>
            </w:r>
          </w:p>
        </w:tc>
      </w:tr>
      <w:tr w:rsidR="009B22B4" w:rsidRPr="000969FB" w:rsidTr="00741A8E">
        <w:tc>
          <w:tcPr>
            <w:tcW w:w="10348" w:type="dxa"/>
            <w:gridSpan w:val="7"/>
          </w:tcPr>
          <w:p w:rsidR="009B22B4" w:rsidRPr="000969FB" w:rsidRDefault="009B22B4" w:rsidP="00024476">
            <w:r w:rsidRPr="000969FB">
              <w:rPr>
                <w:b/>
              </w:rPr>
              <w:t>Pojištění se řídí:</w:t>
            </w:r>
            <w:r w:rsidRPr="000969FB">
              <w:t xml:space="preserve"> VPP P-100/14, ZPP P-250/14 a doložkami DOB101, DOB103</w:t>
            </w:r>
          </w:p>
        </w:tc>
      </w:tr>
      <w:tr w:rsidR="009B22B4" w:rsidRPr="000969FB" w:rsidTr="00741A8E">
        <w:trPr>
          <w:cantSplit/>
        </w:trPr>
        <w:tc>
          <w:tcPr>
            <w:tcW w:w="709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proofErr w:type="spellStart"/>
            <w:r w:rsidRPr="000969FB">
              <w:rPr>
                <w:b/>
              </w:rPr>
              <w:t>Poř</w:t>
            </w:r>
            <w:proofErr w:type="spellEnd"/>
            <w:r w:rsidRPr="000969FB">
              <w:rPr>
                <w:b/>
              </w:rPr>
              <w:t>. číslo</w:t>
            </w:r>
          </w:p>
        </w:tc>
        <w:tc>
          <w:tcPr>
            <w:tcW w:w="2835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Pojistná částka</w:t>
            </w:r>
            <w:r w:rsidRPr="000969FB">
              <w:rPr>
                <w:b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Spoluúčast</w:t>
            </w:r>
            <w:r w:rsidRPr="000969FB">
              <w:rPr>
                <w:b/>
                <w:vertAlign w:val="superscript"/>
              </w:rPr>
              <w:t>5)</w:t>
            </w:r>
          </w:p>
        </w:tc>
        <w:tc>
          <w:tcPr>
            <w:tcW w:w="1418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Pojištění se sjednává na cenu</w:t>
            </w:r>
            <w:r w:rsidRPr="000969FB">
              <w:rPr>
                <w:b/>
                <w:vertAlign w:val="superscript"/>
              </w:rPr>
              <w:t>*</w:t>
            </w:r>
            <w:r w:rsidR="00024476" w:rsidRPr="000969FB">
              <w:rPr>
                <w:b/>
                <w:vertAlign w:val="superscript"/>
              </w:rPr>
              <w:t xml:space="preserve">) </w:t>
            </w:r>
            <w:r w:rsidRPr="000969FB">
              <w:rPr>
                <w:b/>
                <w:vertAlign w:val="superscript"/>
              </w:rPr>
              <w:t>1)</w:t>
            </w:r>
          </w:p>
        </w:tc>
        <w:tc>
          <w:tcPr>
            <w:tcW w:w="1417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  <w:p w:rsidR="009B22B4" w:rsidRPr="000969FB" w:rsidRDefault="009B22B4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První riziko</w:t>
            </w:r>
            <w:r w:rsidRPr="000969FB">
              <w:rPr>
                <w:b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</w:tc>
      </w:tr>
      <w:tr w:rsidR="009B22B4" w:rsidRPr="000969FB" w:rsidTr="00741A8E">
        <w:tc>
          <w:tcPr>
            <w:tcW w:w="709" w:type="dxa"/>
            <w:vAlign w:val="center"/>
          </w:tcPr>
          <w:p w:rsidR="009B22B4" w:rsidRPr="000969FB" w:rsidRDefault="009B22B4" w:rsidP="00741A8E">
            <w:pPr>
              <w:jc w:val="left"/>
            </w:pPr>
            <w:r w:rsidRPr="000969FB">
              <w:t>1.</w:t>
            </w:r>
          </w:p>
        </w:tc>
        <w:tc>
          <w:tcPr>
            <w:tcW w:w="2835" w:type="dxa"/>
            <w:vAlign w:val="center"/>
          </w:tcPr>
          <w:p w:rsidR="009B22B4" w:rsidRPr="000969FB" w:rsidRDefault="00741A8E" w:rsidP="00741A8E">
            <w:pPr>
              <w:jc w:val="left"/>
            </w:pPr>
            <w:r>
              <w:t>Soubor vlastních a cizích skel</w:t>
            </w:r>
          </w:p>
        </w:tc>
        <w:tc>
          <w:tcPr>
            <w:tcW w:w="1276" w:type="dxa"/>
            <w:vAlign w:val="center"/>
          </w:tcPr>
          <w:p w:rsidR="009B22B4" w:rsidRPr="000969FB" w:rsidRDefault="00741A8E" w:rsidP="00741A8E">
            <w:pPr>
              <w:jc w:val="center"/>
            </w:pPr>
            <w:r>
              <w:t>××</w:t>
            </w:r>
          </w:p>
        </w:tc>
        <w:tc>
          <w:tcPr>
            <w:tcW w:w="1417" w:type="dxa"/>
            <w:vAlign w:val="center"/>
          </w:tcPr>
          <w:p w:rsidR="009B22B4" w:rsidRPr="000969FB" w:rsidRDefault="00741A8E" w:rsidP="00741A8E">
            <w:pPr>
              <w:jc w:val="center"/>
            </w:pPr>
            <w:r>
              <w:t>1 000 Kč</w:t>
            </w:r>
          </w:p>
        </w:tc>
        <w:tc>
          <w:tcPr>
            <w:tcW w:w="1418" w:type="dxa"/>
            <w:vAlign w:val="center"/>
          </w:tcPr>
          <w:p w:rsidR="009B22B4" w:rsidRPr="000969FB" w:rsidRDefault="009B22B4" w:rsidP="00741A8E">
            <w:pPr>
              <w:jc w:val="center"/>
            </w:pPr>
            <w:r w:rsidRPr="000969FB">
              <w:t>*)</w:t>
            </w:r>
          </w:p>
        </w:tc>
        <w:tc>
          <w:tcPr>
            <w:tcW w:w="1417" w:type="dxa"/>
            <w:vAlign w:val="center"/>
          </w:tcPr>
          <w:p w:rsidR="009B22B4" w:rsidRPr="000969FB" w:rsidRDefault="00741A8E" w:rsidP="00741A8E">
            <w:pPr>
              <w:jc w:val="center"/>
            </w:pPr>
            <w:r>
              <w:t>100 000 Kč</w:t>
            </w:r>
          </w:p>
        </w:tc>
        <w:tc>
          <w:tcPr>
            <w:tcW w:w="1276" w:type="dxa"/>
            <w:vAlign w:val="center"/>
          </w:tcPr>
          <w:p w:rsidR="009B22B4" w:rsidRPr="000969FB" w:rsidRDefault="00741A8E" w:rsidP="00741A8E">
            <w:pPr>
              <w:jc w:val="center"/>
            </w:pPr>
            <w:r>
              <w:t>××</w:t>
            </w:r>
          </w:p>
        </w:tc>
      </w:tr>
      <w:tr w:rsidR="009B22B4" w:rsidRPr="000969FB" w:rsidTr="00741A8E">
        <w:tc>
          <w:tcPr>
            <w:tcW w:w="10348" w:type="dxa"/>
            <w:gridSpan w:val="7"/>
          </w:tcPr>
          <w:p w:rsidR="009B22B4" w:rsidRPr="000969FB" w:rsidRDefault="009B22B4" w:rsidP="00024476">
            <w:r w:rsidRPr="000969FB">
              <w:t>Poznámky:</w:t>
            </w:r>
          </w:p>
        </w:tc>
      </w:tr>
    </w:tbl>
    <w:p w:rsidR="009B22B4" w:rsidRPr="000969FB" w:rsidRDefault="009B22B4" w:rsidP="00714307">
      <w:pPr>
        <w:spacing w:after="180"/>
        <w:rPr>
          <w:sz w:val="16"/>
        </w:rPr>
      </w:pPr>
      <w:r w:rsidRPr="000969FB">
        <w:rPr>
          <w:sz w:val="16"/>
        </w:rPr>
        <w:t xml:space="preserve">*) není-li uvedeno, sjednává se pojištění s pojistnou hodnotou uvedenou v příslušných pojistných podmínkách </w:t>
      </w:r>
    </w:p>
    <w:p w:rsidR="00EE5879" w:rsidRPr="000969FB" w:rsidRDefault="00EE5879" w:rsidP="00EE5879">
      <w:pPr>
        <w:pStyle w:val="slovn-rove2"/>
        <w:spacing w:after="0"/>
      </w:pPr>
      <w:r w:rsidRPr="000969FB">
        <w:t>Pojištění elektronických zařízení</w:t>
      </w:r>
    </w:p>
    <w:p w:rsidR="00EE5879" w:rsidRPr="000969FB" w:rsidRDefault="00EE5879" w:rsidP="00EE5879">
      <w:pPr>
        <w:keepLines/>
        <w:spacing w:after="120"/>
      </w:pPr>
      <w:r w:rsidRPr="000969FB">
        <w:t>Pojištění se sjednává pro předměty pojištění v rozsahu a na místech pojištění uvedených v následující tabulce/následujících tabulkách:</w:t>
      </w:r>
    </w:p>
    <w:p w:rsidR="00EE5879" w:rsidRPr="000969FB" w:rsidRDefault="00EE5879" w:rsidP="00EE5879">
      <w:pPr>
        <w:pStyle w:val="slovn-rove3"/>
      </w:pPr>
      <w:r w:rsidRPr="000969FB">
        <w:t>Pojištění elektronických zařízení</w:t>
      </w:r>
    </w:p>
    <w:tbl>
      <w:tblPr>
        <w:tblStyle w:val="Mkatabulky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1559"/>
        <w:gridCol w:w="1418"/>
        <w:gridCol w:w="1417"/>
      </w:tblGrid>
      <w:tr w:rsidR="00EE5879" w:rsidRPr="000969FB" w:rsidTr="00D86C0B">
        <w:tc>
          <w:tcPr>
            <w:tcW w:w="10348" w:type="dxa"/>
            <w:gridSpan w:val="6"/>
          </w:tcPr>
          <w:p w:rsidR="00EE5879" w:rsidRPr="00451F2F" w:rsidRDefault="00EE5879" w:rsidP="00141535">
            <w:r w:rsidRPr="000969FB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t>viz čl. II. bod 1.2.</w:t>
            </w:r>
          </w:p>
        </w:tc>
      </w:tr>
      <w:tr w:rsidR="00EE5879" w:rsidRPr="000969FB" w:rsidTr="00D86C0B">
        <w:tc>
          <w:tcPr>
            <w:tcW w:w="10348" w:type="dxa"/>
            <w:gridSpan w:val="6"/>
          </w:tcPr>
          <w:p w:rsidR="00EE5879" w:rsidRPr="000969FB" w:rsidRDefault="00EE5879" w:rsidP="00141535">
            <w:r w:rsidRPr="000969FB">
              <w:rPr>
                <w:b/>
              </w:rPr>
              <w:t>Pojištění se řídí:</w:t>
            </w:r>
            <w:r w:rsidRPr="000969FB">
              <w:t xml:space="preserve"> VPP P-100/14, ZPP P-320/14 a doložkou DOB103</w:t>
            </w:r>
          </w:p>
        </w:tc>
      </w:tr>
      <w:tr w:rsidR="00EE5879" w:rsidRPr="000969FB" w:rsidTr="00D86C0B">
        <w:trPr>
          <w:cantSplit/>
        </w:trPr>
        <w:tc>
          <w:tcPr>
            <w:tcW w:w="709" w:type="dxa"/>
            <w:vAlign w:val="center"/>
          </w:tcPr>
          <w:p w:rsidR="00EE5879" w:rsidRPr="000969FB" w:rsidRDefault="00EE5879" w:rsidP="00141535">
            <w:pPr>
              <w:jc w:val="center"/>
              <w:rPr>
                <w:b/>
              </w:rPr>
            </w:pPr>
            <w:proofErr w:type="spellStart"/>
            <w:r w:rsidRPr="000969FB">
              <w:rPr>
                <w:b/>
              </w:rPr>
              <w:t>Poř</w:t>
            </w:r>
            <w:proofErr w:type="spellEnd"/>
            <w:r w:rsidRPr="000969FB">
              <w:rPr>
                <w:b/>
              </w:rPr>
              <w:t>. číslo</w:t>
            </w:r>
          </w:p>
        </w:tc>
        <w:tc>
          <w:tcPr>
            <w:tcW w:w="3827" w:type="dxa"/>
            <w:vAlign w:val="center"/>
          </w:tcPr>
          <w:p w:rsidR="00EE5879" w:rsidRPr="000969FB" w:rsidRDefault="00EE5879" w:rsidP="00141535">
            <w:pPr>
              <w:jc w:val="center"/>
              <w:rPr>
                <w:b/>
              </w:rPr>
            </w:pPr>
            <w:r w:rsidRPr="000969FB">
              <w:rPr>
                <w:b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EE5879" w:rsidRPr="000969FB" w:rsidRDefault="00EE5879" w:rsidP="00141535">
            <w:pPr>
              <w:jc w:val="center"/>
              <w:rPr>
                <w:b/>
              </w:rPr>
            </w:pPr>
            <w:r w:rsidRPr="000969FB">
              <w:rPr>
                <w:b/>
              </w:rPr>
              <w:t>Pojistná částka</w:t>
            </w:r>
            <w:r w:rsidRPr="000969FB">
              <w:rPr>
                <w:b/>
                <w:vertAlign w:val="superscript"/>
              </w:rPr>
              <w:t>10)</w:t>
            </w:r>
          </w:p>
        </w:tc>
        <w:tc>
          <w:tcPr>
            <w:tcW w:w="1559" w:type="dxa"/>
            <w:vAlign w:val="center"/>
          </w:tcPr>
          <w:p w:rsidR="00EE5879" w:rsidRPr="000969FB" w:rsidRDefault="00EE5879" w:rsidP="00141535">
            <w:pPr>
              <w:jc w:val="center"/>
              <w:rPr>
                <w:b/>
              </w:rPr>
            </w:pPr>
            <w:r w:rsidRPr="000969FB">
              <w:rPr>
                <w:b/>
              </w:rPr>
              <w:t>Spoluúčast</w:t>
            </w:r>
            <w:r w:rsidRPr="000969FB">
              <w:rPr>
                <w:b/>
                <w:vertAlign w:val="superscript"/>
              </w:rPr>
              <w:t>5)</w:t>
            </w:r>
          </w:p>
        </w:tc>
        <w:tc>
          <w:tcPr>
            <w:tcW w:w="1418" w:type="dxa"/>
            <w:vAlign w:val="center"/>
          </w:tcPr>
          <w:p w:rsidR="00EE5879" w:rsidRPr="000969FB" w:rsidRDefault="00EE5879" w:rsidP="00141535">
            <w:pPr>
              <w:jc w:val="center"/>
              <w:rPr>
                <w:b/>
              </w:rPr>
            </w:pPr>
            <w:r w:rsidRPr="000969FB">
              <w:rPr>
                <w:b/>
              </w:rPr>
              <w:t>Pojištění se sjednává na cenu</w:t>
            </w:r>
            <w:r w:rsidRPr="000969FB">
              <w:rPr>
                <w:b/>
                <w:vertAlign w:val="superscript"/>
              </w:rPr>
              <w:t>*) 1)</w:t>
            </w:r>
          </w:p>
        </w:tc>
        <w:tc>
          <w:tcPr>
            <w:tcW w:w="1417" w:type="dxa"/>
            <w:vAlign w:val="center"/>
          </w:tcPr>
          <w:p w:rsidR="00EE5879" w:rsidRPr="000969FB" w:rsidRDefault="00EE5879" w:rsidP="00141535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  <w:p w:rsidR="00EE5879" w:rsidRPr="000969FB" w:rsidRDefault="00EE5879" w:rsidP="00141535">
            <w:pPr>
              <w:jc w:val="center"/>
              <w:rPr>
                <w:b/>
              </w:rPr>
            </w:pPr>
            <w:r w:rsidRPr="000969FB">
              <w:rPr>
                <w:b/>
              </w:rPr>
              <w:t>První riziko</w:t>
            </w:r>
            <w:r w:rsidRPr="000969FB">
              <w:rPr>
                <w:b/>
                <w:vertAlign w:val="superscript"/>
              </w:rPr>
              <w:t>2)</w:t>
            </w:r>
          </w:p>
        </w:tc>
      </w:tr>
      <w:tr w:rsidR="00EE5879" w:rsidRPr="000969FB" w:rsidTr="00D86C0B">
        <w:tc>
          <w:tcPr>
            <w:tcW w:w="709" w:type="dxa"/>
            <w:vAlign w:val="center"/>
          </w:tcPr>
          <w:p w:rsidR="00EE5879" w:rsidRPr="000969FB" w:rsidRDefault="00EE5879" w:rsidP="00141535">
            <w:pPr>
              <w:jc w:val="left"/>
            </w:pPr>
            <w:r w:rsidRPr="000969FB">
              <w:t>1.</w:t>
            </w:r>
          </w:p>
        </w:tc>
        <w:tc>
          <w:tcPr>
            <w:tcW w:w="3827" w:type="dxa"/>
            <w:vAlign w:val="center"/>
          </w:tcPr>
          <w:p w:rsidR="00EE5879" w:rsidRPr="000969FB" w:rsidRDefault="00EE5879" w:rsidP="00141535">
            <w:pPr>
              <w:jc w:val="left"/>
            </w:pPr>
            <w:r>
              <w:t xml:space="preserve">Soubor </w:t>
            </w:r>
            <w:r w:rsidR="006146A2">
              <w:t xml:space="preserve">vlastních a cizích </w:t>
            </w:r>
            <w:r>
              <w:t>stacionárních elektronických zařízení</w:t>
            </w:r>
          </w:p>
        </w:tc>
        <w:tc>
          <w:tcPr>
            <w:tcW w:w="1418" w:type="dxa"/>
            <w:vAlign w:val="center"/>
          </w:tcPr>
          <w:p w:rsidR="00EE5879" w:rsidRPr="000969FB" w:rsidRDefault="00EE5879" w:rsidP="00141535">
            <w:pPr>
              <w:jc w:val="center"/>
            </w:pPr>
            <w:r>
              <w:t>××</w:t>
            </w:r>
          </w:p>
        </w:tc>
        <w:tc>
          <w:tcPr>
            <w:tcW w:w="1559" w:type="dxa"/>
            <w:vAlign w:val="center"/>
          </w:tcPr>
          <w:p w:rsidR="00EE5879" w:rsidRPr="000969FB" w:rsidRDefault="00EE5879" w:rsidP="00141535">
            <w:pPr>
              <w:jc w:val="center"/>
            </w:pPr>
            <w:r>
              <w:t>5 000 Kč</w:t>
            </w:r>
          </w:p>
        </w:tc>
        <w:tc>
          <w:tcPr>
            <w:tcW w:w="1418" w:type="dxa"/>
            <w:vAlign w:val="center"/>
          </w:tcPr>
          <w:p w:rsidR="00EE5879" w:rsidRPr="000969FB" w:rsidRDefault="00EE5879" w:rsidP="00141535">
            <w:pPr>
              <w:jc w:val="center"/>
            </w:pPr>
            <w:r w:rsidRPr="000969FB">
              <w:t>*)</w:t>
            </w:r>
          </w:p>
        </w:tc>
        <w:tc>
          <w:tcPr>
            <w:tcW w:w="1417" w:type="dxa"/>
            <w:vAlign w:val="center"/>
          </w:tcPr>
          <w:p w:rsidR="00EE5879" w:rsidRPr="000969FB" w:rsidRDefault="00EE5879" w:rsidP="00141535">
            <w:pPr>
              <w:jc w:val="center"/>
            </w:pPr>
            <w:r>
              <w:t>500 000 Kč</w:t>
            </w:r>
          </w:p>
        </w:tc>
      </w:tr>
      <w:tr w:rsidR="00EE5879" w:rsidRPr="000969FB" w:rsidTr="00D86C0B">
        <w:tc>
          <w:tcPr>
            <w:tcW w:w="709" w:type="dxa"/>
            <w:vAlign w:val="center"/>
          </w:tcPr>
          <w:p w:rsidR="00EE5879" w:rsidRPr="000969FB" w:rsidRDefault="00EE5879" w:rsidP="00141535">
            <w:pPr>
              <w:jc w:val="left"/>
            </w:pPr>
            <w:r>
              <w:t>2.</w:t>
            </w:r>
          </w:p>
        </w:tc>
        <w:tc>
          <w:tcPr>
            <w:tcW w:w="3827" w:type="dxa"/>
            <w:vAlign w:val="center"/>
          </w:tcPr>
          <w:p w:rsidR="00EE5879" w:rsidRPr="000969FB" w:rsidRDefault="00EE5879" w:rsidP="00141535">
            <w:pPr>
              <w:jc w:val="left"/>
            </w:pPr>
            <w:r>
              <w:t xml:space="preserve">Soubor </w:t>
            </w:r>
            <w:r w:rsidR="006146A2">
              <w:t xml:space="preserve">vlastních a cizích </w:t>
            </w:r>
            <w:r>
              <w:t>mobilních elektronických zařízení</w:t>
            </w:r>
          </w:p>
        </w:tc>
        <w:tc>
          <w:tcPr>
            <w:tcW w:w="1418" w:type="dxa"/>
            <w:vAlign w:val="center"/>
          </w:tcPr>
          <w:p w:rsidR="00EE5879" w:rsidRPr="000969FB" w:rsidRDefault="00EE5879" w:rsidP="00141535">
            <w:pPr>
              <w:jc w:val="center"/>
            </w:pPr>
            <w:r>
              <w:t>××</w:t>
            </w:r>
          </w:p>
        </w:tc>
        <w:tc>
          <w:tcPr>
            <w:tcW w:w="1559" w:type="dxa"/>
            <w:vAlign w:val="center"/>
          </w:tcPr>
          <w:p w:rsidR="00EE5879" w:rsidRPr="000969FB" w:rsidRDefault="00EE5879" w:rsidP="00141535">
            <w:pPr>
              <w:jc w:val="center"/>
            </w:pPr>
            <w:r>
              <w:t>5 000 Kč</w:t>
            </w:r>
          </w:p>
        </w:tc>
        <w:tc>
          <w:tcPr>
            <w:tcW w:w="1418" w:type="dxa"/>
            <w:vAlign w:val="center"/>
          </w:tcPr>
          <w:p w:rsidR="00EE5879" w:rsidRPr="000969FB" w:rsidRDefault="00EE5879" w:rsidP="00141535">
            <w:pPr>
              <w:jc w:val="center"/>
            </w:pPr>
            <w:r w:rsidRPr="000969FB">
              <w:t>*)</w:t>
            </w:r>
          </w:p>
        </w:tc>
        <w:tc>
          <w:tcPr>
            <w:tcW w:w="1417" w:type="dxa"/>
            <w:vAlign w:val="center"/>
          </w:tcPr>
          <w:p w:rsidR="00EE5879" w:rsidRPr="000969FB" w:rsidRDefault="00EE5879" w:rsidP="00141535">
            <w:pPr>
              <w:jc w:val="center"/>
            </w:pPr>
            <w:r>
              <w:t>100 000 Kč</w:t>
            </w:r>
          </w:p>
        </w:tc>
      </w:tr>
      <w:tr w:rsidR="00EE5879" w:rsidRPr="000969FB" w:rsidTr="00D86C0B">
        <w:tc>
          <w:tcPr>
            <w:tcW w:w="709" w:type="dxa"/>
            <w:vAlign w:val="center"/>
          </w:tcPr>
          <w:p w:rsidR="00EE5879" w:rsidRDefault="00EE5879" w:rsidP="00141535">
            <w:pPr>
              <w:jc w:val="left"/>
            </w:pPr>
            <w:r>
              <w:lastRenderedPageBreak/>
              <w:t>3.</w:t>
            </w:r>
          </w:p>
        </w:tc>
        <w:tc>
          <w:tcPr>
            <w:tcW w:w="3827" w:type="dxa"/>
            <w:vAlign w:val="center"/>
          </w:tcPr>
          <w:p w:rsidR="00EE5879" w:rsidRDefault="00EE5879" w:rsidP="00141535">
            <w:pPr>
              <w:jc w:val="left"/>
            </w:pPr>
            <w:r>
              <w:t>Software, nosiče dat, náklady na instalaci a obnovu vč. dat/informací na nich uložených</w:t>
            </w:r>
          </w:p>
        </w:tc>
        <w:tc>
          <w:tcPr>
            <w:tcW w:w="1418" w:type="dxa"/>
            <w:vAlign w:val="center"/>
          </w:tcPr>
          <w:p w:rsidR="00EE5879" w:rsidRDefault="00EE5879" w:rsidP="00141535">
            <w:pPr>
              <w:jc w:val="center"/>
            </w:pPr>
            <w:r>
              <w:t>××</w:t>
            </w:r>
          </w:p>
        </w:tc>
        <w:tc>
          <w:tcPr>
            <w:tcW w:w="1559" w:type="dxa"/>
            <w:vAlign w:val="center"/>
          </w:tcPr>
          <w:p w:rsidR="00EE5879" w:rsidRDefault="00EE5879" w:rsidP="00141535">
            <w:pPr>
              <w:jc w:val="center"/>
            </w:pPr>
            <w:r>
              <w:t>5 000 Kč</w:t>
            </w:r>
          </w:p>
        </w:tc>
        <w:tc>
          <w:tcPr>
            <w:tcW w:w="1418" w:type="dxa"/>
            <w:vAlign w:val="center"/>
          </w:tcPr>
          <w:p w:rsidR="00EE5879" w:rsidRPr="000969FB" w:rsidRDefault="00EE5879" w:rsidP="00141535">
            <w:pPr>
              <w:jc w:val="center"/>
            </w:pPr>
            <w:r w:rsidRPr="000969FB">
              <w:t>*)</w:t>
            </w:r>
          </w:p>
        </w:tc>
        <w:tc>
          <w:tcPr>
            <w:tcW w:w="1417" w:type="dxa"/>
            <w:vAlign w:val="center"/>
          </w:tcPr>
          <w:p w:rsidR="00EE5879" w:rsidRDefault="00EE5879" w:rsidP="00141535">
            <w:pPr>
              <w:jc w:val="center"/>
            </w:pPr>
            <w:r>
              <w:t>200 000 Kč</w:t>
            </w:r>
          </w:p>
        </w:tc>
      </w:tr>
      <w:tr w:rsidR="00EE5879" w:rsidRPr="000969FB" w:rsidTr="00D86C0B">
        <w:tc>
          <w:tcPr>
            <w:tcW w:w="10348" w:type="dxa"/>
            <w:gridSpan w:val="6"/>
          </w:tcPr>
          <w:p w:rsidR="00EE5879" w:rsidRPr="000969FB" w:rsidRDefault="00EE5879" w:rsidP="00141535">
            <w:r w:rsidRPr="000969FB">
              <w:t>Poznámky:</w:t>
            </w:r>
          </w:p>
        </w:tc>
      </w:tr>
    </w:tbl>
    <w:p w:rsidR="00EE5879" w:rsidRPr="000969FB" w:rsidRDefault="00EE5879" w:rsidP="00EE5879">
      <w:pPr>
        <w:spacing w:after="240"/>
        <w:rPr>
          <w:sz w:val="16"/>
        </w:rPr>
      </w:pPr>
      <w:r w:rsidRPr="000969FB">
        <w:rPr>
          <w:sz w:val="16"/>
        </w:rPr>
        <w:t xml:space="preserve">*) není-li uvedeno, sjednává se pojištění s pojistnou hodnotou uvedenou v příslušných pojistných podmínkách </w:t>
      </w:r>
    </w:p>
    <w:p w:rsidR="009B22B4" w:rsidRPr="000969FB" w:rsidRDefault="009B22B4" w:rsidP="00521E53">
      <w:pPr>
        <w:pStyle w:val="slovn-rove2"/>
        <w:spacing w:after="0"/>
      </w:pPr>
      <w:r w:rsidRPr="000969FB">
        <w:t>Pojištění strojů</w:t>
      </w:r>
    </w:p>
    <w:p w:rsidR="00024476" w:rsidRPr="000969FB" w:rsidRDefault="00024476" w:rsidP="00A32127">
      <w:pPr>
        <w:keepLines/>
        <w:spacing w:after="120"/>
      </w:pPr>
      <w:r w:rsidRPr="000969FB">
        <w:t>Pojištění se sjednává pro předměty pojištění v rozsahu a na místech pojištění uvedených v následující tabulce/následujících tabulkách:</w:t>
      </w:r>
    </w:p>
    <w:p w:rsidR="00024476" w:rsidRPr="000969FB" w:rsidRDefault="00024476" w:rsidP="009C0F40">
      <w:pPr>
        <w:pStyle w:val="slovn-rove3"/>
      </w:pPr>
      <w:r w:rsidRPr="000969FB">
        <w:t>Pojištění strojů</w:t>
      </w:r>
    </w:p>
    <w:tbl>
      <w:tblPr>
        <w:tblStyle w:val="Mkatabulky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1559"/>
        <w:gridCol w:w="1417"/>
        <w:gridCol w:w="1560"/>
      </w:tblGrid>
      <w:tr w:rsidR="004062B5" w:rsidRPr="000969FB" w:rsidTr="00D86C0B">
        <w:tc>
          <w:tcPr>
            <w:tcW w:w="10348" w:type="dxa"/>
            <w:gridSpan w:val="6"/>
          </w:tcPr>
          <w:p w:rsidR="004062B5" w:rsidRPr="00451F2F" w:rsidRDefault="004062B5" w:rsidP="00422C74">
            <w:r w:rsidRPr="000969FB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t>viz čl. II. bod 1.2.</w:t>
            </w:r>
          </w:p>
        </w:tc>
      </w:tr>
      <w:tr w:rsidR="009B22B4" w:rsidRPr="000969FB" w:rsidTr="00D86C0B">
        <w:tc>
          <w:tcPr>
            <w:tcW w:w="10348" w:type="dxa"/>
            <w:gridSpan w:val="6"/>
          </w:tcPr>
          <w:p w:rsidR="009B22B4" w:rsidRPr="000969FB" w:rsidRDefault="009B22B4" w:rsidP="00024476">
            <w:r w:rsidRPr="000969FB">
              <w:rPr>
                <w:b/>
              </w:rPr>
              <w:t>Pojištění se řídí:</w:t>
            </w:r>
            <w:r w:rsidRPr="000969FB">
              <w:t xml:space="preserve"> VPP P-100/14, ZPP P-300/14 a doložkami DOB103, </w:t>
            </w:r>
            <w:r w:rsidR="005D6A62">
              <w:t xml:space="preserve">DST109, </w:t>
            </w:r>
            <w:r w:rsidRPr="000969FB">
              <w:t>DST111</w:t>
            </w:r>
          </w:p>
        </w:tc>
      </w:tr>
      <w:tr w:rsidR="009B22B4" w:rsidRPr="000969FB" w:rsidTr="00D86C0B">
        <w:trPr>
          <w:cantSplit/>
        </w:trPr>
        <w:tc>
          <w:tcPr>
            <w:tcW w:w="709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proofErr w:type="spellStart"/>
            <w:r w:rsidRPr="000969FB">
              <w:rPr>
                <w:b/>
              </w:rPr>
              <w:t>Poř</w:t>
            </w:r>
            <w:proofErr w:type="spellEnd"/>
            <w:r w:rsidRPr="000969FB">
              <w:rPr>
                <w:b/>
              </w:rPr>
              <w:t>. číslo</w:t>
            </w:r>
          </w:p>
        </w:tc>
        <w:tc>
          <w:tcPr>
            <w:tcW w:w="3544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Pojistná částka</w:t>
            </w:r>
            <w:r w:rsidRPr="000969FB">
              <w:rPr>
                <w:b/>
                <w:vertAlign w:val="superscript"/>
              </w:rPr>
              <w:t>10)</w:t>
            </w:r>
          </w:p>
        </w:tc>
        <w:tc>
          <w:tcPr>
            <w:tcW w:w="1559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Spoluúčast</w:t>
            </w:r>
            <w:r w:rsidRPr="000969FB">
              <w:rPr>
                <w:b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Pojištění se sjednává na cenu</w:t>
            </w:r>
            <w:r w:rsidRPr="000969FB">
              <w:rPr>
                <w:b/>
                <w:vertAlign w:val="superscript"/>
              </w:rPr>
              <w:t>*</w:t>
            </w:r>
            <w:r w:rsidR="00024476" w:rsidRPr="000969FB">
              <w:rPr>
                <w:b/>
                <w:vertAlign w:val="superscript"/>
              </w:rPr>
              <w:t xml:space="preserve">) </w:t>
            </w:r>
            <w:r w:rsidRPr="000969FB">
              <w:rPr>
                <w:b/>
                <w:vertAlign w:val="superscript"/>
              </w:rPr>
              <w:t>1)</w:t>
            </w:r>
          </w:p>
        </w:tc>
        <w:tc>
          <w:tcPr>
            <w:tcW w:w="1560" w:type="dxa"/>
            <w:vAlign w:val="center"/>
          </w:tcPr>
          <w:p w:rsidR="009B22B4" w:rsidRPr="000969FB" w:rsidRDefault="009B22B4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  <w:p w:rsidR="009B22B4" w:rsidRPr="000969FB" w:rsidRDefault="00741A8E" w:rsidP="00024476">
            <w:pPr>
              <w:jc w:val="center"/>
              <w:rPr>
                <w:b/>
              </w:rPr>
            </w:pPr>
            <w:r w:rsidRPr="000969FB">
              <w:rPr>
                <w:b/>
              </w:rPr>
              <w:t>První riziko</w:t>
            </w:r>
            <w:r w:rsidRPr="000969FB">
              <w:rPr>
                <w:b/>
                <w:vertAlign w:val="superscript"/>
              </w:rPr>
              <w:t>2)</w:t>
            </w:r>
          </w:p>
        </w:tc>
      </w:tr>
      <w:tr w:rsidR="009B22B4" w:rsidRPr="000969FB" w:rsidTr="00D86C0B">
        <w:tc>
          <w:tcPr>
            <w:tcW w:w="709" w:type="dxa"/>
            <w:vAlign w:val="center"/>
          </w:tcPr>
          <w:p w:rsidR="009B22B4" w:rsidRPr="000969FB" w:rsidRDefault="009B22B4" w:rsidP="00741A8E">
            <w:pPr>
              <w:jc w:val="left"/>
            </w:pPr>
            <w:r w:rsidRPr="000969FB">
              <w:t>1.</w:t>
            </w:r>
          </w:p>
        </w:tc>
        <w:tc>
          <w:tcPr>
            <w:tcW w:w="3544" w:type="dxa"/>
            <w:vAlign w:val="center"/>
          </w:tcPr>
          <w:p w:rsidR="009B22B4" w:rsidRPr="000969FB" w:rsidRDefault="00741A8E" w:rsidP="00741A8E">
            <w:pPr>
              <w:jc w:val="left"/>
            </w:pPr>
            <w:r>
              <w:t xml:space="preserve">Soubor </w:t>
            </w:r>
            <w:r w:rsidR="006146A2">
              <w:t xml:space="preserve">vlastních a cizích </w:t>
            </w:r>
            <w:r>
              <w:t>stacionárních strojů</w:t>
            </w:r>
          </w:p>
        </w:tc>
        <w:tc>
          <w:tcPr>
            <w:tcW w:w="1559" w:type="dxa"/>
            <w:vAlign w:val="center"/>
          </w:tcPr>
          <w:p w:rsidR="009B22B4" w:rsidRPr="000969FB" w:rsidRDefault="00741A8E" w:rsidP="00741A8E">
            <w:pPr>
              <w:jc w:val="center"/>
            </w:pPr>
            <w:r>
              <w:t>××</w:t>
            </w:r>
          </w:p>
        </w:tc>
        <w:tc>
          <w:tcPr>
            <w:tcW w:w="1559" w:type="dxa"/>
            <w:vAlign w:val="center"/>
          </w:tcPr>
          <w:p w:rsidR="009B22B4" w:rsidRPr="000969FB" w:rsidRDefault="00741A8E" w:rsidP="00741A8E">
            <w:pPr>
              <w:jc w:val="center"/>
            </w:pPr>
            <w:r>
              <w:t>5 000 Kč</w:t>
            </w:r>
          </w:p>
        </w:tc>
        <w:tc>
          <w:tcPr>
            <w:tcW w:w="1417" w:type="dxa"/>
            <w:vAlign w:val="center"/>
          </w:tcPr>
          <w:p w:rsidR="009B22B4" w:rsidRPr="000969FB" w:rsidRDefault="009B22B4" w:rsidP="00741A8E">
            <w:pPr>
              <w:jc w:val="center"/>
            </w:pPr>
            <w:r w:rsidRPr="000969FB">
              <w:t>*)</w:t>
            </w:r>
          </w:p>
        </w:tc>
        <w:tc>
          <w:tcPr>
            <w:tcW w:w="1560" w:type="dxa"/>
            <w:vAlign w:val="center"/>
          </w:tcPr>
          <w:p w:rsidR="009B22B4" w:rsidRPr="000969FB" w:rsidRDefault="00741A8E" w:rsidP="00741A8E">
            <w:pPr>
              <w:jc w:val="center"/>
            </w:pPr>
            <w:r>
              <w:t>500 000 Kč</w:t>
            </w:r>
          </w:p>
        </w:tc>
      </w:tr>
      <w:tr w:rsidR="009B22B4" w:rsidRPr="000969FB" w:rsidTr="00D86C0B">
        <w:tc>
          <w:tcPr>
            <w:tcW w:w="709" w:type="dxa"/>
            <w:vAlign w:val="center"/>
          </w:tcPr>
          <w:p w:rsidR="009B22B4" w:rsidRPr="000969FB" w:rsidRDefault="00741A8E" w:rsidP="00741A8E">
            <w:pPr>
              <w:jc w:val="left"/>
            </w:pPr>
            <w:r>
              <w:t>2.</w:t>
            </w:r>
          </w:p>
        </w:tc>
        <w:tc>
          <w:tcPr>
            <w:tcW w:w="3544" w:type="dxa"/>
            <w:vAlign w:val="center"/>
          </w:tcPr>
          <w:p w:rsidR="009B22B4" w:rsidRPr="000969FB" w:rsidRDefault="00741A8E" w:rsidP="006146A2">
            <w:pPr>
              <w:jc w:val="left"/>
            </w:pPr>
            <w:r>
              <w:t xml:space="preserve">Soubor </w:t>
            </w:r>
            <w:r w:rsidR="006146A2">
              <w:t xml:space="preserve">vlastních a cizích </w:t>
            </w:r>
            <w:r>
              <w:t>mobilních strojů</w:t>
            </w:r>
          </w:p>
        </w:tc>
        <w:tc>
          <w:tcPr>
            <w:tcW w:w="1559" w:type="dxa"/>
            <w:vAlign w:val="center"/>
          </w:tcPr>
          <w:p w:rsidR="009B22B4" w:rsidRPr="000969FB" w:rsidRDefault="00741A8E" w:rsidP="00741A8E">
            <w:pPr>
              <w:jc w:val="center"/>
            </w:pPr>
            <w:r>
              <w:t>××</w:t>
            </w:r>
          </w:p>
        </w:tc>
        <w:tc>
          <w:tcPr>
            <w:tcW w:w="1559" w:type="dxa"/>
            <w:vAlign w:val="center"/>
          </w:tcPr>
          <w:p w:rsidR="009B22B4" w:rsidRPr="000969FB" w:rsidRDefault="00741A8E" w:rsidP="00741A8E">
            <w:pPr>
              <w:jc w:val="center"/>
            </w:pPr>
            <w:r>
              <w:t>5 000 Kč</w:t>
            </w:r>
          </w:p>
        </w:tc>
        <w:tc>
          <w:tcPr>
            <w:tcW w:w="1417" w:type="dxa"/>
            <w:vAlign w:val="center"/>
          </w:tcPr>
          <w:p w:rsidR="009B22B4" w:rsidRPr="000969FB" w:rsidRDefault="00741A8E" w:rsidP="00741A8E">
            <w:pPr>
              <w:jc w:val="center"/>
            </w:pPr>
            <w:r w:rsidRPr="000969FB">
              <w:t>*)</w:t>
            </w:r>
          </w:p>
        </w:tc>
        <w:tc>
          <w:tcPr>
            <w:tcW w:w="1560" w:type="dxa"/>
            <w:vAlign w:val="center"/>
          </w:tcPr>
          <w:p w:rsidR="009B22B4" w:rsidRPr="000969FB" w:rsidRDefault="00741A8E" w:rsidP="00741A8E">
            <w:pPr>
              <w:jc w:val="center"/>
            </w:pPr>
            <w:r>
              <w:t>100 000 Kč</w:t>
            </w:r>
          </w:p>
        </w:tc>
      </w:tr>
      <w:tr w:rsidR="009B22B4" w:rsidRPr="000969FB" w:rsidTr="00D86C0B">
        <w:tc>
          <w:tcPr>
            <w:tcW w:w="10348" w:type="dxa"/>
            <w:gridSpan w:val="6"/>
          </w:tcPr>
          <w:p w:rsidR="009B22B4" w:rsidRPr="000969FB" w:rsidRDefault="009B22B4" w:rsidP="00024476">
            <w:r w:rsidRPr="000969FB">
              <w:t>Poznámky:</w:t>
            </w:r>
          </w:p>
        </w:tc>
      </w:tr>
    </w:tbl>
    <w:p w:rsidR="009B22B4" w:rsidRPr="000969FB" w:rsidRDefault="009B22B4" w:rsidP="006D0475">
      <w:pPr>
        <w:rPr>
          <w:sz w:val="16"/>
        </w:rPr>
      </w:pPr>
      <w:r w:rsidRPr="000969FB">
        <w:rPr>
          <w:sz w:val="16"/>
        </w:rPr>
        <w:t xml:space="preserve">*) není-li uvedeno, sjednává se pojištění s pojistnou hodnotou uvedenou v příslušných pojistných podmínkách </w:t>
      </w:r>
    </w:p>
    <w:p w:rsidR="009B22B4" w:rsidRPr="000969FB" w:rsidRDefault="009B22B4" w:rsidP="00FA4C01"/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1)</w:t>
      </w:r>
      <w:r w:rsidRPr="000969FB">
        <w:rPr>
          <w:sz w:val="18"/>
          <w:szCs w:val="18"/>
        </w:rPr>
        <w:tab/>
        <w:t>nová cena je vyjádření pojistné hodnoty ve smyslu ustanovení čl. 21 odst. 2) písm. a) VPP P-100/14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sz w:val="18"/>
          <w:szCs w:val="18"/>
        </w:rPr>
        <w:tab/>
        <w:t>časová cena je vyjádření pojistné hodnoty věci ve smyslu ustanovení čl. 21 odst. 2) písm. b) VPP P-100/14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sz w:val="18"/>
          <w:szCs w:val="18"/>
        </w:rPr>
        <w:tab/>
        <w:t>obvyklá cena je vyjádření pojistné hodnoty věci ve smyslu ustanovení čl. 21 odst. 2) písm. c) VPP P-100/14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sz w:val="18"/>
          <w:szCs w:val="18"/>
        </w:rPr>
        <w:tab/>
        <w:t>jiná cena je vyjádření pojistné hodnoty věci ve smyslu čl. V. Zvláštní ujednání této pojistné smlouvy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2)</w:t>
      </w:r>
      <w:r w:rsidRPr="000969FB">
        <w:rPr>
          <w:sz w:val="18"/>
          <w:szCs w:val="18"/>
        </w:rPr>
        <w:tab/>
        <w:t>první riziko ve smyslu ustanovení čl. 23 odst. 1) písm. a) VPP P-100/14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3)</w:t>
      </w:r>
      <w:r w:rsidRPr="000969FB">
        <w:rPr>
          <w:sz w:val="18"/>
          <w:szCs w:val="18"/>
        </w:rPr>
        <w:tab/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</w:t>
      </w:r>
      <w:r w:rsidR="00992571">
        <w:rPr>
          <w:sz w:val="18"/>
          <w:szCs w:val="18"/>
        </w:rPr>
        <w:t>iklých za dobu trvání pojištění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4)</w:t>
      </w:r>
      <w:r w:rsidRPr="000969FB">
        <w:rPr>
          <w:sz w:val="18"/>
          <w:szCs w:val="18"/>
        </w:rPr>
        <w:tab/>
        <w:t>zlomkové pojištění ve smyslu čl. 23 odst. 1) písm. b) VPP P-100/14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5)</w:t>
      </w:r>
      <w:r w:rsidRPr="000969FB">
        <w:rPr>
          <w:sz w:val="18"/>
          <w:szCs w:val="18"/>
        </w:rPr>
        <w:tab/>
        <w:t>spoluúčast může být vyjádřena pevnou částkou, procentem, časovým úsekem nebo jejich k</w:t>
      </w:r>
      <w:r w:rsidR="009D07E4" w:rsidRPr="000969FB">
        <w:rPr>
          <w:sz w:val="18"/>
          <w:szCs w:val="18"/>
        </w:rPr>
        <w:t>ombinací ve smyslu čl. 11 odst. </w:t>
      </w:r>
      <w:r w:rsidRPr="000969FB">
        <w:rPr>
          <w:sz w:val="18"/>
          <w:szCs w:val="18"/>
        </w:rPr>
        <w:t>4) VPP P-100/14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6)</w:t>
      </w:r>
      <w:r w:rsidRPr="000969FB">
        <w:rPr>
          <w:sz w:val="18"/>
          <w:szCs w:val="18"/>
        </w:rPr>
        <w:tab/>
        <w:t>odchylně od čl. 8 odst. 1) věta druhá ZPP P-600/14 poskytne pojistitel na úhradu všech pojistných událostí nastalých během jednoho pojistného roku pojistné plnění v souhrnu maximálně do výše limitu pojistného plnění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7)</w:t>
      </w:r>
      <w:r w:rsidRPr="000969FB">
        <w:rPr>
          <w:sz w:val="18"/>
          <w:szCs w:val="18"/>
        </w:rPr>
        <w:tab/>
        <w:t xml:space="preserve">odchylně od čl. 8 odst. 2) věta třetí ZPP P-600/14 poskytne pojistitel na úhradu všech pojistných událostí nastalých během jednoho pojistného roku pojistné plnění v souhrnu maximálně do výše </w:t>
      </w:r>
      <w:proofErr w:type="spellStart"/>
      <w:r w:rsidRPr="000969FB">
        <w:rPr>
          <w:sz w:val="18"/>
          <w:szCs w:val="18"/>
        </w:rPr>
        <w:t>sublimitu</w:t>
      </w:r>
      <w:proofErr w:type="spellEnd"/>
      <w:r w:rsidRPr="000969FB">
        <w:rPr>
          <w:sz w:val="18"/>
          <w:szCs w:val="18"/>
        </w:rPr>
        <w:t xml:space="preserve"> pojistného plnění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8)</w:t>
      </w:r>
      <w:r w:rsidRPr="000969FB">
        <w:rPr>
          <w:sz w:val="18"/>
          <w:szCs w:val="18"/>
        </w:rPr>
        <w:tab/>
        <w:t xml:space="preserve">dobou ručení se rozumí doba ve smyslu čl. 11 odst. 5) ZPP P-400/14  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9)</w:t>
      </w:r>
      <w:r w:rsidRPr="000969FB">
        <w:rPr>
          <w:sz w:val="18"/>
          <w:szCs w:val="18"/>
        </w:rPr>
        <w:tab/>
        <w:t>integrální časová franšíza je časový úsek specifikovaný několika pracovními dny. Právo na pojistné plnění vzniká jen tehdy, je-li přerušení nebo omezení provozu pojištěného delší než tento počet pracovních dní. Je-li však přerušení nebo omezení provozu pojištěného delší než tento počet pracovních dní, nemá integrální časová franšíza</w:t>
      </w:r>
      <w:r w:rsidR="00992571">
        <w:rPr>
          <w:sz w:val="18"/>
          <w:szCs w:val="18"/>
        </w:rPr>
        <w:t xml:space="preserve"> vliv na výši pojistného plnění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10)</w:t>
      </w:r>
      <w:r w:rsidRPr="000969FB">
        <w:rPr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:rsidR="009B22B4" w:rsidRPr="000969FB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11)</w:t>
      </w:r>
      <w:r w:rsidRPr="000969FB">
        <w:rPr>
          <w:sz w:val="18"/>
          <w:szCs w:val="18"/>
        </w:rPr>
        <w:tab/>
        <w:t>MRLPPR je horní hranicí plnění pojistitele v souhrnu ze všech pojistných událostí, u nichž věcná škoda, která byla důvodem jejich vzniku, nastala během jednoho pojistného roku. Je-li pojištění přerušení provozu sjednáno na dobu kratší než jeden pojistný rok, je MRLPPR horní hranicí plnění pojistitele v souhrnu ze všech pojistných událostí, u nichž věcná škoda, která byla důvodem jejich vzniku, nastala během doby trvání pojištění. Není-li sjedn</w:t>
      </w:r>
      <w:r w:rsidR="009D07E4" w:rsidRPr="000969FB">
        <w:rPr>
          <w:sz w:val="18"/>
          <w:szCs w:val="18"/>
        </w:rPr>
        <w:t>án limit plnění pojistitele pro </w:t>
      </w:r>
      <w:r w:rsidRPr="000969FB">
        <w:rPr>
          <w:sz w:val="18"/>
          <w:szCs w:val="18"/>
        </w:rPr>
        <w:t>jednu pojistnou událost, považuje se sjednaný MRLPPR i za limit plnění pojistite</w:t>
      </w:r>
      <w:r w:rsidR="00992571">
        <w:rPr>
          <w:sz w:val="18"/>
          <w:szCs w:val="18"/>
        </w:rPr>
        <w:t>le pro jednu pojistnou událost</w:t>
      </w:r>
    </w:p>
    <w:p w:rsidR="009B22B4" w:rsidRDefault="009B22B4" w:rsidP="00C93528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12)</w:t>
      </w:r>
      <w:r w:rsidR="009D07E4" w:rsidRPr="000969FB">
        <w:rPr>
          <w:sz w:val="18"/>
          <w:szCs w:val="18"/>
        </w:rPr>
        <w:tab/>
        <w:t xml:space="preserve">MRLPPR v rámci </w:t>
      </w:r>
      <w:r w:rsidRPr="000969FB">
        <w:rPr>
          <w:sz w:val="18"/>
          <w:szCs w:val="18"/>
        </w:rPr>
        <w:t>pojistné částky</w:t>
      </w:r>
      <w:r w:rsidR="009D07E4" w:rsidRPr="000969FB">
        <w:rPr>
          <w:sz w:val="18"/>
          <w:szCs w:val="18"/>
        </w:rPr>
        <w:t xml:space="preserve"> stanovené</w:t>
      </w:r>
      <w:r w:rsidRPr="000969FB">
        <w:rPr>
          <w:sz w:val="18"/>
          <w:szCs w:val="18"/>
        </w:rPr>
        <w:t xml:space="preserve"> ve smyslu ustanovení čl. 23 odst. 1) písm. c) VPP P-100/14</w:t>
      </w:r>
      <w:r w:rsidR="009D07E4" w:rsidRPr="000969FB">
        <w:rPr>
          <w:sz w:val="18"/>
          <w:szCs w:val="18"/>
        </w:rPr>
        <w:t xml:space="preserve"> a sjednané pro ušlý zisk a stálé náklady pojištěného v příslušné tabulce pojištění pro případ přerušení nebo omezení provozu</w:t>
      </w:r>
    </w:p>
    <w:p w:rsidR="00C93528" w:rsidRPr="00C93528" w:rsidRDefault="00C93528" w:rsidP="006D0475">
      <w:pPr>
        <w:tabs>
          <w:tab w:val="left" w:pos="227"/>
        </w:tabs>
        <w:spacing w:after="180"/>
        <w:ind w:left="227" w:hanging="227"/>
      </w:pPr>
      <w:r>
        <w:rPr>
          <w:b/>
          <w:sz w:val="18"/>
          <w:szCs w:val="18"/>
          <w:vertAlign w:val="superscript"/>
        </w:rPr>
        <w:t>13)</w:t>
      </w:r>
      <w:r>
        <w:rPr>
          <w:b/>
          <w:sz w:val="18"/>
          <w:szCs w:val="18"/>
          <w:vertAlign w:val="superscript"/>
        </w:rPr>
        <w:tab/>
      </w:r>
      <w:r w:rsidRPr="00C93528">
        <w:rPr>
          <w:sz w:val="18"/>
          <w:szCs w:val="18"/>
        </w:rPr>
        <w:t>dobou ručení se rozumí doba ve smyslu čl. 14 odst. 2) DPP P-330/16</w:t>
      </w:r>
    </w:p>
    <w:p w:rsidR="009B22B4" w:rsidRPr="000969FB" w:rsidRDefault="009B22B4" w:rsidP="006D0475">
      <w:pPr>
        <w:pStyle w:val="slovn-rove1"/>
        <w:numPr>
          <w:ilvl w:val="0"/>
          <w:numId w:val="9"/>
        </w:numPr>
        <w:spacing w:before="80" w:after="80"/>
      </w:pPr>
      <w:bookmarkStart w:id="18" w:name="_Toc367839357"/>
      <w:r w:rsidRPr="000969FB">
        <w:t xml:space="preserve">Pojistné plnění </w:t>
      </w:r>
    </w:p>
    <w:p w:rsidR="00422C74" w:rsidRPr="00EE09C4" w:rsidRDefault="00422C74" w:rsidP="00422C74">
      <w:pPr>
        <w:numPr>
          <w:ilvl w:val="0"/>
          <w:numId w:val="28"/>
        </w:numPr>
        <w:spacing w:before="120"/>
        <w:rPr>
          <w:rFonts w:cs="Arial"/>
          <w:b/>
          <w:bCs/>
        </w:rPr>
      </w:pPr>
      <w:r>
        <w:rPr>
          <w:rFonts w:cs="Arial"/>
          <w:b/>
          <w:bCs/>
        </w:rPr>
        <w:t>Maximální roční limity plnění pro Živelní pojištění (čl. II. tabulka č. 2.1.1.):</w:t>
      </w:r>
    </w:p>
    <w:p w:rsidR="009B6D91" w:rsidRPr="006368D9" w:rsidRDefault="009B6D91" w:rsidP="006D0475">
      <w:pPr>
        <w:numPr>
          <w:ilvl w:val="0"/>
          <w:numId w:val="29"/>
        </w:numPr>
        <w:tabs>
          <w:tab w:val="clear" w:pos="425"/>
          <w:tab w:val="num" w:pos="993"/>
        </w:tabs>
        <w:spacing w:before="60"/>
        <w:ind w:left="992" w:hanging="567"/>
        <w:rPr>
          <w:rFonts w:cs="Arial"/>
          <w:b/>
          <w:bCs/>
        </w:rPr>
      </w:pPr>
      <w:r w:rsidRPr="006368D9">
        <w:rPr>
          <w:rFonts w:cs="Arial"/>
        </w:rPr>
        <w:t xml:space="preserve">Pojistné plnění </w:t>
      </w:r>
      <w:r w:rsidRPr="000E7A1F">
        <w:rPr>
          <w:rFonts w:cs="Arial"/>
        </w:rPr>
        <w:t>v souhrnu</w:t>
      </w:r>
      <w:r>
        <w:rPr>
          <w:rFonts w:cs="Arial"/>
        </w:rPr>
        <w:t xml:space="preserve"> </w:t>
      </w:r>
      <w:r w:rsidRPr="006368D9">
        <w:rPr>
          <w:rFonts w:cs="Arial"/>
        </w:rPr>
        <w:t xml:space="preserve">za všechny pojistné události způsobené </w:t>
      </w:r>
      <w:r w:rsidR="00BE7F97" w:rsidRPr="00BE7F97">
        <w:rPr>
          <w:rFonts w:cs="Arial"/>
          <w:b/>
        </w:rPr>
        <w:t>„</w:t>
      </w:r>
      <w:proofErr w:type="spellStart"/>
      <w:r w:rsidRPr="009B6D91">
        <w:rPr>
          <w:rFonts w:cs="Arial"/>
          <w:b/>
        </w:rPr>
        <w:t>flexou</w:t>
      </w:r>
      <w:proofErr w:type="spellEnd"/>
      <w:r w:rsidR="00BE7F97">
        <w:rPr>
          <w:rFonts w:cs="Arial"/>
          <w:b/>
        </w:rPr>
        <w:t>“</w:t>
      </w:r>
      <w:r w:rsidRPr="006368D9">
        <w:rPr>
          <w:rFonts w:cs="Arial"/>
        </w:rPr>
        <w:t>, nastalé v</w:t>
      </w:r>
      <w:r>
        <w:rPr>
          <w:rFonts w:cs="Arial"/>
        </w:rPr>
        <w:t> </w:t>
      </w:r>
      <w:r w:rsidRPr="006368D9">
        <w:rPr>
          <w:rFonts w:cs="Arial"/>
        </w:rPr>
        <w:t xml:space="preserve">průběhu jednoho pojistného roku </w:t>
      </w:r>
      <w:r w:rsidRPr="006368D9">
        <w:rPr>
          <w:szCs w:val="20"/>
        </w:rPr>
        <w:t xml:space="preserve">(resp. je-li pojištění sjednáno na dobu kratší než jeden pojistný rok, v průběhu trvání pojištění), </w:t>
      </w:r>
      <w:r w:rsidRPr="006368D9">
        <w:rPr>
          <w:rFonts w:cs="Arial"/>
        </w:rPr>
        <w:t xml:space="preserve">je omezeno maximálním ročním limitem pojistného plnění ve výši </w:t>
      </w:r>
      <w:r w:rsidR="00801F78">
        <w:rPr>
          <w:rFonts w:cs="Arial"/>
          <w:b/>
        </w:rPr>
        <w:t>5 00</w:t>
      </w:r>
      <w:r>
        <w:rPr>
          <w:rFonts w:cs="Arial"/>
          <w:b/>
        </w:rPr>
        <w:t>0</w:t>
      </w:r>
      <w:r w:rsidRPr="00642FA8">
        <w:rPr>
          <w:rFonts w:cs="Arial"/>
          <w:b/>
        </w:rPr>
        <w:t> 000 000 Kč</w:t>
      </w:r>
      <w:r w:rsidRPr="006368D9">
        <w:rPr>
          <w:rFonts w:cs="Arial"/>
        </w:rPr>
        <w:t>; tím nejsou dotčena jiná ujednání, z nichž vyplývá povinnost pojistitele poskytnout pojistné plnění v nižší nebo stejné výši.</w:t>
      </w:r>
    </w:p>
    <w:p w:rsidR="00422C74" w:rsidRPr="006368D9" w:rsidRDefault="00422C74" w:rsidP="006D0475">
      <w:pPr>
        <w:numPr>
          <w:ilvl w:val="0"/>
          <w:numId w:val="29"/>
        </w:numPr>
        <w:tabs>
          <w:tab w:val="clear" w:pos="425"/>
          <w:tab w:val="num" w:pos="993"/>
        </w:tabs>
        <w:spacing w:before="60"/>
        <w:ind w:left="992" w:hanging="567"/>
        <w:rPr>
          <w:rFonts w:cs="Arial"/>
          <w:b/>
          <w:bCs/>
        </w:rPr>
      </w:pPr>
      <w:r w:rsidRPr="006368D9">
        <w:rPr>
          <w:rFonts w:cs="Arial"/>
        </w:rPr>
        <w:lastRenderedPageBreak/>
        <w:t xml:space="preserve">Pojistné plnění </w:t>
      </w:r>
      <w:r w:rsidRPr="000E7A1F">
        <w:rPr>
          <w:rFonts w:cs="Arial"/>
        </w:rPr>
        <w:t>v souhrnu</w:t>
      </w:r>
      <w:r>
        <w:rPr>
          <w:rFonts w:cs="Arial"/>
        </w:rPr>
        <w:t xml:space="preserve"> </w:t>
      </w:r>
      <w:r w:rsidRPr="006368D9">
        <w:rPr>
          <w:rFonts w:cs="Arial"/>
        </w:rPr>
        <w:t xml:space="preserve">za všechny pojistné události způsobené </w:t>
      </w:r>
      <w:r w:rsidRPr="00642FA8">
        <w:rPr>
          <w:rFonts w:cs="Arial"/>
          <w:b/>
        </w:rPr>
        <w:t>povodní</w:t>
      </w:r>
      <w:r w:rsidR="00BE7F97">
        <w:rPr>
          <w:rFonts w:cs="Arial"/>
          <w:b/>
        </w:rPr>
        <w:t xml:space="preserve">, </w:t>
      </w:r>
      <w:r w:rsidRPr="00642FA8">
        <w:rPr>
          <w:rFonts w:cs="Arial"/>
          <w:b/>
        </w:rPr>
        <w:t>záplavou</w:t>
      </w:r>
      <w:r>
        <w:rPr>
          <w:rFonts w:cs="Arial"/>
          <w:b/>
        </w:rPr>
        <w:t xml:space="preserve"> a zemětřesením</w:t>
      </w:r>
      <w:r w:rsidRPr="006368D9">
        <w:rPr>
          <w:rFonts w:cs="Arial"/>
        </w:rPr>
        <w:t>, nastalé v</w:t>
      </w:r>
      <w:r>
        <w:rPr>
          <w:rFonts w:cs="Arial"/>
        </w:rPr>
        <w:t> </w:t>
      </w:r>
      <w:r w:rsidRPr="006368D9">
        <w:rPr>
          <w:rFonts w:cs="Arial"/>
        </w:rPr>
        <w:t xml:space="preserve">průběhu jednoho pojistného roku </w:t>
      </w:r>
      <w:r w:rsidRPr="006368D9">
        <w:rPr>
          <w:szCs w:val="20"/>
        </w:rPr>
        <w:t xml:space="preserve">(resp. je-li pojištění sjednáno na dobu kratší než jeden pojistný rok, v průběhu trvání pojištění), </w:t>
      </w:r>
      <w:r w:rsidRPr="006368D9">
        <w:rPr>
          <w:rFonts w:cs="Arial"/>
        </w:rPr>
        <w:t xml:space="preserve">je omezeno maximálním ročním limitem pojistného plnění ve výši </w:t>
      </w:r>
      <w:r>
        <w:rPr>
          <w:rFonts w:cs="Arial"/>
          <w:b/>
        </w:rPr>
        <w:t>1</w:t>
      </w:r>
      <w:r w:rsidR="00CD617F">
        <w:rPr>
          <w:rFonts w:cs="Arial"/>
          <w:b/>
        </w:rPr>
        <w:t>0</w:t>
      </w:r>
      <w:r>
        <w:rPr>
          <w:rFonts w:cs="Arial"/>
          <w:b/>
        </w:rPr>
        <w:t>0</w:t>
      </w:r>
      <w:r w:rsidRPr="00642FA8">
        <w:rPr>
          <w:rFonts w:cs="Arial"/>
          <w:b/>
        </w:rPr>
        <w:t> 000 000 Kč</w:t>
      </w:r>
      <w:r w:rsidRPr="006368D9">
        <w:rPr>
          <w:rFonts w:cs="Arial"/>
        </w:rPr>
        <w:t>; tím nejsou dotčena jiná ujednání, z nichž vyplývá povinnost pojistitele poskytnout pojistné plnění v nižší nebo stejné výši.</w:t>
      </w:r>
    </w:p>
    <w:p w:rsidR="00422C74" w:rsidRPr="009B6D91" w:rsidRDefault="00422C74" w:rsidP="006D0475">
      <w:pPr>
        <w:numPr>
          <w:ilvl w:val="0"/>
          <w:numId w:val="29"/>
        </w:numPr>
        <w:tabs>
          <w:tab w:val="clear" w:pos="425"/>
          <w:tab w:val="left" w:pos="-1418"/>
          <w:tab w:val="num" w:pos="993"/>
        </w:tabs>
        <w:spacing w:before="60"/>
        <w:ind w:left="992" w:hanging="567"/>
        <w:rPr>
          <w:rFonts w:cs="Arial"/>
        </w:rPr>
      </w:pPr>
      <w:r w:rsidRPr="009B6D91">
        <w:rPr>
          <w:rFonts w:cs="Arial"/>
        </w:rPr>
        <w:t xml:space="preserve">Pojistné plnění v souhrnu za všechny pojistné události způsobené </w:t>
      </w:r>
      <w:r w:rsidR="00BE7F97" w:rsidRPr="00BE7F97">
        <w:rPr>
          <w:rFonts w:cs="Arial"/>
          <w:b/>
        </w:rPr>
        <w:t>„</w:t>
      </w:r>
      <w:r w:rsidRPr="009B6D91">
        <w:rPr>
          <w:rFonts w:cs="Arial"/>
          <w:b/>
        </w:rPr>
        <w:t>vichřicí nebo krupobitím</w:t>
      </w:r>
      <w:r w:rsidR="00BE7F97">
        <w:rPr>
          <w:rFonts w:cs="Arial"/>
          <w:b/>
        </w:rPr>
        <w:t>“</w:t>
      </w:r>
      <w:r w:rsidR="00801F78">
        <w:rPr>
          <w:rFonts w:cs="Arial"/>
          <w:b/>
        </w:rPr>
        <w:t xml:space="preserve"> </w:t>
      </w:r>
      <w:r w:rsidRPr="009B6D91">
        <w:rPr>
          <w:rFonts w:cs="Arial"/>
        </w:rPr>
        <w:t>nastalé v</w:t>
      </w:r>
      <w:r w:rsidR="009B6D91" w:rsidRPr="009B6D91">
        <w:rPr>
          <w:rFonts w:cs="Arial"/>
        </w:rPr>
        <w:t> </w:t>
      </w:r>
      <w:r w:rsidRPr="009B6D91">
        <w:rPr>
          <w:rFonts w:cs="Arial"/>
        </w:rPr>
        <w:t xml:space="preserve">průběhu jednoho pojistného roku </w:t>
      </w:r>
      <w:r w:rsidRPr="009B6D91">
        <w:rPr>
          <w:szCs w:val="20"/>
        </w:rPr>
        <w:t>(resp. je-li pojištění sjednáno na dobu kratší než jeden pojistný rok, v průběhu trvání pojištění)</w:t>
      </w:r>
      <w:r w:rsidRPr="009B6D91">
        <w:rPr>
          <w:rFonts w:cs="Arial"/>
        </w:rPr>
        <w:t xml:space="preserve">, je omezeno maximálním ročním limitem pojistného plnění ve výši </w:t>
      </w:r>
      <w:r w:rsidR="009B6D91" w:rsidRPr="009B6D91">
        <w:rPr>
          <w:rFonts w:cs="Arial"/>
          <w:b/>
        </w:rPr>
        <w:t>20</w:t>
      </w:r>
      <w:r w:rsidRPr="009B6D91">
        <w:rPr>
          <w:rFonts w:cs="Arial"/>
          <w:b/>
        </w:rPr>
        <w:t>0 000 000 Kč</w:t>
      </w:r>
      <w:r w:rsidRPr="009B6D91">
        <w:rPr>
          <w:rFonts w:cs="Arial"/>
        </w:rPr>
        <w:t>; tím nejsou dotčena jiná ujednání, z nichž vyplývá povinnost pojistitele poskytnout pojistné plnění v nižší nebo stejné výši.</w:t>
      </w:r>
    </w:p>
    <w:p w:rsidR="00422C74" w:rsidRPr="00801F78" w:rsidRDefault="00422C74" w:rsidP="006D0475">
      <w:pPr>
        <w:numPr>
          <w:ilvl w:val="0"/>
          <w:numId w:val="29"/>
        </w:numPr>
        <w:tabs>
          <w:tab w:val="clear" w:pos="425"/>
          <w:tab w:val="left" w:pos="-720"/>
          <w:tab w:val="num" w:pos="993"/>
        </w:tabs>
        <w:spacing w:before="60"/>
        <w:ind w:left="992" w:hanging="567"/>
        <w:rPr>
          <w:rFonts w:cs="Arial"/>
        </w:rPr>
      </w:pPr>
      <w:r w:rsidRPr="00801F78">
        <w:rPr>
          <w:rFonts w:cs="Arial"/>
        </w:rPr>
        <w:t xml:space="preserve">Pojistné plnění v souhrnu za všechny pojistné události způsobené </w:t>
      </w:r>
      <w:r w:rsidR="00BE7F97" w:rsidRPr="00BE7F97">
        <w:rPr>
          <w:rFonts w:cs="Arial"/>
          <w:b/>
        </w:rPr>
        <w:t>„</w:t>
      </w:r>
      <w:r w:rsidRPr="00801F78">
        <w:rPr>
          <w:rFonts w:cs="Arial"/>
          <w:b/>
        </w:rPr>
        <w:t>vodovodní</w:t>
      </w:r>
      <w:r w:rsidR="00BE7F97">
        <w:rPr>
          <w:rFonts w:cs="Arial"/>
          <w:b/>
        </w:rPr>
        <w:t>mi</w:t>
      </w:r>
      <w:r w:rsidRPr="00801F78">
        <w:rPr>
          <w:rFonts w:cs="Arial"/>
          <w:b/>
        </w:rPr>
        <w:t xml:space="preserve"> </w:t>
      </w:r>
      <w:r w:rsidR="00BE7F97">
        <w:rPr>
          <w:rFonts w:cs="Arial"/>
          <w:b/>
        </w:rPr>
        <w:t>škodami“</w:t>
      </w:r>
      <w:r w:rsidR="00801F78" w:rsidRPr="00801F78">
        <w:rPr>
          <w:rFonts w:cs="Arial"/>
        </w:rPr>
        <w:t xml:space="preserve"> </w:t>
      </w:r>
      <w:r w:rsidRPr="00801F78">
        <w:rPr>
          <w:rFonts w:cs="Arial"/>
        </w:rPr>
        <w:t xml:space="preserve">nastalé v průběhu jednoho pojistného roku </w:t>
      </w:r>
      <w:r w:rsidRPr="00801F78">
        <w:rPr>
          <w:szCs w:val="20"/>
        </w:rPr>
        <w:t>(resp. je-li pojištění sjednáno na dobu kratší než jeden pojistný rok, v průběhu trvání pojištění)</w:t>
      </w:r>
      <w:r w:rsidRPr="00801F78">
        <w:rPr>
          <w:rFonts w:cs="Arial"/>
        </w:rPr>
        <w:t xml:space="preserve">, je omezeno maximálním ročním limitem pojistného plnění ve výši </w:t>
      </w:r>
      <w:r w:rsidR="00801F78" w:rsidRPr="00801F78">
        <w:rPr>
          <w:rFonts w:cs="Arial"/>
          <w:b/>
        </w:rPr>
        <w:t>1</w:t>
      </w:r>
      <w:r w:rsidRPr="00801F78">
        <w:rPr>
          <w:rFonts w:cs="Arial"/>
          <w:b/>
        </w:rPr>
        <w:t>0 000 000 Kč</w:t>
      </w:r>
      <w:r w:rsidRPr="00801F78">
        <w:rPr>
          <w:rFonts w:cs="Arial"/>
        </w:rPr>
        <w:t>; tím nejsou dotčena jiná ujednání, z nichž vyplývá povinnost pojistitele poskytnout pojistné plnění v nižší nebo stejné výši</w:t>
      </w:r>
      <w:r w:rsidRPr="00801F78">
        <w:rPr>
          <w:rFonts w:cs="Arial"/>
          <w:b/>
        </w:rPr>
        <w:t>.</w:t>
      </w:r>
    </w:p>
    <w:p w:rsidR="00801F78" w:rsidRPr="00801F78" w:rsidRDefault="00801F78" w:rsidP="006D0475">
      <w:pPr>
        <w:numPr>
          <w:ilvl w:val="0"/>
          <w:numId w:val="29"/>
        </w:numPr>
        <w:tabs>
          <w:tab w:val="clear" w:pos="425"/>
          <w:tab w:val="left" w:pos="-720"/>
          <w:tab w:val="num" w:pos="993"/>
        </w:tabs>
        <w:spacing w:before="60"/>
        <w:ind w:left="992" w:hanging="567"/>
        <w:rPr>
          <w:rFonts w:cs="Arial"/>
        </w:rPr>
      </w:pPr>
      <w:r w:rsidRPr="00801F78">
        <w:rPr>
          <w:rFonts w:cs="Arial"/>
        </w:rPr>
        <w:t xml:space="preserve">Pojistné plnění v souhrnu za všechny pojistné události způsobené </w:t>
      </w:r>
      <w:r>
        <w:rPr>
          <w:rFonts w:cs="Arial"/>
          <w:b/>
        </w:rPr>
        <w:t>terorismem a sabotáží</w:t>
      </w:r>
      <w:r w:rsidRPr="00801F78">
        <w:rPr>
          <w:rFonts w:cs="Arial"/>
        </w:rPr>
        <w:t xml:space="preserve"> nastalé v</w:t>
      </w:r>
      <w:r>
        <w:rPr>
          <w:rFonts w:cs="Arial"/>
        </w:rPr>
        <w:t> </w:t>
      </w:r>
      <w:r w:rsidRPr="00801F78">
        <w:rPr>
          <w:rFonts w:cs="Arial"/>
        </w:rPr>
        <w:t xml:space="preserve">průběhu jednoho pojistného roku </w:t>
      </w:r>
      <w:r w:rsidRPr="00801F78">
        <w:rPr>
          <w:szCs w:val="20"/>
        </w:rPr>
        <w:t>(resp. je-li pojištění sjednáno na dobu kratší než jeden pojistný rok, v průběhu trvání pojištění)</w:t>
      </w:r>
      <w:r w:rsidRPr="00801F78">
        <w:rPr>
          <w:rFonts w:cs="Arial"/>
        </w:rPr>
        <w:t xml:space="preserve">, je omezeno maximálním ročním limitem pojistného plnění ve výši </w:t>
      </w:r>
      <w:r>
        <w:rPr>
          <w:rFonts w:cs="Arial"/>
          <w:b/>
        </w:rPr>
        <w:t>50</w:t>
      </w:r>
      <w:r w:rsidRPr="00801F78">
        <w:rPr>
          <w:rFonts w:cs="Arial"/>
          <w:b/>
        </w:rPr>
        <w:t>0 000 000 Kč</w:t>
      </w:r>
      <w:r w:rsidRPr="00801F78">
        <w:rPr>
          <w:rFonts w:cs="Arial"/>
        </w:rPr>
        <w:t>; tím nejsou dotčena jiná ujednání, z nichž vyplývá povinnost pojistitele poskytnout pojistné plnění v nižší nebo stejné výši</w:t>
      </w:r>
      <w:r w:rsidRPr="00801F78">
        <w:rPr>
          <w:rFonts w:cs="Arial"/>
          <w:b/>
        </w:rPr>
        <w:t>.</w:t>
      </w:r>
    </w:p>
    <w:p w:rsidR="00422C74" w:rsidRPr="00590858" w:rsidRDefault="00422C74" w:rsidP="00422C74">
      <w:pPr>
        <w:pStyle w:val="Styl10bZarovnatdobloku"/>
      </w:pPr>
    </w:p>
    <w:p w:rsidR="00C26F7B" w:rsidRDefault="00C26F7B" w:rsidP="00C26F7B">
      <w:pPr>
        <w:pStyle w:val="Nadpislnk"/>
        <w:spacing w:before="120" w:after="0"/>
      </w:pPr>
      <w:r>
        <w:t>Článek III.</w:t>
      </w:r>
    </w:p>
    <w:p w:rsidR="009B22B4" w:rsidRPr="000969FB" w:rsidRDefault="009B22B4" w:rsidP="00C26F7B">
      <w:pPr>
        <w:pStyle w:val="Nadpislnk"/>
        <w:spacing w:before="0" w:after="0"/>
      </w:pPr>
      <w:r w:rsidRPr="000969FB">
        <w:t>Výše a způsob placení pojistného</w:t>
      </w:r>
    </w:p>
    <w:p w:rsidR="009B22B4" w:rsidRPr="000969FB" w:rsidRDefault="009B22B4" w:rsidP="00E41D35">
      <w:pPr>
        <w:pStyle w:val="slovn-rove1"/>
        <w:numPr>
          <w:ilvl w:val="0"/>
          <w:numId w:val="10"/>
        </w:numPr>
      </w:pPr>
      <w:r w:rsidRPr="000969FB">
        <w:t>Pojistné za jeden pojistný rok činí:</w:t>
      </w:r>
    </w:p>
    <w:p w:rsidR="009B22B4" w:rsidRPr="000969FB" w:rsidRDefault="009B22B4" w:rsidP="003C0442">
      <w:pPr>
        <w:pStyle w:val="slovn-rove2"/>
        <w:spacing w:before="0" w:after="0"/>
      </w:pPr>
      <w:r w:rsidRPr="000969FB">
        <w:t>Živelní pojištění</w:t>
      </w:r>
    </w:p>
    <w:p w:rsidR="009B22B4" w:rsidRPr="000969FB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0969FB">
        <w:tab/>
      </w:r>
      <w:r w:rsidR="009B22B4" w:rsidRPr="000969FB">
        <w:t xml:space="preserve">Pojistné </w:t>
      </w:r>
      <w:r w:rsidR="009B22B4" w:rsidRPr="000969FB">
        <w:tab/>
        <w:t xml:space="preserve"> </w:t>
      </w:r>
      <w:r w:rsidR="0081635B">
        <w:t>5 </w:t>
      </w:r>
      <w:r w:rsidR="00353AA1">
        <w:t>239</w:t>
      </w:r>
      <w:r w:rsidR="006514D4">
        <w:t> </w:t>
      </w:r>
      <w:r w:rsidR="00353AA1">
        <w:t>902</w:t>
      </w:r>
      <w:r w:rsidR="006514D4">
        <w:t> </w:t>
      </w:r>
      <w:r w:rsidR="009B22B4" w:rsidRPr="000969FB">
        <w:t>Kč</w:t>
      </w:r>
    </w:p>
    <w:p w:rsidR="00EE5879" w:rsidRPr="000969FB" w:rsidRDefault="00EE5879" w:rsidP="00EE5879">
      <w:pPr>
        <w:pStyle w:val="slovn-rove2"/>
        <w:spacing w:before="0" w:after="0"/>
      </w:pPr>
      <w:r w:rsidRPr="000969FB">
        <w:t xml:space="preserve">Pojištění pro případ přerušení nebo omezení provozu </w:t>
      </w:r>
    </w:p>
    <w:p w:rsidR="00EE5879" w:rsidRPr="000969FB" w:rsidRDefault="00EE5879" w:rsidP="00EE5879">
      <w:pPr>
        <w:tabs>
          <w:tab w:val="left" w:pos="426"/>
          <w:tab w:val="right" w:leader="dot" w:pos="9638"/>
        </w:tabs>
        <w:rPr>
          <w:b/>
        </w:rPr>
      </w:pPr>
      <w:r w:rsidRPr="000969FB">
        <w:tab/>
        <w:t xml:space="preserve">Pojistné </w:t>
      </w:r>
      <w:r w:rsidRPr="000969FB">
        <w:tab/>
        <w:t xml:space="preserve"> </w:t>
      </w:r>
      <w:r w:rsidR="0081635B">
        <w:t>63</w:t>
      </w:r>
      <w:r w:rsidR="006514D4">
        <w:t> </w:t>
      </w:r>
      <w:r w:rsidR="0081635B">
        <w:t>315</w:t>
      </w:r>
      <w:r w:rsidR="006514D4">
        <w:t> </w:t>
      </w:r>
      <w:r w:rsidRPr="000969FB">
        <w:t>Kč</w:t>
      </w:r>
    </w:p>
    <w:p w:rsidR="009B22B4" w:rsidRPr="000969FB" w:rsidRDefault="009B22B4" w:rsidP="003C0442">
      <w:pPr>
        <w:pStyle w:val="slovn-rove2"/>
        <w:spacing w:before="0" w:after="0"/>
      </w:pPr>
      <w:r w:rsidRPr="000969FB">
        <w:t xml:space="preserve">Pojištění pro případ odcizení </w:t>
      </w:r>
    </w:p>
    <w:p w:rsidR="009B22B4" w:rsidRPr="000969FB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0969FB">
        <w:tab/>
      </w:r>
      <w:r w:rsidR="009B22B4" w:rsidRPr="000969FB">
        <w:t xml:space="preserve">Pojistné </w:t>
      </w:r>
      <w:r w:rsidR="009B22B4" w:rsidRPr="000969FB">
        <w:tab/>
        <w:t xml:space="preserve"> </w:t>
      </w:r>
      <w:r w:rsidR="0081635B">
        <w:t>35</w:t>
      </w:r>
      <w:r w:rsidR="006514D4">
        <w:t> </w:t>
      </w:r>
      <w:r w:rsidR="0081635B">
        <w:t>000</w:t>
      </w:r>
      <w:r w:rsidR="006514D4">
        <w:t> </w:t>
      </w:r>
      <w:r w:rsidR="009B22B4" w:rsidRPr="000969FB">
        <w:t>Kč</w:t>
      </w:r>
    </w:p>
    <w:p w:rsidR="009B22B4" w:rsidRPr="000969FB" w:rsidRDefault="009B22B4" w:rsidP="003C0442">
      <w:pPr>
        <w:pStyle w:val="slovn-rove2"/>
        <w:spacing w:before="0" w:after="0"/>
      </w:pPr>
      <w:r w:rsidRPr="000969FB">
        <w:t>Pojištění pro případ vandalismu</w:t>
      </w:r>
    </w:p>
    <w:p w:rsidR="009B22B4" w:rsidRPr="000969FB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0969FB">
        <w:tab/>
      </w:r>
      <w:r w:rsidR="009B22B4" w:rsidRPr="000969FB">
        <w:t xml:space="preserve">Pojistné </w:t>
      </w:r>
      <w:r w:rsidR="009B22B4" w:rsidRPr="000969FB">
        <w:tab/>
        <w:t xml:space="preserve"> </w:t>
      </w:r>
      <w:r w:rsidR="0081635B">
        <w:t>90</w:t>
      </w:r>
      <w:r w:rsidR="006514D4">
        <w:t> </w:t>
      </w:r>
      <w:r w:rsidR="0081635B">
        <w:t>000</w:t>
      </w:r>
      <w:r w:rsidR="006514D4">
        <w:t> </w:t>
      </w:r>
      <w:r w:rsidR="009B22B4" w:rsidRPr="000969FB">
        <w:t>Kč</w:t>
      </w:r>
    </w:p>
    <w:p w:rsidR="009B22B4" w:rsidRPr="000969FB" w:rsidRDefault="009B22B4" w:rsidP="003C0442">
      <w:pPr>
        <w:pStyle w:val="slovn-rove2"/>
        <w:spacing w:before="0" w:after="0"/>
      </w:pPr>
      <w:r w:rsidRPr="000969FB">
        <w:t>Pojištění skla</w:t>
      </w:r>
    </w:p>
    <w:p w:rsidR="009B22B4" w:rsidRPr="000969FB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0969FB">
        <w:tab/>
      </w:r>
      <w:r w:rsidR="009B22B4" w:rsidRPr="000969FB">
        <w:t xml:space="preserve">Pojistné </w:t>
      </w:r>
      <w:r w:rsidR="009B22B4" w:rsidRPr="000969FB">
        <w:tab/>
        <w:t xml:space="preserve"> </w:t>
      </w:r>
      <w:r w:rsidR="0081635B">
        <w:t>15</w:t>
      </w:r>
      <w:r w:rsidR="006514D4">
        <w:t> </w:t>
      </w:r>
      <w:r w:rsidR="0081635B">
        <w:t>000</w:t>
      </w:r>
      <w:r w:rsidR="006514D4">
        <w:t> </w:t>
      </w:r>
      <w:r w:rsidR="009B22B4" w:rsidRPr="000969FB">
        <w:t>Kč</w:t>
      </w:r>
    </w:p>
    <w:p w:rsidR="00EE5879" w:rsidRPr="000969FB" w:rsidRDefault="00EE5879" w:rsidP="00EE5879">
      <w:pPr>
        <w:pStyle w:val="slovn-rove2"/>
        <w:spacing w:before="0" w:after="0"/>
      </w:pPr>
      <w:r w:rsidRPr="000969FB">
        <w:t>Pojištění elektronických zařízení</w:t>
      </w:r>
    </w:p>
    <w:p w:rsidR="00EE5879" w:rsidRPr="000969FB" w:rsidRDefault="00EE5879" w:rsidP="00EE5879">
      <w:pPr>
        <w:tabs>
          <w:tab w:val="left" w:pos="426"/>
          <w:tab w:val="right" w:leader="dot" w:pos="9638"/>
        </w:tabs>
        <w:rPr>
          <w:b/>
        </w:rPr>
      </w:pPr>
      <w:r w:rsidRPr="000969FB">
        <w:tab/>
        <w:t xml:space="preserve">Pojistné </w:t>
      </w:r>
      <w:r w:rsidRPr="000969FB">
        <w:tab/>
        <w:t xml:space="preserve"> </w:t>
      </w:r>
      <w:r w:rsidR="0081635B">
        <w:t>100</w:t>
      </w:r>
      <w:r w:rsidR="006514D4">
        <w:t> </w:t>
      </w:r>
      <w:r w:rsidR="0081635B">
        <w:t>000</w:t>
      </w:r>
      <w:r w:rsidR="006514D4">
        <w:t> </w:t>
      </w:r>
      <w:r w:rsidRPr="000969FB">
        <w:t>Kč</w:t>
      </w:r>
    </w:p>
    <w:p w:rsidR="009B22B4" w:rsidRPr="000969FB" w:rsidRDefault="009B22B4" w:rsidP="003C0442">
      <w:pPr>
        <w:pStyle w:val="slovn-rove2"/>
        <w:spacing w:before="0" w:after="0"/>
      </w:pPr>
      <w:r w:rsidRPr="000969FB">
        <w:t>Pojištění strojů</w:t>
      </w:r>
    </w:p>
    <w:p w:rsidR="009B22B4" w:rsidRPr="000969FB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0969FB">
        <w:tab/>
      </w:r>
      <w:r w:rsidR="009B22B4" w:rsidRPr="000969FB">
        <w:t xml:space="preserve">Pojistné </w:t>
      </w:r>
      <w:r w:rsidR="009B22B4" w:rsidRPr="000969FB">
        <w:tab/>
        <w:t xml:space="preserve"> </w:t>
      </w:r>
      <w:r w:rsidR="0081635B">
        <w:t>90</w:t>
      </w:r>
      <w:r w:rsidR="006514D4">
        <w:t> </w:t>
      </w:r>
      <w:r w:rsidR="0081635B">
        <w:t>000</w:t>
      </w:r>
      <w:r w:rsidR="006514D4">
        <w:t> </w:t>
      </w:r>
      <w:r w:rsidR="009B22B4" w:rsidRPr="000969FB">
        <w:t>Kč</w:t>
      </w:r>
    </w:p>
    <w:p w:rsidR="009B22B4" w:rsidRPr="000969FB" w:rsidRDefault="009B22B4" w:rsidP="00D73577">
      <w:pPr>
        <w:tabs>
          <w:tab w:val="right" w:leader="dot" w:pos="9638"/>
        </w:tabs>
        <w:spacing w:before="120" w:after="120"/>
        <w:rPr>
          <w:b/>
        </w:rPr>
      </w:pPr>
      <w:r w:rsidRPr="000969FB">
        <w:rPr>
          <w:b/>
        </w:rPr>
        <w:t xml:space="preserve">Souhrn pojistného za sjednaná pojištění za jeden pojistný rok činí </w:t>
      </w:r>
      <w:r w:rsidRPr="000969FB">
        <w:rPr>
          <w:b/>
        </w:rPr>
        <w:tab/>
        <w:t xml:space="preserve"> </w:t>
      </w:r>
      <w:r w:rsidR="0081635B">
        <w:rPr>
          <w:b/>
        </w:rPr>
        <w:t>5 </w:t>
      </w:r>
      <w:r w:rsidR="00F26D96">
        <w:rPr>
          <w:b/>
        </w:rPr>
        <w:t>633</w:t>
      </w:r>
      <w:r w:rsidR="006514D4">
        <w:rPr>
          <w:b/>
        </w:rPr>
        <w:t> </w:t>
      </w:r>
      <w:r w:rsidR="00F26D96">
        <w:rPr>
          <w:b/>
        </w:rPr>
        <w:t>217</w:t>
      </w:r>
      <w:r w:rsidR="006514D4">
        <w:rPr>
          <w:b/>
        </w:rPr>
        <w:t> </w:t>
      </w:r>
      <w:r w:rsidRPr="000969FB">
        <w:rPr>
          <w:b/>
        </w:rPr>
        <w:t>Kč</w:t>
      </w:r>
    </w:p>
    <w:p w:rsidR="009B22B4" w:rsidRPr="000969FB" w:rsidRDefault="009B22B4" w:rsidP="00CA7135">
      <w:pPr>
        <w:pStyle w:val="slovn-rove1-netun"/>
      </w:pPr>
      <w:r w:rsidRPr="000969FB">
        <w:t xml:space="preserve">Pojistné je sjednáno jako běžné. </w:t>
      </w:r>
    </w:p>
    <w:p w:rsidR="009B22B4" w:rsidRPr="000969FB" w:rsidRDefault="009B22B4" w:rsidP="003302A4">
      <w:pPr>
        <w:spacing w:after="120"/>
        <w:ind w:left="426"/>
      </w:pPr>
      <w:r w:rsidRPr="000969FB">
        <w:t>Pojistné období je dvanáctiměsíční. Pojistné je v každém pojistném roce splatné k dat</w:t>
      </w:r>
      <w:r w:rsidR="000A38DB">
        <w:t>u</w:t>
      </w:r>
      <w:r w:rsidRPr="000969FB">
        <w:t xml:space="preserve"> a v část</w:t>
      </w:r>
      <w:r w:rsidR="000A38DB">
        <w:t>ce</w:t>
      </w:r>
      <w:r w:rsidRPr="000969FB">
        <w:t xml:space="preserve"> takto: </w:t>
      </w:r>
    </w:p>
    <w:p w:rsidR="009B22B4" w:rsidRDefault="009B22B4" w:rsidP="003302A4">
      <w:pPr>
        <w:tabs>
          <w:tab w:val="left" w:pos="3969"/>
        </w:tabs>
        <w:spacing w:before="120"/>
        <w:ind w:left="426"/>
      </w:pPr>
      <w:r w:rsidRPr="000969FB">
        <w:t>datum:</w:t>
      </w:r>
      <w:r w:rsidRPr="000969FB">
        <w:tab/>
        <w:t>částka:</w:t>
      </w:r>
    </w:p>
    <w:p w:rsidR="00451F2F" w:rsidRPr="000969FB" w:rsidRDefault="00451F2F" w:rsidP="00D95921">
      <w:pPr>
        <w:tabs>
          <w:tab w:val="left" w:pos="3969"/>
        </w:tabs>
        <w:ind w:left="425"/>
      </w:pPr>
      <w:r>
        <w:t>1. 11.</w:t>
      </w:r>
      <w:r>
        <w:tab/>
      </w:r>
      <w:r w:rsidR="0081635B">
        <w:t>5 </w:t>
      </w:r>
      <w:r w:rsidR="00F26D96">
        <w:t>633</w:t>
      </w:r>
      <w:r w:rsidR="0081635B">
        <w:t> </w:t>
      </w:r>
      <w:r w:rsidR="00F26D96">
        <w:t>217</w:t>
      </w:r>
      <w:r w:rsidR="0081635B">
        <w:t> </w:t>
      </w:r>
      <w:r>
        <w:t>Kč</w:t>
      </w:r>
    </w:p>
    <w:p w:rsidR="009B22B4" w:rsidRPr="000969FB" w:rsidRDefault="00451F2F" w:rsidP="00CA7135">
      <w:pPr>
        <w:pStyle w:val="slovn-rove1-netun"/>
      </w:pPr>
      <w:r w:rsidRPr="000969FB">
        <w:t xml:space="preserve">Pojistník je povinen uhradit pojistné v uvedené výši na účet </w:t>
      </w:r>
      <w:r w:rsidR="00984450">
        <w:t xml:space="preserve">zplnomocněného </w:t>
      </w:r>
      <w:r w:rsidRPr="000969FB">
        <w:t xml:space="preserve">pojišťovacího makléře </w:t>
      </w:r>
      <w:r w:rsidR="00FD34EB">
        <w:t>MARSH, s.r.o. na základě jím vystavené faktury se splatností 14 dní ode dne obdržení faktury.</w:t>
      </w:r>
      <w:r w:rsidR="00E740FF">
        <w:t xml:space="preserve"> Pojistné se považuje za uhrazené dnem jeho připsání na účet MARSH, s.r.o.</w:t>
      </w:r>
    </w:p>
    <w:p w:rsidR="00E41C14" w:rsidRPr="000969FB" w:rsidRDefault="00E41C14" w:rsidP="00CA7135">
      <w:pPr>
        <w:pStyle w:val="slovn-rove1-netun"/>
      </w:pPr>
      <w:r w:rsidRPr="000969FB">
        <w:t>Výše uvedené pojistné je stanoveno bez pojistné či jiné obdobné daně (dále jen „</w:t>
      </w:r>
      <w:r w:rsidRPr="000969FB">
        <w:rPr>
          <w:b/>
        </w:rPr>
        <w:t>daň</w:t>
      </w:r>
      <w:r w:rsidRPr="000969FB">
        <w:t>“) za ri</w:t>
      </w:r>
      <w:r w:rsidR="002B4055" w:rsidRPr="000969FB">
        <w:t>zika umístěná v</w:t>
      </w:r>
      <w:r w:rsidR="00414B37" w:rsidRPr="000969FB">
        <w:t> </w:t>
      </w:r>
      <w:r w:rsidRPr="000969FB">
        <w:t>členském státě Evropské unie</w:t>
      </w:r>
      <w:r w:rsidR="002B4055" w:rsidRPr="000969FB">
        <w:t xml:space="preserve"> nebo Evropského hospodářského prostoru</w:t>
      </w:r>
      <w:r w:rsidRPr="000969FB">
        <w:t xml:space="preserve">. </w:t>
      </w:r>
      <w:r w:rsidR="00EE2B81" w:rsidRPr="000969FB">
        <w:t>Smluvní strany se dohodly, že </w:t>
      </w:r>
      <w:r w:rsidR="00414B37" w:rsidRPr="000969FB">
        <w:t>v </w:t>
      </w:r>
      <w:r w:rsidRPr="000969FB">
        <w:t xml:space="preserve">případě zavedení daně z pojištění sjednaného touto pojistnou smlouvou, kterou bude po nabytí účinnosti příslušných právních předpisů na území tohoto jiného členského státu pojistitel povinen odvést, se pojistník zavazuje uhradit nad rámec pojistného předepsaného v této pojistné smlouvě i náklady odpovídající této povinnosti. </w:t>
      </w:r>
      <w:r w:rsidR="002B4055" w:rsidRPr="000969FB">
        <w:t xml:space="preserve">Ustanovení tohoto bodu </w:t>
      </w:r>
      <w:r w:rsidR="008119AB" w:rsidRPr="000969FB">
        <w:t xml:space="preserve">neplatí pro </w:t>
      </w:r>
      <w:r w:rsidRPr="000969FB">
        <w:t xml:space="preserve">daně, které jsou </w:t>
      </w:r>
      <w:r w:rsidR="008119AB" w:rsidRPr="000969FB">
        <w:t xml:space="preserve">případně </w:t>
      </w:r>
      <w:r w:rsidRPr="000969FB">
        <w:t>v bodě 1</w:t>
      </w:r>
      <w:r w:rsidR="008119AB" w:rsidRPr="000969FB">
        <w:t>.</w:t>
      </w:r>
      <w:r w:rsidRPr="000969FB">
        <w:t xml:space="preserve"> tohoto článku výslovně uvedeny.</w:t>
      </w:r>
    </w:p>
    <w:p w:rsidR="009B22B4" w:rsidRPr="000969FB" w:rsidRDefault="009B22B4" w:rsidP="00631371">
      <w:pPr>
        <w:pStyle w:val="Nadpislnk"/>
      </w:pPr>
      <w:r w:rsidRPr="000969FB">
        <w:lastRenderedPageBreak/>
        <w:t>Článek IV.</w:t>
      </w:r>
      <w:r w:rsidR="00F425A6" w:rsidRPr="000969FB">
        <w:br/>
      </w:r>
      <w:r w:rsidRPr="000969FB">
        <w:t>Hlášení škodných událostí</w:t>
      </w:r>
    </w:p>
    <w:p w:rsidR="009B22B4" w:rsidRPr="000969FB" w:rsidRDefault="009B22B4" w:rsidP="00373B1B">
      <w:pPr>
        <w:pStyle w:val="slovn-rove1-netunb"/>
        <w:spacing w:after="240"/>
      </w:pPr>
      <w:r w:rsidRPr="000969FB">
        <w:t>Vznik škodné události je pojistník (pojištěný) povinen oznámit přímo nebo prostřednictvím zplnomocněného pojišťovacího makléře bez zbytečného odkladu na jeden z níže uvedených kontaktních údajů:</w:t>
      </w:r>
    </w:p>
    <w:p w:rsidR="009B22B4" w:rsidRPr="000969FB" w:rsidRDefault="009B22B4" w:rsidP="001600C3">
      <w:pPr>
        <w:spacing w:before="240"/>
        <w:ind w:left="425"/>
      </w:pPr>
      <w:r w:rsidRPr="000969FB">
        <w:t xml:space="preserve">Kooperativa pojišťovna, a.s., </w:t>
      </w:r>
      <w:proofErr w:type="spellStart"/>
      <w:r w:rsidRPr="000969FB">
        <w:t>Vienna</w:t>
      </w:r>
      <w:proofErr w:type="spellEnd"/>
      <w:r w:rsidRPr="000969FB">
        <w:t xml:space="preserve"> </w:t>
      </w:r>
      <w:proofErr w:type="spellStart"/>
      <w:r w:rsidRPr="000969FB">
        <w:t>Insurance</w:t>
      </w:r>
      <w:proofErr w:type="spellEnd"/>
      <w:r w:rsidRPr="000969FB">
        <w:t xml:space="preserve"> Group</w:t>
      </w:r>
    </w:p>
    <w:p w:rsidR="009B22B4" w:rsidRPr="000969FB" w:rsidRDefault="009B22B4" w:rsidP="001600C3">
      <w:pPr>
        <w:ind w:left="425"/>
      </w:pPr>
      <w:r w:rsidRPr="000969FB">
        <w:t>CENTRUM ZÁKAZNICKÉ PODPORY</w:t>
      </w:r>
    </w:p>
    <w:p w:rsidR="009B22B4" w:rsidRPr="000969FB" w:rsidRDefault="009B22B4" w:rsidP="001600C3">
      <w:pPr>
        <w:ind w:left="425"/>
      </w:pPr>
      <w:r w:rsidRPr="000969FB">
        <w:t>Centrální podatelna</w:t>
      </w:r>
    </w:p>
    <w:p w:rsidR="009B22B4" w:rsidRPr="000969FB" w:rsidRDefault="009B22B4" w:rsidP="001600C3">
      <w:pPr>
        <w:ind w:left="425"/>
      </w:pPr>
      <w:r w:rsidRPr="000969FB">
        <w:t>Brněnská 634</w:t>
      </w:r>
    </w:p>
    <w:p w:rsidR="009B22B4" w:rsidRPr="000969FB" w:rsidRDefault="009B22B4" w:rsidP="001600C3">
      <w:pPr>
        <w:ind w:left="425"/>
      </w:pPr>
      <w:r w:rsidRPr="000969FB">
        <w:t>664 42 Modřice</w:t>
      </w:r>
    </w:p>
    <w:p w:rsidR="00AE184F" w:rsidRDefault="008119AB" w:rsidP="0081635B">
      <w:pPr>
        <w:ind w:left="425"/>
      </w:pPr>
      <w:r w:rsidRPr="000969FB">
        <w:t>t</w:t>
      </w:r>
      <w:r w:rsidR="009B22B4" w:rsidRPr="000969FB">
        <w:t xml:space="preserve">el.: </w:t>
      </w:r>
      <w:r w:rsidR="00AE184F" w:rsidRPr="00AE184F">
        <w:t>XXXXXXX</w:t>
      </w:r>
    </w:p>
    <w:p w:rsidR="009B22B4" w:rsidRPr="000969FB" w:rsidRDefault="009B22B4" w:rsidP="0081635B">
      <w:pPr>
        <w:ind w:left="425"/>
      </w:pPr>
      <w:r w:rsidRPr="000969FB">
        <w:t xml:space="preserve">fax: </w:t>
      </w:r>
      <w:r w:rsidR="00AE184F" w:rsidRPr="00AE184F">
        <w:t>XXXXXXX</w:t>
      </w:r>
    </w:p>
    <w:p w:rsidR="009B22B4" w:rsidRPr="000969FB" w:rsidRDefault="008119AB" w:rsidP="001600C3">
      <w:pPr>
        <w:spacing w:after="60"/>
        <w:ind w:left="425"/>
      </w:pPr>
      <w:r w:rsidRPr="000969FB">
        <w:t>e</w:t>
      </w:r>
      <w:r w:rsidR="009B22B4" w:rsidRPr="000969FB">
        <w:t xml:space="preserve">-mail: </w:t>
      </w:r>
      <w:hyperlink r:id="rId10" w:history="1">
        <w:r w:rsidR="009B22B4" w:rsidRPr="000969FB">
          <w:rPr>
            <w:rStyle w:val="Hypertextovodkaz"/>
          </w:rPr>
          <w:t>podatelna@koop.cz</w:t>
        </w:r>
      </w:hyperlink>
    </w:p>
    <w:p w:rsidR="009B22B4" w:rsidRPr="000969FB" w:rsidRDefault="009B22B4" w:rsidP="0081635B">
      <w:pPr>
        <w:ind w:left="425"/>
      </w:pPr>
      <w:r w:rsidRPr="000969FB">
        <w:t>www.koop.cz</w:t>
      </w:r>
    </w:p>
    <w:p w:rsidR="009B22B4" w:rsidRPr="000969FB" w:rsidRDefault="009B22B4" w:rsidP="00373B1B">
      <w:pPr>
        <w:pStyle w:val="slovn-rove1-netunb"/>
      </w:pPr>
      <w:r w:rsidRPr="000969FB">
        <w:t xml:space="preserve">Na výzvu pojistitele je pojistník (pojištěný nebo jakákoliv jiná osoba) povinen oznámit vznik škodné události písemnou formou. </w:t>
      </w:r>
    </w:p>
    <w:bookmarkEnd w:id="18"/>
    <w:p w:rsidR="009B22B4" w:rsidRPr="000969FB" w:rsidRDefault="009B22B4" w:rsidP="001600C3">
      <w:pPr>
        <w:pStyle w:val="Nadpislnk"/>
      </w:pPr>
      <w:r w:rsidRPr="000969FB">
        <w:t>Článek V.</w:t>
      </w:r>
      <w:r w:rsidR="00F425A6" w:rsidRPr="000969FB">
        <w:br/>
      </w:r>
      <w:r w:rsidRPr="000969FB">
        <w:t>Zvláštní ujednání</w:t>
      </w:r>
    </w:p>
    <w:p w:rsidR="00D95921" w:rsidRPr="00D95921" w:rsidRDefault="00D95921" w:rsidP="00D95921">
      <w:pPr>
        <w:pStyle w:val="slovn-rove1-netunb"/>
        <w:numPr>
          <w:ilvl w:val="0"/>
          <w:numId w:val="13"/>
        </w:numPr>
        <w:tabs>
          <w:tab w:val="left" w:pos="-1418"/>
        </w:tabs>
        <w:rPr>
          <w:rFonts w:cs="Arial"/>
        </w:rPr>
      </w:pPr>
      <w:r w:rsidRPr="00D95921">
        <w:rPr>
          <w:rFonts w:cs="Arial"/>
        </w:rPr>
        <w:t xml:space="preserve">Odchylně od čl. 4 odst. 3) </w:t>
      </w:r>
      <w:r w:rsidR="00A83AE3">
        <w:rPr>
          <w:rFonts w:cs="Arial"/>
        </w:rPr>
        <w:t>a 4) a čl. 16 odst. 6) V</w:t>
      </w:r>
      <w:r w:rsidRPr="00D95921">
        <w:rPr>
          <w:rFonts w:cs="Arial"/>
        </w:rPr>
        <w:t xml:space="preserve">PP P-100/14 </w:t>
      </w:r>
      <w:r w:rsidR="00225FDC">
        <w:rPr>
          <w:rFonts w:cs="Arial"/>
        </w:rPr>
        <w:t xml:space="preserve">může pojistník i </w:t>
      </w:r>
      <w:r w:rsidRPr="00D95921">
        <w:rPr>
          <w:rFonts w:cs="Arial"/>
        </w:rPr>
        <w:t xml:space="preserve">pojistitel </w:t>
      </w:r>
      <w:r w:rsidR="00225FDC">
        <w:rPr>
          <w:rFonts w:cs="Arial"/>
        </w:rPr>
        <w:t xml:space="preserve">ukončit </w:t>
      </w:r>
      <w:r w:rsidRPr="00D95921">
        <w:rPr>
          <w:rFonts w:cs="Arial"/>
        </w:rPr>
        <w:t xml:space="preserve">pojištění </w:t>
      </w:r>
      <w:r w:rsidR="00225FDC">
        <w:rPr>
          <w:rFonts w:cs="Arial"/>
        </w:rPr>
        <w:t xml:space="preserve">výpovědí výhradně k poslednímu dni </w:t>
      </w:r>
      <w:r w:rsidR="00CC6188" w:rsidRPr="00D95921">
        <w:rPr>
          <w:rFonts w:cs="Arial"/>
        </w:rPr>
        <w:t xml:space="preserve">každého pojistného období; </w:t>
      </w:r>
      <w:r w:rsidR="00225FDC">
        <w:rPr>
          <w:rFonts w:cs="Arial"/>
        </w:rPr>
        <w:t xml:space="preserve">tato </w:t>
      </w:r>
      <w:r w:rsidR="00CC6188" w:rsidRPr="00D95921">
        <w:rPr>
          <w:rFonts w:cs="Arial"/>
        </w:rPr>
        <w:t>výpověď musí být druhé smluvní straně doručena nejméně 6 měsíců před koncem pojistného období, v opačném případě pojištění zaniká až ke konci následujícího pojistného období, pro které je 6 měsíců dodrženo</w:t>
      </w:r>
      <w:r w:rsidR="00CC6188">
        <w:rPr>
          <w:rFonts w:cs="Arial"/>
        </w:rPr>
        <w:t>.</w:t>
      </w:r>
    </w:p>
    <w:p w:rsidR="00125813" w:rsidRDefault="00C118E5" w:rsidP="00015030">
      <w:pPr>
        <w:pStyle w:val="slovn-rove1-netunb"/>
        <w:numPr>
          <w:ilvl w:val="0"/>
          <w:numId w:val="13"/>
        </w:numPr>
        <w:tabs>
          <w:tab w:val="left" w:pos="-1418"/>
        </w:tabs>
        <w:rPr>
          <w:rFonts w:cs="Arial"/>
        </w:rPr>
      </w:pPr>
      <w:r>
        <w:rPr>
          <w:rFonts w:cs="Arial"/>
        </w:rPr>
        <w:t xml:space="preserve">Změna </w:t>
      </w:r>
      <w:r w:rsidR="00125813">
        <w:rPr>
          <w:rFonts w:cs="Arial"/>
        </w:rPr>
        <w:t xml:space="preserve">výše pojistného </w:t>
      </w:r>
      <w:r>
        <w:rPr>
          <w:rFonts w:cs="Arial"/>
        </w:rPr>
        <w:t xml:space="preserve">je možná </w:t>
      </w:r>
      <w:r w:rsidR="00125813">
        <w:rPr>
          <w:rFonts w:cs="Arial"/>
        </w:rPr>
        <w:t xml:space="preserve">v souvislosti se změnou struktury majetku, tzn. navýšení ceny pojistného v případě pořízení nemovitých či movitých věcí nebo dalšího majetku </w:t>
      </w:r>
      <w:r>
        <w:rPr>
          <w:rFonts w:cs="Arial"/>
        </w:rPr>
        <w:t xml:space="preserve">uvedeného v předmětu pojištění v daném pojistném roce či snížení ceny pojistného v případě prodeje, vyřazení či likvidace nemovitého či movitého majetku nebo dalšího majetku uvedeného v předmětu pojištění z evidence majetku pojištěného. Pokud se rozsah majetku zvýší či sníží v daném pojistném roce o méně než 15%, je pojištění nově pořízeného majetku pokryto z plateb pojistného pro daný pojistný rok. Pokud se rozsah majetku zvýší či sníží o více než 15%, změna výše pojistného se bude řešit uzavřením dodatku k této pojistné smlouvě bez zbytečného odkladu poté, co pojistník </w:t>
      </w:r>
      <w:r w:rsidR="00F5218B">
        <w:rPr>
          <w:rFonts w:cs="Arial"/>
        </w:rPr>
        <w:t xml:space="preserve">nebo pojištěný </w:t>
      </w:r>
      <w:r>
        <w:rPr>
          <w:rFonts w:cs="Arial"/>
        </w:rPr>
        <w:t>pojistiteli tuto změnu nahlásí.</w:t>
      </w:r>
    </w:p>
    <w:p w:rsidR="00422C74" w:rsidRPr="00993C94" w:rsidRDefault="00422C74" w:rsidP="00AF14FA">
      <w:pPr>
        <w:pStyle w:val="slovn-rove1-netunb"/>
        <w:numPr>
          <w:ilvl w:val="0"/>
          <w:numId w:val="13"/>
        </w:numPr>
        <w:tabs>
          <w:tab w:val="left" w:pos="-1418"/>
        </w:tabs>
        <w:spacing w:after="60"/>
        <w:rPr>
          <w:rFonts w:cs="Arial"/>
        </w:rPr>
      </w:pPr>
      <w:r w:rsidRPr="00993C94">
        <w:rPr>
          <w:rFonts w:cs="Arial"/>
        </w:rPr>
        <w:t xml:space="preserve">Pro účely tohoto pojištění se doplňuje specifikace rozsahu pojištění uvedeného v čl. II. v záhlaví tabulky č. 2.1.1. </w:t>
      </w:r>
      <w:r w:rsidR="00BE7F97">
        <w:rPr>
          <w:rFonts w:cs="Arial"/>
        </w:rPr>
        <w:t>(Živelní pojištění) a specifikace příčiny vzniku věcné škody v tabulce č. 2.2.1. (Pojištění pro případ přerušení nebo omezení provozu)</w:t>
      </w:r>
      <w:r w:rsidRPr="00993C94">
        <w:rPr>
          <w:rFonts w:cs="Arial"/>
        </w:rPr>
        <w:t xml:space="preserve"> takto:</w:t>
      </w:r>
    </w:p>
    <w:p w:rsidR="00422C74" w:rsidRPr="00993C94" w:rsidRDefault="00993C94" w:rsidP="00422C74">
      <w:pPr>
        <w:numPr>
          <w:ilvl w:val="0"/>
          <w:numId w:val="30"/>
        </w:numPr>
        <w:tabs>
          <w:tab w:val="left" w:pos="-1418"/>
          <w:tab w:val="left" w:pos="851"/>
        </w:tabs>
        <w:ind w:left="851" w:hanging="284"/>
        <w:rPr>
          <w:rFonts w:cs="Arial"/>
        </w:rPr>
      </w:pPr>
      <w:r w:rsidRPr="00993C94">
        <w:rPr>
          <w:rFonts w:cs="Arial"/>
        </w:rPr>
        <w:t>„</w:t>
      </w:r>
      <w:proofErr w:type="spellStart"/>
      <w:r w:rsidR="00422C74" w:rsidRPr="00993C94">
        <w:rPr>
          <w:rFonts w:cs="Arial"/>
        </w:rPr>
        <w:t>flex</w:t>
      </w:r>
      <w:r w:rsidR="00355DEC">
        <w:rPr>
          <w:rFonts w:cs="Arial"/>
        </w:rPr>
        <w:t>a</w:t>
      </w:r>
      <w:proofErr w:type="spellEnd"/>
      <w:r w:rsidRPr="00993C94">
        <w:rPr>
          <w:rFonts w:cs="Arial"/>
        </w:rPr>
        <w:t>“</w:t>
      </w:r>
      <w:r w:rsidR="00355DEC">
        <w:rPr>
          <w:rFonts w:cs="Arial"/>
        </w:rPr>
        <w:t xml:space="preserve">: </w:t>
      </w:r>
      <w:r w:rsidR="00422C74" w:rsidRPr="00993C94">
        <w:rPr>
          <w:rFonts w:cs="Arial"/>
        </w:rPr>
        <w:t xml:space="preserve">požár, výbuch, úder blesku, pád letadla nebo létajícího zařízení </w:t>
      </w:r>
      <w:r w:rsidR="00A0073E" w:rsidRPr="00993C94">
        <w:rPr>
          <w:rFonts w:cs="Arial"/>
        </w:rPr>
        <w:t xml:space="preserve">nebo </w:t>
      </w:r>
      <w:r w:rsidR="00422C74" w:rsidRPr="00993C94">
        <w:rPr>
          <w:rFonts w:cs="Arial"/>
        </w:rPr>
        <w:t>jeho části nebo nákladu</w:t>
      </w:r>
      <w:r w:rsidR="00A0073E" w:rsidRPr="00993C94">
        <w:rPr>
          <w:rFonts w:cs="Arial"/>
        </w:rPr>
        <w:t>, aerodynamický třesk, kouř, náraz dopravního prostředku, vlastního nebo cizího, provozovaného pojištěným nebo třetí osobou</w:t>
      </w:r>
      <w:r w:rsidR="00422C74" w:rsidRPr="00993C94">
        <w:rPr>
          <w:rFonts w:cs="Arial"/>
        </w:rPr>
        <w:t>;</w:t>
      </w:r>
    </w:p>
    <w:p w:rsidR="00422C74" w:rsidRPr="00993C94" w:rsidRDefault="00422C74" w:rsidP="00422C74">
      <w:pPr>
        <w:numPr>
          <w:ilvl w:val="0"/>
          <w:numId w:val="30"/>
        </w:numPr>
        <w:tabs>
          <w:tab w:val="left" w:pos="-1418"/>
          <w:tab w:val="left" w:pos="851"/>
          <w:tab w:val="left" w:pos="3544"/>
        </w:tabs>
        <w:ind w:left="851" w:hanging="284"/>
        <w:rPr>
          <w:rFonts w:cs="Arial"/>
        </w:rPr>
      </w:pPr>
      <w:r w:rsidRPr="00993C94">
        <w:rPr>
          <w:rFonts w:cs="Arial"/>
        </w:rPr>
        <w:t>„</w:t>
      </w:r>
      <w:r w:rsidR="00A0073E" w:rsidRPr="00993C94">
        <w:rPr>
          <w:rFonts w:cs="Arial"/>
        </w:rPr>
        <w:t>vodovodní škody</w:t>
      </w:r>
      <w:r w:rsidRPr="00993C94">
        <w:rPr>
          <w:rFonts w:cs="Arial"/>
        </w:rPr>
        <w:t>“:</w:t>
      </w:r>
      <w:r w:rsidR="00A0073E" w:rsidRPr="00993C94">
        <w:rPr>
          <w:rFonts w:cs="Arial"/>
        </w:rPr>
        <w:t xml:space="preserve"> únik vody/jiné kapaliny z jakéhokoliv technického nebo technologického systému;</w:t>
      </w:r>
    </w:p>
    <w:p w:rsidR="00A0073E" w:rsidRPr="00993C94" w:rsidRDefault="00A0073E" w:rsidP="00422C74">
      <w:pPr>
        <w:numPr>
          <w:ilvl w:val="0"/>
          <w:numId w:val="30"/>
        </w:numPr>
        <w:tabs>
          <w:tab w:val="left" w:pos="-1418"/>
          <w:tab w:val="left" w:pos="851"/>
          <w:tab w:val="left" w:pos="3544"/>
        </w:tabs>
        <w:ind w:left="851" w:hanging="284"/>
        <w:rPr>
          <w:rFonts w:cs="Arial"/>
        </w:rPr>
      </w:pPr>
      <w:r w:rsidRPr="00993C94">
        <w:rPr>
          <w:rFonts w:cs="Arial"/>
        </w:rPr>
        <w:t>„vichřice, krupobití“</w:t>
      </w:r>
      <w:r w:rsidR="00BE7F97">
        <w:rPr>
          <w:rFonts w:cs="Arial"/>
        </w:rPr>
        <w:t>: vichřice a krupobití</w:t>
      </w:r>
      <w:r w:rsidRPr="00993C94">
        <w:rPr>
          <w:rFonts w:cs="Arial"/>
        </w:rPr>
        <w:t xml:space="preserve">, </w:t>
      </w:r>
      <w:proofErr w:type="spellStart"/>
      <w:r w:rsidRPr="00993C94">
        <w:rPr>
          <w:rFonts w:cs="Arial"/>
        </w:rPr>
        <w:t>vč</w:t>
      </w:r>
      <w:proofErr w:type="spellEnd"/>
      <w:r w:rsidRPr="00993C94">
        <w:rPr>
          <w:rFonts w:cs="Arial"/>
        </w:rPr>
        <w:t xml:space="preserve"> pádu stromů/stožárů/jiných předmětů, i když jsou součástí pojištěné věci nebo souboru, pádu nebo sesuvu lavin, sesuvu, poklesu nebo zřícení půdy/skal/zemin, tíhy sněhu a námrazy;</w:t>
      </w:r>
    </w:p>
    <w:p w:rsidR="00A0073E" w:rsidRPr="00993C94" w:rsidRDefault="00A0073E" w:rsidP="00422C74">
      <w:pPr>
        <w:numPr>
          <w:ilvl w:val="0"/>
          <w:numId w:val="30"/>
        </w:numPr>
        <w:tabs>
          <w:tab w:val="left" w:pos="-1418"/>
          <w:tab w:val="left" w:pos="851"/>
          <w:tab w:val="left" w:pos="3544"/>
        </w:tabs>
        <w:ind w:left="851" w:hanging="284"/>
        <w:rPr>
          <w:rFonts w:cs="Arial"/>
        </w:rPr>
      </w:pPr>
      <w:r w:rsidRPr="00993C94">
        <w:rPr>
          <w:rFonts w:cs="Arial"/>
        </w:rPr>
        <w:t>atmosférické srážky a vlivy (včetně zatečení, přívalového deště, sněhu, ledu)</w:t>
      </w:r>
      <w:r w:rsidR="00884A35" w:rsidRPr="00993C94">
        <w:rPr>
          <w:rFonts w:cs="Arial"/>
        </w:rPr>
        <w:t xml:space="preserve"> - ve smyslu přílohy č. </w:t>
      </w:r>
      <w:r w:rsidR="00F719CC">
        <w:rPr>
          <w:rFonts w:cs="Arial"/>
        </w:rPr>
        <w:t>2</w:t>
      </w:r>
      <w:r w:rsidR="00884A35" w:rsidRPr="00993C94">
        <w:rPr>
          <w:rFonts w:cs="Arial"/>
        </w:rPr>
        <w:t xml:space="preserve"> Smluvní ujednání MARSH, s.r.o. - Doplňková živelní nebezpečí – Atmosférické srážky, zatečení</w:t>
      </w:r>
      <w:r w:rsidRPr="00993C94">
        <w:rPr>
          <w:rFonts w:cs="Arial"/>
        </w:rPr>
        <w:t>;</w:t>
      </w:r>
    </w:p>
    <w:p w:rsidR="00A0073E" w:rsidRPr="00993C94" w:rsidRDefault="00A0073E" w:rsidP="00422C74">
      <w:pPr>
        <w:numPr>
          <w:ilvl w:val="0"/>
          <w:numId w:val="30"/>
        </w:numPr>
        <w:tabs>
          <w:tab w:val="left" w:pos="-1418"/>
          <w:tab w:val="left" w:pos="851"/>
          <w:tab w:val="left" w:pos="3544"/>
        </w:tabs>
        <w:ind w:left="851" w:hanging="284"/>
        <w:rPr>
          <w:rFonts w:cs="Arial"/>
        </w:rPr>
      </w:pPr>
      <w:r w:rsidRPr="00993C94">
        <w:rPr>
          <w:rFonts w:cs="Arial"/>
        </w:rPr>
        <w:t>nepřímý úder blesku, přepětí</w:t>
      </w:r>
      <w:r w:rsidR="00884A35" w:rsidRPr="00993C94">
        <w:rPr>
          <w:rFonts w:cs="Arial"/>
        </w:rPr>
        <w:t xml:space="preserve"> – ve smyslu přílohy č. </w:t>
      </w:r>
      <w:r w:rsidR="00F719CC">
        <w:rPr>
          <w:rFonts w:cs="Arial"/>
        </w:rPr>
        <w:t>2</w:t>
      </w:r>
      <w:r w:rsidR="00884A35" w:rsidRPr="00993C94">
        <w:rPr>
          <w:rFonts w:cs="Arial"/>
        </w:rPr>
        <w:t xml:space="preserve"> Smluvní ujednání MARSH, s.r.o. - Doplňková živelní nebezpečí – Pojištění nebezpečí nepřímého úderu blesku a přepětí</w:t>
      </w:r>
      <w:r w:rsidRPr="00993C94">
        <w:rPr>
          <w:rFonts w:cs="Arial"/>
        </w:rPr>
        <w:t>;</w:t>
      </w:r>
    </w:p>
    <w:p w:rsidR="00A0073E" w:rsidRPr="00993C94" w:rsidRDefault="00A0073E" w:rsidP="00422C74">
      <w:pPr>
        <w:numPr>
          <w:ilvl w:val="0"/>
          <w:numId w:val="30"/>
        </w:numPr>
        <w:tabs>
          <w:tab w:val="left" w:pos="-1418"/>
          <w:tab w:val="left" w:pos="851"/>
          <w:tab w:val="left" w:pos="3544"/>
        </w:tabs>
        <w:ind w:left="851" w:hanging="284"/>
        <w:rPr>
          <w:rFonts w:cs="Arial"/>
        </w:rPr>
      </w:pPr>
      <w:r w:rsidRPr="00993C94">
        <w:rPr>
          <w:rFonts w:cs="Arial"/>
        </w:rPr>
        <w:t>terorismus a sabotáž</w:t>
      </w:r>
      <w:r w:rsidR="00C341A6">
        <w:rPr>
          <w:rFonts w:cs="Arial"/>
        </w:rPr>
        <w:t xml:space="preserve"> – ve smyslu zvláštního ujednání v příloze č. 1 – Pojištění terorismu a sabotáže.</w:t>
      </w:r>
    </w:p>
    <w:p w:rsidR="00422C74" w:rsidRDefault="00422C74" w:rsidP="00AF14FA">
      <w:pPr>
        <w:tabs>
          <w:tab w:val="left" w:pos="-1418"/>
        </w:tabs>
        <w:spacing w:before="60"/>
        <w:ind w:left="567"/>
        <w:rPr>
          <w:rFonts w:cs="Arial"/>
        </w:rPr>
      </w:pPr>
      <w:r w:rsidRPr="00993C94">
        <w:rPr>
          <w:rFonts w:cs="Arial"/>
        </w:rPr>
        <w:t>V případě, že jakékoli ustanovení této specifikace rozšiřuje rozsah sjednaných pojistných nebezpečí dle čl. 2 ZPP P-150/14</w:t>
      </w:r>
      <w:r w:rsidR="00BE7F97">
        <w:rPr>
          <w:rFonts w:cs="Arial"/>
        </w:rPr>
        <w:t xml:space="preserve"> a čl. 3 ZPP P-400/14</w:t>
      </w:r>
      <w:r w:rsidRPr="00993C94">
        <w:rPr>
          <w:rFonts w:cs="Arial"/>
        </w:rPr>
        <w:t>, pak má přednost příslušné ustanovení této specifikace rozsahu pojištění.</w:t>
      </w:r>
    </w:p>
    <w:p w:rsidR="009B22B4" w:rsidRDefault="009B22B4" w:rsidP="00AF14FA">
      <w:pPr>
        <w:pStyle w:val="slovn-rove1-netunb"/>
        <w:numPr>
          <w:ilvl w:val="0"/>
          <w:numId w:val="13"/>
        </w:numPr>
        <w:spacing w:before="100"/>
      </w:pPr>
      <w:r w:rsidRPr="000969FB">
        <w:t xml:space="preserve">Ujednává se, že se ruší ustanovení čl. 1 odst. 7) a 8), čl. 3 odst. </w:t>
      </w:r>
      <w:r w:rsidR="00451F2F">
        <w:t xml:space="preserve">4) a </w:t>
      </w:r>
      <w:r w:rsidRPr="000969FB">
        <w:t xml:space="preserve">5), čl. 6 odst. 3) a čl. 9 ZPP P-150/14. </w:t>
      </w:r>
    </w:p>
    <w:p w:rsidR="002D4849" w:rsidRDefault="002D4849" w:rsidP="00AF14FA">
      <w:pPr>
        <w:pStyle w:val="slovn-rove1-netunb"/>
        <w:numPr>
          <w:ilvl w:val="0"/>
          <w:numId w:val="13"/>
        </w:numPr>
        <w:spacing w:before="100"/>
      </w:pPr>
      <w:r>
        <w:t>Ujednává se, že se ruší ustanovení čl. 8 odst. 13) ZPP P-150/14 a čl. 8 odst. 13) ZPP P-200/14.</w:t>
      </w:r>
    </w:p>
    <w:p w:rsidR="00C3191D" w:rsidRPr="000969FB" w:rsidRDefault="00C3191D" w:rsidP="00AF14FA">
      <w:pPr>
        <w:pStyle w:val="slovn-rove1-netunb"/>
        <w:numPr>
          <w:ilvl w:val="0"/>
          <w:numId w:val="13"/>
        </w:numPr>
        <w:spacing w:before="100"/>
      </w:pPr>
      <w:r>
        <w:t xml:space="preserve">Ujednává se, že se ruší ustanovení čl. </w:t>
      </w:r>
      <w:r w:rsidR="003147E4">
        <w:t>3 odst. 1) písm. a) ZPP P-200/14.</w:t>
      </w:r>
    </w:p>
    <w:p w:rsidR="00451F2F" w:rsidRDefault="00451F2F" w:rsidP="00CD617F">
      <w:pPr>
        <w:pStyle w:val="slovn-rove1-netunb"/>
        <w:keepNext/>
        <w:numPr>
          <w:ilvl w:val="0"/>
          <w:numId w:val="13"/>
        </w:numPr>
        <w:spacing w:before="100" w:after="0"/>
      </w:pPr>
      <w:r w:rsidRPr="000969FB">
        <w:lastRenderedPageBreak/>
        <w:t xml:space="preserve">Ujednává se, že se ustanovení čl. 3 odst. 3) ZPP P-150/14 ruší a nově zní: </w:t>
      </w:r>
    </w:p>
    <w:p w:rsidR="009B22B4" w:rsidRPr="000969FB" w:rsidRDefault="00451F2F" w:rsidP="00451F2F">
      <w:pPr>
        <w:pStyle w:val="slovn-rove1-netunb"/>
        <w:numPr>
          <w:ilvl w:val="0"/>
          <w:numId w:val="0"/>
        </w:numPr>
        <w:spacing w:before="0" w:after="0"/>
        <w:ind w:left="426"/>
      </w:pPr>
      <w:r w:rsidRPr="000969FB">
        <w:t>„Z pojištění nevzniká právo na plnění pojistitele za škody vzniklé na pojištěné věci během její přepravy jako nákladu.“</w:t>
      </w:r>
    </w:p>
    <w:p w:rsidR="00451F2F" w:rsidRDefault="00451F2F" w:rsidP="00AF14FA">
      <w:pPr>
        <w:pStyle w:val="slovn-rove1-netunb"/>
        <w:numPr>
          <w:ilvl w:val="0"/>
          <w:numId w:val="13"/>
        </w:numPr>
        <w:spacing w:before="100" w:after="0"/>
      </w:pPr>
      <w:r w:rsidRPr="000969FB">
        <w:t>Ujednává se, že se ustanovení čl. 3 odst. 2) písm. h) ZPP P-320/14 ruší a nově zní:</w:t>
      </w:r>
    </w:p>
    <w:p w:rsidR="00451F2F" w:rsidRDefault="00451F2F" w:rsidP="00451F2F">
      <w:pPr>
        <w:pStyle w:val="slovn-rove1-netunb"/>
        <w:numPr>
          <w:ilvl w:val="0"/>
          <w:numId w:val="0"/>
        </w:numPr>
        <w:spacing w:before="0" w:after="0"/>
        <w:ind w:left="426"/>
      </w:pPr>
      <w:r w:rsidRPr="000969FB">
        <w:t>„Z pojištění nevzniká právo na plnění pojistitele za škody vzniklé na pojištěné věci během její přepravy jako nákladu.“</w:t>
      </w:r>
    </w:p>
    <w:p w:rsidR="00C343E5" w:rsidRDefault="00C343E5" w:rsidP="00AF14FA">
      <w:pPr>
        <w:pStyle w:val="slovn-rove1-netunb"/>
        <w:numPr>
          <w:ilvl w:val="0"/>
          <w:numId w:val="13"/>
        </w:numPr>
        <w:spacing w:before="100" w:after="0"/>
      </w:pPr>
      <w:r w:rsidRPr="000969FB">
        <w:t xml:space="preserve">Ujednává se, že </w:t>
      </w:r>
      <w:r>
        <w:t>limity</w:t>
      </w:r>
      <w:r w:rsidR="00993C94">
        <w:t>/limity plnění</w:t>
      </w:r>
      <w:r>
        <w:t xml:space="preserve"> uvedené v příloze č. </w:t>
      </w:r>
      <w:r w:rsidR="00F719CC">
        <w:t>2</w:t>
      </w:r>
      <w:r>
        <w:t xml:space="preserve"> – Smluvní ujednání MARSH jsou maximálními limity pojistného plnění pro jednu a všechny pojistné události nastalé v průběhu pojistného roku.</w:t>
      </w:r>
    </w:p>
    <w:p w:rsidR="00F719CC" w:rsidRPr="000969FB" w:rsidRDefault="00DD2855" w:rsidP="00AF14FA">
      <w:pPr>
        <w:pStyle w:val="slovn-rove1-netunb"/>
        <w:numPr>
          <w:ilvl w:val="0"/>
          <w:numId w:val="13"/>
        </w:numPr>
        <w:spacing w:before="100"/>
      </w:pPr>
      <w:r>
        <w:t>V případě rozdílu/rozporu mezi VPP, příp. ZPP a zvláštním ujednáním pro pojištění terorismu a sabotáže ve smyslu přílohy č. 1 se ujednává, že přednost mají ustanovení zvláštního ujednání v příloze č. 1. Dále se u</w:t>
      </w:r>
      <w:r w:rsidR="00F719CC">
        <w:t xml:space="preserve">jednává, že pro účely tohoto pojištění se nahrazuje pojem </w:t>
      </w:r>
      <w:r>
        <w:t>upisovatel/</w:t>
      </w:r>
      <w:r w:rsidR="00F719CC">
        <w:t xml:space="preserve">upisovatelé uvedený ve </w:t>
      </w:r>
      <w:r>
        <w:t xml:space="preserve">zvláštním </w:t>
      </w:r>
      <w:r w:rsidR="00F719CC">
        <w:t>ujednání v příloze č.</w:t>
      </w:r>
      <w:r>
        <w:t> </w:t>
      </w:r>
      <w:r w:rsidR="00F719CC">
        <w:t>1 pojmem pojistitel – Kooperativa pojišťovna, a.s.</w:t>
      </w:r>
      <w:r w:rsidR="006B6360">
        <w:t xml:space="preserve">, </w:t>
      </w:r>
      <w:proofErr w:type="spellStart"/>
      <w:r w:rsidR="006B6360">
        <w:t>Vienna</w:t>
      </w:r>
      <w:proofErr w:type="spellEnd"/>
      <w:r w:rsidR="006B6360">
        <w:t xml:space="preserve"> </w:t>
      </w:r>
      <w:proofErr w:type="spellStart"/>
      <w:r w:rsidR="006B6360">
        <w:t>Insurance</w:t>
      </w:r>
      <w:proofErr w:type="spellEnd"/>
      <w:r w:rsidR="006B6360">
        <w:t xml:space="preserve"> Group.</w:t>
      </w:r>
    </w:p>
    <w:p w:rsidR="009B22B4" w:rsidRPr="000969FB" w:rsidRDefault="009B22B4" w:rsidP="00631371">
      <w:pPr>
        <w:pStyle w:val="Nadpislnk"/>
      </w:pPr>
      <w:r w:rsidRPr="000969FB">
        <w:t>Článek VI.</w:t>
      </w:r>
      <w:r w:rsidR="00F425A6" w:rsidRPr="000969FB">
        <w:br/>
      </w:r>
      <w:r w:rsidRPr="000969FB">
        <w:t>Prohlášení pojistníka</w:t>
      </w:r>
    </w:p>
    <w:p w:rsidR="009B22B4" w:rsidRPr="000969FB" w:rsidRDefault="009B22B4" w:rsidP="00E41D35">
      <w:pPr>
        <w:pStyle w:val="slovn-rove1-netunb"/>
        <w:numPr>
          <w:ilvl w:val="0"/>
          <w:numId w:val="14"/>
        </w:numPr>
      </w:pPr>
      <w:r w:rsidRPr="000969FB">
        <w:t>Pojistník potvrzuje, že před uzavřením pojistné smlouvy převzal v listinné nebo, s jeho souhlasem, v jiné textové podobě (např. na trvalém nosiči dat) Informace pro zájemce o pojištění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9B22B4" w:rsidRPr="000969FB" w:rsidRDefault="009B22B4" w:rsidP="00E41D35">
      <w:pPr>
        <w:pStyle w:val="slovn-rove1-netunb"/>
        <w:numPr>
          <w:ilvl w:val="0"/>
          <w:numId w:val="14"/>
        </w:numPr>
      </w:pPr>
      <w:r w:rsidRPr="000969FB">
        <w:t>Pojistník potvrzuje, že před uzavřením pojistné smlouvy mu byly oznámeny informace v souladu s ustanovením § 2760 občanského zákoníku.</w:t>
      </w:r>
    </w:p>
    <w:p w:rsidR="009B22B4" w:rsidRPr="000969FB" w:rsidRDefault="009B22B4" w:rsidP="00E41D35">
      <w:pPr>
        <w:pStyle w:val="slovn-rove1-netunb"/>
        <w:numPr>
          <w:ilvl w:val="0"/>
          <w:numId w:val="14"/>
        </w:numPr>
        <w:spacing w:after="0"/>
      </w:pPr>
      <w:r w:rsidRPr="000969FB"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9B22B4" w:rsidRPr="000969FB" w:rsidRDefault="00B77F6A" w:rsidP="00A37F76">
      <w:pPr>
        <w:pStyle w:val="slovn-rove1-netunb"/>
        <w:numPr>
          <w:ilvl w:val="0"/>
          <w:numId w:val="0"/>
        </w:numPr>
        <w:spacing w:before="0"/>
        <w:ind w:left="425"/>
      </w:pPr>
      <w:r w:rsidRPr="000969FB">
        <w:t>Pojistník, je-l</w:t>
      </w:r>
      <w:r w:rsidR="00A37F76" w:rsidRPr="000969FB">
        <w:t>i osobou odlišnou od pojištěných</w:t>
      </w:r>
      <w:r w:rsidRPr="000969FB">
        <w:t xml:space="preserve">, dále potvrzuje, že tyto pojištěné </w:t>
      </w:r>
      <w:r w:rsidR="00A37F76" w:rsidRPr="000969FB">
        <w:t>informoval o rozsahu a účelu zpracování jejich osobních údajů a o právu přístupu k nim podle výše uvedených ustanovení zákona č. 101/2000 Sb. o ochraně osobních údajů.</w:t>
      </w:r>
    </w:p>
    <w:p w:rsidR="009B22B4" w:rsidRPr="000969FB" w:rsidRDefault="009B22B4" w:rsidP="00E41D35">
      <w:pPr>
        <w:pStyle w:val="slovn-rove1-netunb"/>
        <w:numPr>
          <w:ilvl w:val="0"/>
          <w:numId w:val="14"/>
        </w:numPr>
      </w:pPr>
      <w:r w:rsidRPr="000969FB">
        <w:t>Pojistník potvrzuje, že před uzavřením pojistné smlouvy převzal v listinné nebo jiné textové podobě (např. na trvalém nosiči dat)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9B22B4" w:rsidRPr="000969FB" w:rsidRDefault="009B22B4" w:rsidP="00E41D35">
      <w:pPr>
        <w:pStyle w:val="slovn-rove1-netunb"/>
        <w:numPr>
          <w:ilvl w:val="0"/>
          <w:numId w:val="14"/>
        </w:numPr>
      </w:pPr>
      <w:r w:rsidRPr="000969FB">
        <w:t xml:space="preserve">Pojistník potvrzuje, že adresa jeho sídla/bydliště/trvalého pobytu a kontakty elektronické komunikace uvedené v této pojistné smlouvě jsou aktuální, a souhlasí, aby tyto údaje </w:t>
      </w:r>
      <w:r w:rsidR="00A32127" w:rsidRPr="000969FB">
        <w:t>byly v případě jejich rozporu s </w:t>
      </w:r>
      <w:r w:rsidRPr="000969FB">
        <w:t>jinými údaji uvedenými v dříve uzavřených pojistných smlouvách,</w:t>
      </w:r>
      <w:r w:rsidR="00A32127" w:rsidRPr="000969FB">
        <w:t xml:space="preserve"> ve kterých je pojistníkem nebo </w:t>
      </w:r>
      <w:r w:rsidRPr="000969FB">
        <w:t>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9B22B4" w:rsidRPr="000969FB" w:rsidRDefault="009B22B4" w:rsidP="00E41D35">
      <w:pPr>
        <w:pStyle w:val="slovn-rove1-netunb"/>
        <w:numPr>
          <w:ilvl w:val="0"/>
          <w:numId w:val="14"/>
        </w:numPr>
        <w:spacing w:after="0"/>
      </w:pPr>
      <w:r w:rsidRPr="000969FB">
        <w:t xml:space="preserve">Pojistník prohlašuje, že má oprávněnou potřebu ochrany před následky pojistné události (pojistný zájem). </w:t>
      </w:r>
    </w:p>
    <w:p w:rsidR="009B22B4" w:rsidRPr="000969FB" w:rsidRDefault="009B22B4" w:rsidP="007A5F49">
      <w:pPr>
        <w:spacing w:after="120"/>
        <w:ind w:left="426"/>
      </w:pPr>
      <w:r w:rsidRPr="000969FB">
        <w:t>Pojistník, je-li osobou odlišnou od pojištěného, dále prohlašuje, že mu pojištění dali souhlas k pojištění.</w:t>
      </w:r>
    </w:p>
    <w:p w:rsidR="009B22B4" w:rsidRPr="000969FB" w:rsidRDefault="009B22B4" w:rsidP="00E41D35">
      <w:pPr>
        <w:pStyle w:val="slovn-rove1-netunb"/>
        <w:numPr>
          <w:ilvl w:val="0"/>
          <w:numId w:val="14"/>
        </w:numPr>
      </w:pPr>
      <w:r w:rsidRPr="000969FB"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:rsidR="00DA183D" w:rsidRPr="000969FB" w:rsidRDefault="00610815" w:rsidP="00D94BE2">
      <w:pPr>
        <w:pStyle w:val="slovn-rove1-netunb"/>
        <w:numPr>
          <w:ilvl w:val="0"/>
          <w:numId w:val="14"/>
        </w:numPr>
        <w:spacing w:after="0"/>
      </w:pPr>
      <w:r>
        <w:rPr>
          <w:color w:val="000000"/>
        </w:rPr>
        <w:t>Pokud tato pojistná smlouva, resp. dodatek k pojistné smlouvě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</w:t>
      </w:r>
    </w:p>
    <w:p w:rsidR="00610815" w:rsidRDefault="00610815" w:rsidP="00D94BE2">
      <w:pPr>
        <w:spacing w:before="60"/>
        <w:ind w:left="425"/>
      </w:pPr>
      <w:r>
        <w:rPr>
          <w:color w:val="000000"/>
        </w:rPr>
        <w:t>Při vyplnění formuláře pro uveřejnění smlouvy v registru je pojistník povinen vyplnit údaje o pojistiteli (jako smluvní straně), do pole „</w:t>
      </w:r>
      <w:r>
        <w:rPr>
          <w:b/>
          <w:bCs/>
          <w:color w:val="000000"/>
        </w:rPr>
        <w:t>Datová schránka</w:t>
      </w:r>
      <w:r>
        <w:rPr>
          <w:color w:val="000000"/>
        </w:rPr>
        <w:t xml:space="preserve">“ uvést: </w:t>
      </w:r>
      <w:r>
        <w:rPr>
          <w:b/>
          <w:bCs/>
          <w:color w:val="000000"/>
        </w:rPr>
        <w:t>n6tetn3</w:t>
      </w:r>
      <w:r>
        <w:rPr>
          <w:color w:val="000000"/>
        </w:rPr>
        <w:t xml:space="preserve"> a do pole „</w:t>
      </w:r>
      <w:r>
        <w:rPr>
          <w:b/>
          <w:bCs/>
          <w:color w:val="000000"/>
        </w:rPr>
        <w:t>Číslo smlouvy</w:t>
      </w:r>
      <w:r>
        <w:rPr>
          <w:color w:val="000000"/>
        </w:rPr>
        <w:t xml:space="preserve">“ uvést: </w:t>
      </w:r>
      <w:r w:rsidR="001763CF">
        <w:rPr>
          <w:b/>
          <w:color w:val="000000"/>
        </w:rPr>
        <w:t>7721052939.</w:t>
      </w:r>
    </w:p>
    <w:p w:rsidR="00DA183D" w:rsidRPr="00610815" w:rsidRDefault="00610815" w:rsidP="00D94BE2">
      <w:pPr>
        <w:spacing w:before="60"/>
        <w:ind w:left="425"/>
      </w:pPr>
      <w:r w:rsidRPr="00610815">
        <w:rPr>
          <w:color w:val="000000"/>
        </w:rPr>
        <w:lastRenderedPageBreak/>
        <w:t xml:space="preserve">Pojistník se dále zavazuje, že před zasláním smlouvy k uveřejnění zajistí znečitelnění neuveřejnitelných informací (např. osobních údajů o fyzických osobách). </w:t>
      </w:r>
      <w:hyperlink r:id="rId11" w:anchor="_blank" w:tooltip="Neuveřejnitelné údaje_ZRS_20170215.docx" w:history="1">
        <w:r w:rsidRPr="00610815">
          <w:rPr>
            <w:rStyle w:val="Hypertextovodkaz"/>
            <w:color w:val="000000"/>
            <w:u w:val="none"/>
          </w:rPr>
          <w:t xml:space="preserve">Smluvní strany se dohodly, že ode dne nabytí účinnosti smlouvy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:rsidR="009B22B4" w:rsidRPr="000969FB" w:rsidRDefault="009B22B4" w:rsidP="00631371">
      <w:pPr>
        <w:pStyle w:val="Nadpislnk"/>
      </w:pPr>
      <w:r w:rsidRPr="000969FB">
        <w:t>Článek VII.</w:t>
      </w:r>
      <w:r w:rsidR="00F425A6" w:rsidRPr="000969FB">
        <w:br/>
      </w:r>
      <w:r w:rsidRPr="000969FB">
        <w:t>Závěrečná ustanovení</w:t>
      </w:r>
    </w:p>
    <w:p w:rsidR="009B22B4" w:rsidRPr="000969FB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0969FB">
        <w:t xml:space="preserve">Není-li ujednáno jinak, je pojistnou dobou doba od </w:t>
      </w:r>
      <w:r w:rsidR="00451F2F">
        <w:rPr>
          <w:b/>
        </w:rPr>
        <w:t>1. 11. 2017</w:t>
      </w:r>
      <w:r w:rsidRPr="000969FB">
        <w:t xml:space="preserve"> (počátek pojištění) do </w:t>
      </w:r>
      <w:r w:rsidR="00451F2F">
        <w:rPr>
          <w:b/>
        </w:rPr>
        <w:t>31. 10. 2021</w:t>
      </w:r>
      <w:r w:rsidR="00AE6E36" w:rsidRPr="000969FB">
        <w:t xml:space="preserve"> </w:t>
      </w:r>
      <w:r w:rsidRPr="000969FB">
        <w:t>(konec pojištění).</w:t>
      </w:r>
    </w:p>
    <w:p w:rsidR="009B22B4" w:rsidRPr="000969FB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0969FB">
        <w:t>Odpověď pojistníka na návrh pojistitele na uzavření této pojistné smlouvy (dále jen „</w:t>
      </w:r>
      <w:r w:rsidRPr="000969FB">
        <w:rPr>
          <w:b/>
        </w:rPr>
        <w:t>nabídka</w:t>
      </w:r>
      <w:r w:rsidRPr="000969FB">
        <w:t>“) s dodatkem nebo odchylkou od nabídky se nepovažuje za její přijetí, a to ani v případě, že se takovou odchylkou podstatně nemění podmínky nabídky.</w:t>
      </w:r>
    </w:p>
    <w:p w:rsidR="009B22B4" w:rsidRPr="000969FB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0969FB"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:rsidR="009B22B4" w:rsidRPr="000969FB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0969FB">
        <w:t>Subjektem věcně příslušným k mimosoudnímu řešení spotřebitelských sporů z tohoto pojištění je Česká obchodní inspekce, Štěpánská 567/15, 120 00 Praha 2, www.coi.cz.</w:t>
      </w:r>
    </w:p>
    <w:p w:rsidR="009B22B4" w:rsidRPr="000969FB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0969FB">
        <w:t>Pojistník prohlašuje, že uzavřel s pojišťovacím makléřem smlouvu, na jejímž základě pojišťovací makléř vykonává zprostředkovatelskou činnost v pojišťovnictví pro pojistníka, a to v rozsahu této pojistné 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pojištěného, a to doručením pojistiteli.</w:t>
      </w:r>
      <w:bookmarkStart w:id="19" w:name="_Ref489759092"/>
    </w:p>
    <w:p w:rsidR="009B22B4" w:rsidRPr="000969FB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0969FB">
        <w:t>Pojistná smlouva byla vypracována v</w:t>
      </w:r>
      <w:r w:rsidR="000618CA">
        <w:t>e</w:t>
      </w:r>
      <w:r w:rsidR="002B6454">
        <w:t xml:space="preserve"> </w:t>
      </w:r>
      <w:r w:rsidR="000618CA">
        <w:t>čtyřech</w:t>
      </w:r>
      <w:r w:rsidRPr="000969FB">
        <w:t xml:space="preserve"> stejnopisech, pojistník</w:t>
      </w:r>
      <w:r w:rsidR="000618CA">
        <w:t xml:space="preserve"> a </w:t>
      </w:r>
      <w:r w:rsidR="002B6454">
        <w:t xml:space="preserve">pojišťovací makléř </w:t>
      </w:r>
      <w:r w:rsidRPr="000969FB">
        <w:t xml:space="preserve">obdrží </w:t>
      </w:r>
      <w:r w:rsidR="002B6454">
        <w:t>jeden</w:t>
      </w:r>
      <w:r w:rsidR="00A32127" w:rsidRPr="000969FB">
        <w:t xml:space="preserve"> stejnopis</w:t>
      </w:r>
      <w:r w:rsidR="000618CA">
        <w:t xml:space="preserve">, </w:t>
      </w:r>
      <w:r w:rsidR="002B6454">
        <w:t xml:space="preserve">vedoucí </w:t>
      </w:r>
      <w:r w:rsidR="00A32127" w:rsidRPr="000969FB">
        <w:t>pojistitel si </w:t>
      </w:r>
      <w:r w:rsidRPr="000969FB">
        <w:t xml:space="preserve">ponechá </w:t>
      </w:r>
      <w:r w:rsidR="002B6454">
        <w:t>dva</w:t>
      </w:r>
      <w:r w:rsidRPr="000969FB">
        <w:t xml:space="preserve"> stejnopisy</w:t>
      </w:r>
      <w:r w:rsidR="002B6454">
        <w:t>.</w:t>
      </w:r>
    </w:p>
    <w:p w:rsidR="009B22B4" w:rsidRPr="000969FB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0969FB">
        <w:t xml:space="preserve">Tato pojistná smlouva obsahuje </w:t>
      </w:r>
      <w:r w:rsidR="00036AEF">
        <w:fldChar w:fldCharType="begin"/>
      </w:r>
      <w:r w:rsidR="00036AEF">
        <w:instrText xml:space="preserve"> NUMPAGES   \* MERGEFORMAT </w:instrText>
      </w:r>
      <w:r w:rsidR="00036AEF">
        <w:fldChar w:fldCharType="separate"/>
      </w:r>
      <w:r w:rsidR="00AD77D4">
        <w:rPr>
          <w:noProof/>
        </w:rPr>
        <w:t>11</w:t>
      </w:r>
      <w:r w:rsidR="00036AEF">
        <w:rPr>
          <w:noProof/>
        </w:rPr>
        <w:fldChar w:fldCharType="end"/>
      </w:r>
      <w:r w:rsidRPr="000969FB">
        <w:t xml:space="preserve"> stran a příloh</w:t>
      </w:r>
      <w:bookmarkEnd w:id="19"/>
      <w:r w:rsidR="00E822DA">
        <w:t>y</w:t>
      </w:r>
      <w:r w:rsidR="00D86C0B">
        <w:t xml:space="preserve"> č. 1</w:t>
      </w:r>
      <w:r w:rsidR="00E822DA">
        <w:t xml:space="preserve"> a 2</w:t>
      </w:r>
      <w:r w:rsidRPr="000969FB">
        <w:t>. Její součástí jsou pojistné podmínky pojistitele uvedené v čl. I. této pojistné smlouvy a dokument Informace pro zájemce o pojištění. V případě, že je jakékoli ustanovení uvedené v Informacích pro zájemce o pojištění v rozporu s ustanovením pojistné smlouvy, má přednost příslušné ustanovení pojistné smlouvy.</w:t>
      </w:r>
    </w:p>
    <w:p w:rsidR="009B22B4" w:rsidRPr="000969FB" w:rsidRDefault="009B22B4" w:rsidP="008F602E">
      <w:pPr>
        <w:spacing w:before="240"/>
      </w:pPr>
      <w:r w:rsidRPr="000969FB">
        <w:t>Výčet příloh:</w:t>
      </w:r>
      <w:r w:rsidRPr="000969FB">
        <w:tab/>
      </w:r>
    </w:p>
    <w:p w:rsidR="00E822DA" w:rsidRPr="00385F1C" w:rsidRDefault="00E822DA" w:rsidP="00E822DA">
      <w:pPr>
        <w:rPr>
          <w:i/>
        </w:rPr>
      </w:pPr>
      <w:r w:rsidRPr="000969FB">
        <w:t xml:space="preserve">příloha č. 1 </w:t>
      </w:r>
      <w:r>
        <w:t>–</w:t>
      </w:r>
      <w:r w:rsidRPr="000969FB">
        <w:t xml:space="preserve"> </w:t>
      </w:r>
      <w:r w:rsidR="00DD2855" w:rsidRPr="00DD2855">
        <w:rPr>
          <w:i/>
        </w:rPr>
        <w:t xml:space="preserve">Zvláštní </w:t>
      </w:r>
      <w:r>
        <w:rPr>
          <w:i/>
        </w:rPr>
        <w:t>ujednání – Pojištění terorismu a sabotáže</w:t>
      </w:r>
    </w:p>
    <w:p w:rsidR="009B22B4" w:rsidRPr="00385F1C" w:rsidRDefault="009B22B4" w:rsidP="00E41D35">
      <w:pPr>
        <w:rPr>
          <w:i/>
        </w:rPr>
      </w:pPr>
      <w:r w:rsidRPr="000969FB">
        <w:t xml:space="preserve">příloha č. </w:t>
      </w:r>
      <w:r w:rsidR="00E822DA">
        <w:t>2</w:t>
      </w:r>
      <w:r w:rsidRPr="000969FB">
        <w:t xml:space="preserve"> </w:t>
      </w:r>
      <w:r w:rsidR="00385F1C">
        <w:t>–</w:t>
      </w:r>
      <w:r w:rsidRPr="000969FB">
        <w:t xml:space="preserve"> </w:t>
      </w:r>
      <w:r w:rsidR="00385F1C">
        <w:rPr>
          <w:i/>
        </w:rPr>
        <w:t>Smluvní ujednání MARSH, s.r.o.</w:t>
      </w:r>
    </w:p>
    <w:p w:rsidR="008F602E" w:rsidRPr="000969FB" w:rsidRDefault="009B22B4" w:rsidP="005D2280">
      <w:pPr>
        <w:keepNext/>
        <w:keepLines/>
        <w:tabs>
          <w:tab w:val="left" w:pos="2694"/>
          <w:tab w:val="right" w:leader="dot" w:pos="5245"/>
          <w:tab w:val="left" w:pos="6946"/>
          <w:tab w:val="right" w:leader="dot" w:pos="9214"/>
        </w:tabs>
        <w:spacing w:before="1080"/>
      </w:pPr>
      <w:r w:rsidRPr="000969FB">
        <w:t>V</w:t>
      </w:r>
      <w:r w:rsidR="00451F2F">
        <w:t xml:space="preserve"> Praze </w:t>
      </w:r>
      <w:r w:rsidRPr="000969FB">
        <w:t xml:space="preserve">dne </w:t>
      </w:r>
      <w:r w:rsidR="00945F22">
        <w:t>4</w:t>
      </w:r>
      <w:r w:rsidR="008C1624">
        <w:t xml:space="preserve">. </w:t>
      </w:r>
      <w:r w:rsidR="00945F22">
        <w:t>10</w:t>
      </w:r>
      <w:r w:rsidR="008C1624">
        <w:t>. 2017</w:t>
      </w:r>
      <w:r w:rsidR="008F602E" w:rsidRPr="000969FB">
        <w:tab/>
      </w:r>
      <w:r w:rsidR="008F602E" w:rsidRPr="000969FB">
        <w:tab/>
      </w:r>
      <w:r w:rsidR="008F602E" w:rsidRPr="000969FB">
        <w:tab/>
      </w:r>
      <w:r w:rsidR="008F602E" w:rsidRPr="000969FB">
        <w:tab/>
      </w:r>
    </w:p>
    <w:p w:rsidR="009B22B4" w:rsidRDefault="009B22B4" w:rsidP="002B6454">
      <w:pPr>
        <w:keepNext/>
        <w:keepLines/>
        <w:tabs>
          <w:tab w:val="center" w:pos="3969"/>
          <w:tab w:val="center" w:pos="8080"/>
        </w:tabs>
      </w:pPr>
      <w:r w:rsidRPr="000969FB">
        <w:tab/>
      </w:r>
      <w:r w:rsidR="00AE184F" w:rsidRPr="00AE184F">
        <w:t>XXXXXXX</w:t>
      </w:r>
      <w:r w:rsidRPr="000969FB">
        <w:tab/>
      </w:r>
      <w:proofErr w:type="spellStart"/>
      <w:r w:rsidR="00AE184F" w:rsidRPr="00AE184F">
        <w:t>XXXXXXX</w:t>
      </w:r>
      <w:proofErr w:type="spellEnd"/>
    </w:p>
    <w:p w:rsidR="008C1624" w:rsidRDefault="008C1624" w:rsidP="008F602E">
      <w:pPr>
        <w:keepNext/>
        <w:keepLines/>
        <w:tabs>
          <w:tab w:val="center" w:pos="4820"/>
          <w:tab w:val="center" w:pos="7938"/>
        </w:tabs>
        <w:spacing w:after="720"/>
      </w:pPr>
      <w:bookmarkStart w:id="20" w:name="_GoBack"/>
      <w:bookmarkEnd w:id="20"/>
    </w:p>
    <w:p w:rsidR="00714307" w:rsidRPr="000969FB" w:rsidRDefault="00714307" w:rsidP="008F602E">
      <w:pPr>
        <w:keepNext/>
        <w:keepLines/>
        <w:tabs>
          <w:tab w:val="center" w:pos="4820"/>
          <w:tab w:val="center" w:pos="7938"/>
        </w:tabs>
        <w:spacing w:after="720"/>
      </w:pPr>
    </w:p>
    <w:p w:rsidR="008F602E" w:rsidRPr="000969FB" w:rsidRDefault="008F602E" w:rsidP="008F602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spacing w:before="720"/>
      </w:pPr>
      <w:r w:rsidRPr="000969FB">
        <w:t xml:space="preserve">V </w:t>
      </w:r>
      <w:r w:rsidR="00451F2F">
        <w:t>Praze</w:t>
      </w:r>
      <w:r w:rsidRPr="000969FB">
        <w:t xml:space="preserve"> </w:t>
      </w:r>
      <w:proofErr w:type="gramStart"/>
      <w:r w:rsidRPr="000969FB">
        <w:t>dne ............................</w:t>
      </w:r>
      <w:proofErr w:type="gramEnd"/>
      <w:r w:rsidRPr="000969FB">
        <w:tab/>
      </w:r>
      <w:r w:rsidRPr="000969FB">
        <w:tab/>
      </w:r>
    </w:p>
    <w:p w:rsidR="009B22B4" w:rsidRPr="000969FB" w:rsidRDefault="008F602E" w:rsidP="00DF62A5">
      <w:pPr>
        <w:keepLines/>
        <w:tabs>
          <w:tab w:val="center" w:pos="4820"/>
          <w:tab w:val="center" w:pos="7938"/>
        </w:tabs>
        <w:spacing w:after="240"/>
      </w:pPr>
      <w:r w:rsidRPr="000969FB">
        <w:tab/>
      </w:r>
      <w:r w:rsidR="009B22B4" w:rsidRPr="000969FB">
        <w:t>za pojistníka</w:t>
      </w:r>
    </w:p>
    <w:sectPr w:rsidR="009B22B4" w:rsidRPr="000969FB" w:rsidSect="00CD617F">
      <w:headerReference w:type="default" r:id="rId12"/>
      <w:footerReference w:type="default" r:id="rId13"/>
      <w:pgSz w:w="11906" w:h="16838" w:code="9"/>
      <w:pgMar w:top="1135" w:right="1134" w:bottom="1276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EF" w:rsidRDefault="00036AEF" w:rsidP="00FF471C">
      <w:r>
        <w:separator/>
      </w:r>
    </w:p>
  </w:endnote>
  <w:endnote w:type="continuationSeparator" w:id="0">
    <w:p w:rsidR="00036AEF" w:rsidRDefault="00036AEF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A1" w:rsidRPr="00877EFF" w:rsidRDefault="00353AA1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EF" w:rsidRDefault="00036AEF" w:rsidP="00FF471C">
      <w:r>
        <w:separator/>
      </w:r>
    </w:p>
  </w:footnote>
  <w:footnote w:type="continuationSeparator" w:id="0">
    <w:p w:rsidR="00036AEF" w:rsidRDefault="00036AEF" w:rsidP="00FF4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A1" w:rsidRDefault="00353AA1">
    <w:pPr>
      <w:pStyle w:val="Zhlav"/>
      <w:jc w:val="right"/>
    </w:pPr>
    <w:r>
      <w:t xml:space="preserve">Stránka </w:t>
    </w:r>
    <w:sdt>
      <w:sdtPr>
        <w:id w:val="-142295124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E184F">
          <w:rPr>
            <w:noProof/>
          </w:rPr>
          <w:t>10</w:t>
        </w:r>
        <w:r>
          <w:fldChar w:fldCharType="end"/>
        </w:r>
      </w:sdtContent>
    </w:sdt>
  </w:p>
  <w:p w:rsidR="00353AA1" w:rsidRPr="00CD617F" w:rsidRDefault="00353AA1">
    <w:pPr>
      <w:pStyle w:val="Zhlav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713111"/>
    <w:multiLevelType w:val="hybridMultilevel"/>
    <w:tmpl w:val="C412A038"/>
    <w:lvl w:ilvl="0" w:tplc="1D582CFA">
      <w:start w:val="150"/>
      <w:numFmt w:val="bullet"/>
      <w:lvlText w:val="-"/>
      <w:lvlJc w:val="left"/>
      <w:pPr>
        <w:ind w:left="720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77709"/>
    <w:multiLevelType w:val="multilevel"/>
    <w:tmpl w:val="126639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44B4D"/>
    <w:multiLevelType w:val="hybridMultilevel"/>
    <w:tmpl w:val="11B4637A"/>
    <w:lvl w:ilvl="0" w:tplc="A3CE8B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8B10DD"/>
    <w:multiLevelType w:val="hybridMultilevel"/>
    <w:tmpl w:val="9A8A2BF6"/>
    <w:lvl w:ilvl="0" w:tplc="2496D1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395E9E"/>
    <w:multiLevelType w:val="multilevel"/>
    <w:tmpl w:val="03F2AD42"/>
    <w:lvl w:ilvl="0">
      <w:start w:val="1"/>
      <w:numFmt w:val="decimal"/>
      <w:lvlText w:val="2.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3343881"/>
    <w:multiLevelType w:val="hybridMultilevel"/>
    <w:tmpl w:val="3BAEF3A0"/>
    <w:lvl w:ilvl="0" w:tplc="DADEF5A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A06A91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58D06FA3"/>
    <w:multiLevelType w:val="hybridMultilevel"/>
    <w:tmpl w:val="7716E7BE"/>
    <w:lvl w:ilvl="0" w:tplc="6EAAEA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239620B"/>
    <w:multiLevelType w:val="multilevel"/>
    <w:tmpl w:val="2F5402A4"/>
    <w:lvl w:ilvl="0">
      <w:start w:val="1"/>
      <w:numFmt w:val="decimal"/>
      <w:lvlText w:val="3.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0">
    <w:nsid w:val="6824051B"/>
    <w:multiLevelType w:val="hybridMultilevel"/>
    <w:tmpl w:val="BD44729E"/>
    <w:lvl w:ilvl="0" w:tplc="BE0A354A">
      <w:start w:val="24"/>
      <w:numFmt w:val="bullet"/>
      <w:lvlText w:val="-"/>
      <w:lvlJc w:val="left"/>
      <w:pPr>
        <w:ind w:left="720" w:hanging="360"/>
      </w:pPr>
      <w:rPr>
        <w:rFonts w:ascii="Koop Office" w:eastAsia="Times New Roman" w:hAnsi="Koop Offic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C02755"/>
    <w:multiLevelType w:val="hybridMultilevel"/>
    <w:tmpl w:val="3F2C0310"/>
    <w:lvl w:ilvl="0" w:tplc="6ED0A9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992151"/>
    <w:multiLevelType w:val="hybridMultilevel"/>
    <w:tmpl w:val="446C64A0"/>
    <w:lvl w:ilvl="0" w:tplc="A552D6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0"/>
  </w:num>
  <w:num w:numId="4">
    <w:abstractNumId w:val="13"/>
  </w:num>
  <w:num w:numId="5">
    <w:abstractNumId w:val="18"/>
  </w:num>
  <w:num w:numId="6">
    <w:abstractNumId w:val="18"/>
  </w:num>
  <w:num w:numId="7">
    <w:abstractNumId w:val="9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"/>
  </w:num>
  <w:num w:numId="26">
    <w:abstractNumId w:val="14"/>
  </w:num>
  <w:num w:numId="27">
    <w:abstractNumId w:val="16"/>
  </w:num>
  <w:num w:numId="28">
    <w:abstractNumId w:val="1"/>
  </w:num>
  <w:num w:numId="29">
    <w:abstractNumId w:val="17"/>
  </w:num>
  <w:num w:numId="30">
    <w:abstractNumId w:val="2"/>
  </w:num>
  <w:num w:numId="31">
    <w:abstractNumId w:val="11"/>
  </w:num>
  <w:num w:numId="32">
    <w:abstractNumId w:val="20"/>
  </w:num>
  <w:num w:numId="33">
    <w:abstractNumId w:val="4"/>
  </w:num>
  <w:num w:numId="34">
    <w:abstractNumId w:val="15"/>
  </w:num>
  <w:num w:numId="35">
    <w:abstractNumId w:val="6"/>
  </w:num>
  <w:num w:numId="36">
    <w:abstractNumId w:val="21"/>
  </w:num>
  <w:num w:numId="37">
    <w:abstractNumId w:val="7"/>
  </w:num>
  <w:num w:numId="38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B4"/>
    <w:rsid w:val="00000829"/>
    <w:rsid w:val="00000DF1"/>
    <w:rsid w:val="00007AA8"/>
    <w:rsid w:val="00007CE7"/>
    <w:rsid w:val="00012E40"/>
    <w:rsid w:val="0001462A"/>
    <w:rsid w:val="00015030"/>
    <w:rsid w:val="000214B8"/>
    <w:rsid w:val="000220ED"/>
    <w:rsid w:val="00024476"/>
    <w:rsid w:val="00032BB8"/>
    <w:rsid w:val="00036AEF"/>
    <w:rsid w:val="000400E7"/>
    <w:rsid w:val="00044839"/>
    <w:rsid w:val="000476E6"/>
    <w:rsid w:val="000505F9"/>
    <w:rsid w:val="000508EE"/>
    <w:rsid w:val="00050F2F"/>
    <w:rsid w:val="000512D2"/>
    <w:rsid w:val="00053062"/>
    <w:rsid w:val="000618CA"/>
    <w:rsid w:val="00066D92"/>
    <w:rsid w:val="00070CE3"/>
    <w:rsid w:val="000723D1"/>
    <w:rsid w:val="0007248A"/>
    <w:rsid w:val="00073CF2"/>
    <w:rsid w:val="00080CF5"/>
    <w:rsid w:val="000824F1"/>
    <w:rsid w:val="00087A45"/>
    <w:rsid w:val="00090CCF"/>
    <w:rsid w:val="00093452"/>
    <w:rsid w:val="000969FB"/>
    <w:rsid w:val="00096C8B"/>
    <w:rsid w:val="00097838"/>
    <w:rsid w:val="000A0408"/>
    <w:rsid w:val="000A38DB"/>
    <w:rsid w:val="000A4067"/>
    <w:rsid w:val="000A73AE"/>
    <w:rsid w:val="000B3B40"/>
    <w:rsid w:val="000C7550"/>
    <w:rsid w:val="000D0067"/>
    <w:rsid w:val="000D0856"/>
    <w:rsid w:val="000D2A28"/>
    <w:rsid w:val="000F3A50"/>
    <w:rsid w:val="000F4CDE"/>
    <w:rsid w:val="000F650D"/>
    <w:rsid w:val="00101FEA"/>
    <w:rsid w:val="00107106"/>
    <w:rsid w:val="0011033A"/>
    <w:rsid w:val="001160C6"/>
    <w:rsid w:val="00117B8C"/>
    <w:rsid w:val="00122398"/>
    <w:rsid w:val="00125813"/>
    <w:rsid w:val="00133663"/>
    <w:rsid w:val="00135CAC"/>
    <w:rsid w:val="00141535"/>
    <w:rsid w:val="00142897"/>
    <w:rsid w:val="00142CDD"/>
    <w:rsid w:val="00150363"/>
    <w:rsid w:val="00156F32"/>
    <w:rsid w:val="001600C3"/>
    <w:rsid w:val="00162CA8"/>
    <w:rsid w:val="00167461"/>
    <w:rsid w:val="00172D9A"/>
    <w:rsid w:val="001763CF"/>
    <w:rsid w:val="0018046F"/>
    <w:rsid w:val="001829F0"/>
    <w:rsid w:val="00183C97"/>
    <w:rsid w:val="00184E09"/>
    <w:rsid w:val="00186B3D"/>
    <w:rsid w:val="001922CC"/>
    <w:rsid w:val="00193697"/>
    <w:rsid w:val="001A45D7"/>
    <w:rsid w:val="001A4D06"/>
    <w:rsid w:val="001B0445"/>
    <w:rsid w:val="001B170A"/>
    <w:rsid w:val="001B6506"/>
    <w:rsid w:val="001C2AD6"/>
    <w:rsid w:val="001C517F"/>
    <w:rsid w:val="001D5138"/>
    <w:rsid w:val="001D5B57"/>
    <w:rsid w:val="001E4EDF"/>
    <w:rsid w:val="001E6722"/>
    <w:rsid w:val="001F2AA2"/>
    <w:rsid w:val="001F64D0"/>
    <w:rsid w:val="001F7BD6"/>
    <w:rsid w:val="00201F0D"/>
    <w:rsid w:val="00204E38"/>
    <w:rsid w:val="002155DD"/>
    <w:rsid w:val="002247BA"/>
    <w:rsid w:val="00225FDC"/>
    <w:rsid w:val="002267E8"/>
    <w:rsid w:val="0023465B"/>
    <w:rsid w:val="002361D4"/>
    <w:rsid w:val="0024467F"/>
    <w:rsid w:val="002465EE"/>
    <w:rsid w:val="00254175"/>
    <w:rsid w:val="00255904"/>
    <w:rsid w:val="002670F5"/>
    <w:rsid w:val="0027036F"/>
    <w:rsid w:val="00277386"/>
    <w:rsid w:val="00280823"/>
    <w:rsid w:val="00287F7C"/>
    <w:rsid w:val="002928E0"/>
    <w:rsid w:val="00292C60"/>
    <w:rsid w:val="00294BD2"/>
    <w:rsid w:val="002A12A2"/>
    <w:rsid w:val="002A256B"/>
    <w:rsid w:val="002A47C0"/>
    <w:rsid w:val="002A5A97"/>
    <w:rsid w:val="002B1888"/>
    <w:rsid w:val="002B4055"/>
    <w:rsid w:val="002B4072"/>
    <w:rsid w:val="002B6454"/>
    <w:rsid w:val="002C7D2F"/>
    <w:rsid w:val="002D2C34"/>
    <w:rsid w:val="002D4849"/>
    <w:rsid w:val="002D6EF7"/>
    <w:rsid w:val="002E36D1"/>
    <w:rsid w:val="002E6859"/>
    <w:rsid w:val="002E752C"/>
    <w:rsid w:val="002F2C04"/>
    <w:rsid w:val="002F668C"/>
    <w:rsid w:val="0030285D"/>
    <w:rsid w:val="00304A0D"/>
    <w:rsid w:val="003054D6"/>
    <w:rsid w:val="0030644A"/>
    <w:rsid w:val="00306EE4"/>
    <w:rsid w:val="00307784"/>
    <w:rsid w:val="003123BF"/>
    <w:rsid w:val="00313AA3"/>
    <w:rsid w:val="003147E4"/>
    <w:rsid w:val="00314AC7"/>
    <w:rsid w:val="003206F6"/>
    <w:rsid w:val="003213ED"/>
    <w:rsid w:val="0032643A"/>
    <w:rsid w:val="003269E6"/>
    <w:rsid w:val="003302A4"/>
    <w:rsid w:val="00330BA5"/>
    <w:rsid w:val="0033271D"/>
    <w:rsid w:val="00336F1D"/>
    <w:rsid w:val="00340030"/>
    <w:rsid w:val="00340CD6"/>
    <w:rsid w:val="00343E2D"/>
    <w:rsid w:val="00344538"/>
    <w:rsid w:val="00346255"/>
    <w:rsid w:val="00346AB2"/>
    <w:rsid w:val="00353AA1"/>
    <w:rsid w:val="00354B2A"/>
    <w:rsid w:val="00355DEC"/>
    <w:rsid w:val="00371F82"/>
    <w:rsid w:val="00373B1B"/>
    <w:rsid w:val="00375986"/>
    <w:rsid w:val="00385F1C"/>
    <w:rsid w:val="003925B1"/>
    <w:rsid w:val="003933D3"/>
    <w:rsid w:val="00394018"/>
    <w:rsid w:val="00394D0C"/>
    <w:rsid w:val="00395194"/>
    <w:rsid w:val="003970EF"/>
    <w:rsid w:val="00397F8A"/>
    <w:rsid w:val="003A680A"/>
    <w:rsid w:val="003B0339"/>
    <w:rsid w:val="003C0442"/>
    <w:rsid w:val="003C14BC"/>
    <w:rsid w:val="003C4C9E"/>
    <w:rsid w:val="003D1AF4"/>
    <w:rsid w:val="003E0CF5"/>
    <w:rsid w:val="003E5536"/>
    <w:rsid w:val="003E7853"/>
    <w:rsid w:val="003E7EB8"/>
    <w:rsid w:val="003F4AF7"/>
    <w:rsid w:val="004062B5"/>
    <w:rsid w:val="00412BD5"/>
    <w:rsid w:val="00413E27"/>
    <w:rsid w:val="0041475F"/>
    <w:rsid w:val="00414B37"/>
    <w:rsid w:val="00422C74"/>
    <w:rsid w:val="00423DEC"/>
    <w:rsid w:val="00425AA6"/>
    <w:rsid w:val="00426193"/>
    <w:rsid w:val="004277BA"/>
    <w:rsid w:val="0043372E"/>
    <w:rsid w:val="00445D99"/>
    <w:rsid w:val="00451F2F"/>
    <w:rsid w:val="00456A83"/>
    <w:rsid w:val="004618B2"/>
    <w:rsid w:val="00464D1B"/>
    <w:rsid w:val="004658D7"/>
    <w:rsid w:val="00473347"/>
    <w:rsid w:val="00473878"/>
    <w:rsid w:val="004768DA"/>
    <w:rsid w:val="00476C08"/>
    <w:rsid w:val="004822F6"/>
    <w:rsid w:val="0048272F"/>
    <w:rsid w:val="00486022"/>
    <w:rsid w:val="004903F5"/>
    <w:rsid w:val="004944B7"/>
    <w:rsid w:val="00496C95"/>
    <w:rsid w:val="004A10B2"/>
    <w:rsid w:val="004A223A"/>
    <w:rsid w:val="004A2932"/>
    <w:rsid w:val="004B2794"/>
    <w:rsid w:val="004B34C1"/>
    <w:rsid w:val="004B4DC7"/>
    <w:rsid w:val="004B647F"/>
    <w:rsid w:val="004B6F18"/>
    <w:rsid w:val="004B7118"/>
    <w:rsid w:val="004D2453"/>
    <w:rsid w:val="004D7CDC"/>
    <w:rsid w:val="004F17EE"/>
    <w:rsid w:val="004F1E5C"/>
    <w:rsid w:val="00511C6E"/>
    <w:rsid w:val="005141DD"/>
    <w:rsid w:val="00516565"/>
    <w:rsid w:val="00521E2A"/>
    <w:rsid w:val="00521E53"/>
    <w:rsid w:val="005229B9"/>
    <w:rsid w:val="005331F0"/>
    <w:rsid w:val="00533A94"/>
    <w:rsid w:val="0053514D"/>
    <w:rsid w:val="00541E4F"/>
    <w:rsid w:val="00542FE9"/>
    <w:rsid w:val="005547AD"/>
    <w:rsid w:val="0055766F"/>
    <w:rsid w:val="00561D4F"/>
    <w:rsid w:val="00562759"/>
    <w:rsid w:val="00564B1C"/>
    <w:rsid w:val="00566FAD"/>
    <w:rsid w:val="005721C6"/>
    <w:rsid w:val="0057758A"/>
    <w:rsid w:val="00577730"/>
    <w:rsid w:val="0058331E"/>
    <w:rsid w:val="0058517B"/>
    <w:rsid w:val="0058612C"/>
    <w:rsid w:val="00590C73"/>
    <w:rsid w:val="0059142D"/>
    <w:rsid w:val="005B15BF"/>
    <w:rsid w:val="005B4B6A"/>
    <w:rsid w:val="005B61DF"/>
    <w:rsid w:val="005C000C"/>
    <w:rsid w:val="005C019A"/>
    <w:rsid w:val="005C42B5"/>
    <w:rsid w:val="005C6173"/>
    <w:rsid w:val="005D05B5"/>
    <w:rsid w:val="005D2280"/>
    <w:rsid w:val="005D6A62"/>
    <w:rsid w:val="005E0C81"/>
    <w:rsid w:val="005E6D93"/>
    <w:rsid w:val="005F3154"/>
    <w:rsid w:val="00602109"/>
    <w:rsid w:val="00610815"/>
    <w:rsid w:val="006146A2"/>
    <w:rsid w:val="00616482"/>
    <w:rsid w:val="00623E58"/>
    <w:rsid w:val="00631371"/>
    <w:rsid w:val="0063247E"/>
    <w:rsid w:val="006352F6"/>
    <w:rsid w:val="006367EA"/>
    <w:rsid w:val="00640B01"/>
    <w:rsid w:val="006443B3"/>
    <w:rsid w:val="00647D3A"/>
    <w:rsid w:val="006514D4"/>
    <w:rsid w:val="00653B6A"/>
    <w:rsid w:val="006543D2"/>
    <w:rsid w:val="006600BE"/>
    <w:rsid w:val="006718E4"/>
    <w:rsid w:val="00674013"/>
    <w:rsid w:val="00681118"/>
    <w:rsid w:val="006851D7"/>
    <w:rsid w:val="0069207B"/>
    <w:rsid w:val="00692D51"/>
    <w:rsid w:val="00694E7B"/>
    <w:rsid w:val="006957C3"/>
    <w:rsid w:val="00695BCE"/>
    <w:rsid w:val="00697228"/>
    <w:rsid w:val="006A0307"/>
    <w:rsid w:val="006A3D39"/>
    <w:rsid w:val="006A531B"/>
    <w:rsid w:val="006B453D"/>
    <w:rsid w:val="006B487D"/>
    <w:rsid w:val="006B6360"/>
    <w:rsid w:val="006D0475"/>
    <w:rsid w:val="006D3D06"/>
    <w:rsid w:val="006D70FC"/>
    <w:rsid w:val="006E12DD"/>
    <w:rsid w:val="006E5684"/>
    <w:rsid w:val="00705D2B"/>
    <w:rsid w:val="007073E5"/>
    <w:rsid w:val="00711945"/>
    <w:rsid w:val="00714307"/>
    <w:rsid w:val="007222D4"/>
    <w:rsid w:val="0072347C"/>
    <w:rsid w:val="007270A8"/>
    <w:rsid w:val="0073198C"/>
    <w:rsid w:val="007322C2"/>
    <w:rsid w:val="0073684F"/>
    <w:rsid w:val="00741740"/>
    <w:rsid w:val="00741785"/>
    <w:rsid w:val="00741A8E"/>
    <w:rsid w:val="00746BC8"/>
    <w:rsid w:val="00757668"/>
    <w:rsid w:val="00765000"/>
    <w:rsid w:val="007732A6"/>
    <w:rsid w:val="00773E80"/>
    <w:rsid w:val="00773EB9"/>
    <w:rsid w:val="00775B6B"/>
    <w:rsid w:val="0077726A"/>
    <w:rsid w:val="00781027"/>
    <w:rsid w:val="00782181"/>
    <w:rsid w:val="007861A3"/>
    <w:rsid w:val="00794C61"/>
    <w:rsid w:val="007A457F"/>
    <w:rsid w:val="007A5F49"/>
    <w:rsid w:val="007A661E"/>
    <w:rsid w:val="007B09F5"/>
    <w:rsid w:val="007B16FC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59DD"/>
    <w:rsid w:val="007F61A6"/>
    <w:rsid w:val="007F6574"/>
    <w:rsid w:val="00800634"/>
    <w:rsid w:val="00800BE6"/>
    <w:rsid w:val="00801660"/>
    <w:rsid w:val="00801F78"/>
    <w:rsid w:val="008066EF"/>
    <w:rsid w:val="00807DB0"/>
    <w:rsid w:val="00810BC5"/>
    <w:rsid w:val="008119AB"/>
    <w:rsid w:val="00811A7F"/>
    <w:rsid w:val="00812950"/>
    <w:rsid w:val="00814F62"/>
    <w:rsid w:val="0081635B"/>
    <w:rsid w:val="00820AB4"/>
    <w:rsid w:val="00822B14"/>
    <w:rsid w:val="00832DDD"/>
    <w:rsid w:val="0083612F"/>
    <w:rsid w:val="0083635A"/>
    <w:rsid w:val="008414DA"/>
    <w:rsid w:val="0084603E"/>
    <w:rsid w:val="00852EA0"/>
    <w:rsid w:val="00861AAB"/>
    <w:rsid w:val="00862700"/>
    <w:rsid w:val="00873C2F"/>
    <w:rsid w:val="0087405A"/>
    <w:rsid w:val="008838AB"/>
    <w:rsid w:val="008838CD"/>
    <w:rsid w:val="00884A35"/>
    <w:rsid w:val="00886F29"/>
    <w:rsid w:val="00890ED9"/>
    <w:rsid w:val="008A2DAA"/>
    <w:rsid w:val="008A33FB"/>
    <w:rsid w:val="008B3DBA"/>
    <w:rsid w:val="008B5DA2"/>
    <w:rsid w:val="008B7028"/>
    <w:rsid w:val="008C004D"/>
    <w:rsid w:val="008C1624"/>
    <w:rsid w:val="008C1DD9"/>
    <w:rsid w:val="008C2074"/>
    <w:rsid w:val="008C2488"/>
    <w:rsid w:val="008C34A6"/>
    <w:rsid w:val="008D1245"/>
    <w:rsid w:val="008D4BCE"/>
    <w:rsid w:val="008D4E43"/>
    <w:rsid w:val="008E0983"/>
    <w:rsid w:val="008E402D"/>
    <w:rsid w:val="008E5597"/>
    <w:rsid w:val="008E6F86"/>
    <w:rsid w:val="008F010C"/>
    <w:rsid w:val="008F5003"/>
    <w:rsid w:val="008F5A8E"/>
    <w:rsid w:val="008F5AF9"/>
    <w:rsid w:val="008F602E"/>
    <w:rsid w:val="008F77D1"/>
    <w:rsid w:val="00902081"/>
    <w:rsid w:val="00910D56"/>
    <w:rsid w:val="00912A8F"/>
    <w:rsid w:val="00914BEE"/>
    <w:rsid w:val="00916676"/>
    <w:rsid w:val="00920622"/>
    <w:rsid w:val="00923C73"/>
    <w:rsid w:val="00925605"/>
    <w:rsid w:val="00927C7B"/>
    <w:rsid w:val="00936528"/>
    <w:rsid w:val="0094214D"/>
    <w:rsid w:val="009421A5"/>
    <w:rsid w:val="0094395E"/>
    <w:rsid w:val="00945F22"/>
    <w:rsid w:val="009470A2"/>
    <w:rsid w:val="009501FE"/>
    <w:rsid w:val="0095132D"/>
    <w:rsid w:val="00951F46"/>
    <w:rsid w:val="0095418B"/>
    <w:rsid w:val="009544C3"/>
    <w:rsid w:val="009765F1"/>
    <w:rsid w:val="00981556"/>
    <w:rsid w:val="009837B9"/>
    <w:rsid w:val="00984450"/>
    <w:rsid w:val="00986E73"/>
    <w:rsid w:val="00992571"/>
    <w:rsid w:val="00993C94"/>
    <w:rsid w:val="0099627C"/>
    <w:rsid w:val="009966F7"/>
    <w:rsid w:val="009A1676"/>
    <w:rsid w:val="009A680F"/>
    <w:rsid w:val="009B05C4"/>
    <w:rsid w:val="009B22B4"/>
    <w:rsid w:val="009B6D91"/>
    <w:rsid w:val="009B710D"/>
    <w:rsid w:val="009B7E07"/>
    <w:rsid w:val="009C0F40"/>
    <w:rsid w:val="009D07E4"/>
    <w:rsid w:val="009D3FA8"/>
    <w:rsid w:val="009E2EBA"/>
    <w:rsid w:val="009E3A15"/>
    <w:rsid w:val="009E4D9D"/>
    <w:rsid w:val="009F5BAA"/>
    <w:rsid w:val="009F7805"/>
    <w:rsid w:val="00A0073E"/>
    <w:rsid w:val="00A06F56"/>
    <w:rsid w:val="00A1079E"/>
    <w:rsid w:val="00A10FA1"/>
    <w:rsid w:val="00A13C43"/>
    <w:rsid w:val="00A1790F"/>
    <w:rsid w:val="00A32127"/>
    <w:rsid w:val="00A37F76"/>
    <w:rsid w:val="00A50107"/>
    <w:rsid w:val="00A55AB8"/>
    <w:rsid w:val="00A654E4"/>
    <w:rsid w:val="00A705B4"/>
    <w:rsid w:val="00A7212E"/>
    <w:rsid w:val="00A73413"/>
    <w:rsid w:val="00A74E6A"/>
    <w:rsid w:val="00A779BE"/>
    <w:rsid w:val="00A83AE3"/>
    <w:rsid w:val="00A90139"/>
    <w:rsid w:val="00A9134D"/>
    <w:rsid w:val="00A9650D"/>
    <w:rsid w:val="00AA737A"/>
    <w:rsid w:val="00AB10E8"/>
    <w:rsid w:val="00AB1243"/>
    <w:rsid w:val="00AD270B"/>
    <w:rsid w:val="00AD77D4"/>
    <w:rsid w:val="00AE184F"/>
    <w:rsid w:val="00AE6E36"/>
    <w:rsid w:val="00AE7B11"/>
    <w:rsid w:val="00AF14FA"/>
    <w:rsid w:val="00AF5EDE"/>
    <w:rsid w:val="00AF6720"/>
    <w:rsid w:val="00B01403"/>
    <w:rsid w:val="00B02A75"/>
    <w:rsid w:val="00B05CAC"/>
    <w:rsid w:val="00B0677C"/>
    <w:rsid w:val="00B12B36"/>
    <w:rsid w:val="00B12D70"/>
    <w:rsid w:val="00B17E38"/>
    <w:rsid w:val="00B204C3"/>
    <w:rsid w:val="00B22504"/>
    <w:rsid w:val="00B24018"/>
    <w:rsid w:val="00B2622D"/>
    <w:rsid w:val="00B31BFF"/>
    <w:rsid w:val="00B328CB"/>
    <w:rsid w:val="00B3345F"/>
    <w:rsid w:val="00B4735A"/>
    <w:rsid w:val="00B5761C"/>
    <w:rsid w:val="00B60D74"/>
    <w:rsid w:val="00B60E4C"/>
    <w:rsid w:val="00B61638"/>
    <w:rsid w:val="00B65FE0"/>
    <w:rsid w:val="00B7101A"/>
    <w:rsid w:val="00B760DA"/>
    <w:rsid w:val="00B77C7F"/>
    <w:rsid w:val="00B77F6A"/>
    <w:rsid w:val="00B90DE5"/>
    <w:rsid w:val="00BA4D04"/>
    <w:rsid w:val="00BB15C0"/>
    <w:rsid w:val="00BB2A89"/>
    <w:rsid w:val="00BB6D8E"/>
    <w:rsid w:val="00BC0C92"/>
    <w:rsid w:val="00BC0FDF"/>
    <w:rsid w:val="00BD06B5"/>
    <w:rsid w:val="00BD3B20"/>
    <w:rsid w:val="00BE4DE7"/>
    <w:rsid w:val="00BE6DF8"/>
    <w:rsid w:val="00BE7A66"/>
    <w:rsid w:val="00BE7F97"/>
    <w:rsid w:val="00BF13C4"/>
    <w:rsid w:val="00C0786E"/>
    <w:rsid w:val="00C118E5"/>
    <w:rsid w:val="00C20B38"/>
    <w:rsid w:val="00C2351F"/>
    <w:rsid w:val="00C23DFF"/>
    <w:rsid w:val="00C258F8"/>
    <w:rsid w:val="00C26F7B"/>
    <w:rsid w:val="00C30780"/>
    <w:rsid w:val="00C30CEC"/>
    <w:rsid w:val="00C3180A"/>
    <w:rsid w:val="00C3191D"/>
    <w:rsid w:val="00C31A42"/>
    <w:rsid w:val="00C32D4F"/>
    <w:rsid w:val="00C341A6"/>
    <w:rsid w:val="00C343E5"/>
    <w:rsid w:val="00C40903"/>
    <w:rsid w:val="00C44CAA"/>
    <w:rsid w:val="00C4742F"/>
    <w:rsid w:val="00C51587"/>
    <w:rsid w:val="00C576C3"/>
    <w:rsid w:val="00C57992"/>
    <w:rsid w:val="00C603E3"/>
    <w:rsid w:val="00C71DE4"/>
    <w:rsid w:val="00C74C53"/>
    <w:rsid w:val="00C74C65"/>
    <w:rsid w:val="00C765F6"/>
    <w:rsid w:val="00C80978"/>
    <w:rsid w:val="00C862EF"/>
    <w:rsid w:val="00C87335"/>
    <w:rsid w:val="00C93528"/>
    <w:rsid w:val="00C93BDD"/>
    <w:rsid w:val="00C94DE2"/>
    <w:rsid w:val="00CA4137"/>
    <w:rsid w:val="00CA7135"/>
    <w:rsid w:val="00CB0D2D"/>
    <w:rsid w:val="00CB4A53"/>
    <w:rsid w:val="00CB5FEE"/>
    <w:rsid w:val="00CC08FD"/>
    <w:rsid w:val="00CC6188"/>
    <w:rsid w:val="00CD1796"/>
    <w:rsid w:val="00CD5D6B"/>
    <w:rsid w:val="00CD617F"/>
    <w:rsid w:val="00CE07DF"/>
    <w:rsid w:val="00CE37C6"/>
    <w:rsid w:val="00CE58AF"/>
    <w:rsid w:val="00CF48C7"/>
    <w:rsid w:val="00D0308B"/>
    <w:rsid w:val="00D104A7"/>
    <w:rsid w:val="00D145AD"/>
    <w:rsid w:val="00D1768F"/>
    <w:rsid w:val="00D212AA"/>
    <w:rsid w:val="00D335D2"/>
    <w:rsid w:val="00D3667F"/>
    <w:rsid w:val="00D36F62"/>
    <w:rsid w:val="00D44DD5"/>
    <w:rsid w:val="00D50018"/>
    <w:rsid w:val="00D54E9A"/>
    <w:rsid w:val="00D6073C"/>
    <w:rsid w:val="00D65982"/>
    <w:rsid w:val="00D67DFE"/>
    <w:rsid w:val="00D70E93"/>
    <w:rsid w:val="00D71CC8"/>
    <w:rsid w:val="00D734AB"/>
    <w:rsid w:val="00D73577"/>
    <w:rsid w:val="00D75784"/>
    <w:rsid w:val="00D77A4D"/>
    <w:rsid w:val="00D86C0B"/>
    <w:rsid w:val="00D86F9E"/>
    <w:rsid w:val="00D91B8A"/>
    <w:rsid w:val="00D94BE2"/>
    <w:rsid w:val="00D94E2A"/>
    <w:rsid w:val="00D95921"/>
    <w:rsid w:val="00D96417"/>
    <w:rsid w:val="00DA183D"/>
    <w:rsid w:val="00DB0CAA"/>
    <w:rsid w:val="00DB239C"/>
    <w:rsid w:val="00DB3B70"/>
    <w:rsid w:val="00DB50B3"/>
    <w:rsid w:val="00DC698D"/>
    <w:rsid w:val="00DC75AA"/>
    <w:rsid w:val="00DD0659"/>
    <w:rsid w:val="00DD2855"/>
    <w:rsid w:val="00DD55C5"/>
    <w:rsid w:val="00DD6D73"/>
    <w:rsid w:val="00DE3558"/>
    <w:rsid w:val="00DF62A5"/>
    <w:rsid w:val="00E03E95"/>
    <w:rsid w:val="00E11C51"/>
    <w:rsid w:val="00E12ECF"/>
    <w:rsid w:val="00E17861"/>
    <w:rsid w:val="00E364FA"/>
    <w:rsid w:val="00E37124"/>
    <w:rsid w:val="00E41460"/>
    <w:rsid w:val="00E41B52"/>
    <w:rsid w:val="00E41C14"/>
    <w:rsid w:val="00E41D35"/>
    <w:rsid w:val="00E47688"/>
    <w:rsid w:val="00E47AD4"/>
    <w:rsid w:val="00E53E3E"/>
    <w:rsid w:val="00E64EBC"/>
    <w:rsid w:val="00E6665B"/>
    <w:rsid w:val="00E67795"/>
    <w:rsid w:val="00E7190C"/>
    <w:rsid w:val="00E740FF"/>
    <w:rsid w:val="00E74844"/>
    <w:rsid w:val="00E74871"/>
    <w:rsid w:val="00E75FBB"/>
    <w:rsid w:val="00E76F41"/>
    <w:rsid w:val="00E822DA"/>
    <w:rsid w:val="00E8247A"/>
    <w:rsid w:val="00E86375"/>
    <w:rsid w:val="00E937DA"/>
    <w:rsid w:val="00EA0B4C"/>
    <w:rsid w:val="00EA6FE7"/>
    <w:rsid w:val="00EB199D"/>
    <w:rsid w:val="00EB5475"/>
    <w:rsid w:val="00EB6A5E"/>
    <w:rsid w:val="00EC38BC"/>
    <w:rsid w:val="00EC6A37"/>
    <w:rsid w:val="00ED3462"/>
    <w:rsid w:val="00ED73ED"/>
    <w:rsid w:val="00EE163F"/>
    <w:rsid w:val="00EE2B81"/>
    <w:rsid w:val="00EE5879"/>
    <w:rsid w:val="00EE7EB5"/>
    <w:rsid w:val="00EF2569"/>
    <w:rsid w:val="00EF52E7"/>
    <w:rsid w:val="00F01C32"/>
    <w:rsid w:val="00F03D81"/>
    <w:rsid w:val="00F071FF"/>
    <w:rsid w:val="00F10ED5"/>
    <w:rsid w:val="00F14109"/>
    <w:rsid w:val="00F161E1"/>
    <w:rsid w:val="00F1724E"/>
    <w:rsid w:val="00F23022"/>
    <w:rsid w:val="00F248E0"/>
    <w:rsid w:val="00F26672"/>
    <w:rsid w:val="00F26D96"/>
    <w:rsid w:val="00F309B8"/>
    <w:rsid w:val="00F3180F"/>
    <w:rsid w:val="00F34F4F"/>
    <w:rsid w:val="00F425A6"/>
    <w:rsid w:val="00F42D91"/>
    <w:rsid w:val="00F437FB"/>
    <w:rsid w:val="00F5218B"/>
    <w:rsid w:val="00F577F6"/>
    <w:rsid w:val="00F6170F"/>
    <w:rsid w:val="00F61AC5"/>
    <w:rsid w:val="00F661EC"/>
    <w:rsid w:val="00F719CC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B82"/>
    <w:rsid w:val="00F90247"/>
    <w:rsid w:val="00F94F7B"/>
    <w:rsid w:val="00FA2377"/>
    <w:rsid w:val="00FA2C72"/>
    <w:rsid w:val="00FA4C01"/>
    <w:rsid w:val="00FA4E84"/>
    <w:rsid w:val="00FA6CD9"/>
    <w:rsid w:val="00FB3710"/>
    <w:rsid w:val="00FB41A7"/>
    <w:rsid w:val="00FB7CF7"/>
    <w:rsid w:val="00FC1336"/>
    <w:rsid w:val="00FD34EB"/>
    <w:rsid w:val="00FD4477"/>
    <w:rsid w:val="00FD78C2"/>
    <w:rsid w:val="00FE0ECD"/>
    <w:rsid w:val="00FF0552"/>
    <w:rsid w:val="00FF145A"/>
    <w:rsid w:val="00FF1BE9"/>
    <w:rsid w:val="00FF348C"/>
    <w:rsid w:val="00FF471C"/>
    <w:rsid w:val="00FF4A43"/>
    <w:rsid w:val="00FF5F2F"/>
    <w:rsid w:val="00FF6685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tyl10bZarovnatdobloku">
    <w:name w:val="Styl 10 b. Zarovnat do bloku"/>
    <w:basedOn w:val="Normln"/>
    <w:autoRedefine/>
    <w:rsid w:val="00422C74"/>
    <w:pPr>
      <w:tabs>
        <w:tab w:val="left" w:pos="426"/>
      </w:tabs>
    </w:pPr>
    <w:rPr>
      <w:szCs w:val="20"/>
    </w:rPr>
  </w:style>
  <w:style w:type="paragraph" w:customStyle="1" w:styleId="Zkladntext22">
    <w:name w:val="Základní text 22"/>
    <w:basedOn w:val="Normln"/>
    <w:rsid w:val="008C1624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textAlignment w:val="baseline"/>
    </w:pPr>
    <w:rPr>
      <w:rFonts w:ascii="Times New Roman" w:hAnsi="Times New Roman"/>
      <w:szCs w:val="20"/>
    </w:rPr>
  </w:style>
  <w:style w:type="paragraph" w:styleId="Zkladntextodsazen">
    <w:name w:val="Body Text Indent"/>
    <w:basedOn w:val="Normln"/>
    <w:link w:val="ZkladntextodsazenChar"/>
    <w:rsid w:val="00653B6A"/>
    <w:pPr>
      <w:numPr>
        <w:ilvl w:val="12"/>
      </w:numPr>
      <w:spacing w:before="60"/>
      <w:ind w:left="283" w:firstLine="1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53B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53B6A"/>
    <w:pPr>
      <w:jc w:val="left"/>
    </w:pPr>
    <w:rPr>
      <w:rFonts w:ascii="Tahoma" w:hAnsi="Tahoma" w:cs="Tahoma"/>
      <w:sz w:val="22"/>
    </w:rPr>
  </w:style>
  <w:style w:type="character" w:customStyle="1" w:styleId="ZkladntextChar">
    <w:name w:val="Základní text Char"/>
    <w:basedOn w:val="Standardnpsmoodstavce"/>
    <w:link w:val="Zkladntext"/>
    <w:rsid w:val="00653B6A"/>
    <w:rPr>
      <w:rFonts w:ascii="Tahoma" w:eastAsia="Times New Roman" w:hAnsi="Tahoma" w:cs="Tahoma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tyl10bZarovnatdobloku">
    <w:name w:val="Styl 10 b. Zarovnat do bloku"/>
    <w:basedOn w:val="Normln"/>
    <w:autoRedefine/>
    <w:rsid w:val="00422C74"/>
    <w:pPr>
      <w:tabs>
        <w:tab w:val="left" w:pos="426"/>
      </w:tabs>
    </w:pPr>
    <w:rPr>
      <w:szCs w:val="20"/>
    </w:rPr>
  </w:style>
  <w:style w:type="paragraph" w:customStyle="1" w:styleId="Zkladntext22">
    <w:name w:val="Základní text 22"/>
    <w:basedOn w:val="Normln"/>
    <w:rsid w:val="008C1624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textAlignment w:val="baseline"/>
    </w:pPr>
    <w:rPr>
      <w:rFonts w:ascii="Times New Roman" w:hAnsi="Times New Roman"/>
      <w:szCs w:val="20"/>
    </w:rPr>
  </w:style>
  <w:style w:type="paragraph" w:styleId="Zkladntextodsazen">
    <w:name w:val="Body Text Indent"/>
    <w:basedOn w:val="Normln"/>
    <w:link w:val="ZkladntextodsazenChar"/>
    <w:rsid w:val="00653B6A"/>
    <w:pPr>
      <w:numPr>
        <w:ilvl w:val="12"/>
      </w:numPr>
      <w:spacing w:before="60"/>
      <w:ind w:left="283" w:firstLine="1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53B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53B6A"/>
    <w:pPr>
      <w:jc w:val="left"/>
    </w:pPr>
    <w:rPr>
      <w:rFonts w:ascii="Tahoma" w:hAnsi="Tahoma" w:cs="Tahoma"/>
      <w:sz w:val="22"/>
    </w:rPr>
  </w:style>
  <w:style w:type="character" w:customStyle="1" w:styleId="ZkladntextChar">
    <w:name w:val="Základní text Char"/>
    <w:basedOn w:val="Standardnpsmoodstavce"/>
    <w:link w:val="Zkladntext"/>
    <w:rsid w:val="00653B6A"/>
    <w:rPr>
      <w:rFonts w:ascii="Tahoma" w:eastAsia="Times New Roman" w:hAnsi="Tahoma" w:cs="Tahoma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datelna@koop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090B-9C40-46C4-837F-9EE2FA30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4617</Words>
  <Characters>27247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31801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Stárková Taťána</cp:lastModifiedBy>
  <cp:revision>2</cp:revision>
  <cp:lastPrinted>2017-08-03T13:38:00Z</cp:lastPrinted>
  <dcterms:created xsi:type="dcterms:W3CDTF">2018-01-04T14:25:00Z</dcterms:created>
  <dcterms:modified xsi:type="dcterms:W3CDTF">2018-01-04T14:25:00Z</dcterms:modified>
</cp:coreProperties>
</file>