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DC" w:rsidRPr="00204397" w:rsidRDefault="009B22B4" w:rsidP="00204397">
      <w:pPr>
        <w:spacing w:before="1680"/>
        <w:jc w:val="right"/>
        <w:rPr>
          <w:i/>
        </w:rPr>
      </w:pPr>
      <w:r w:rsidRPr="000969FB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A85709D" wp14:editId="4C3E181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Priloha_1"/>
      <w:bookmarkEnd w:id="0"/>
    </w:p>
    <w:p w:rsidR="00D97E9D" w:rsidRPr="00C70ADC" w:rsidRDefault="00D97E9D" w:rsidP="00D97E9D">
      <w:pPr>
        <w:spacing w:before="120"/>
        <w:rPr>
          <w:b/>
          <w:sz w:val="24"/>
        </w:rPr>
      </w:pPr>
    </w:p>
    <w:p w:rsidR="009B22B4" w:rsidRPr="00D97E9D" w:rsidRDefault="009B22B4" w:rsidP="00C70ADC">
      <w:pPr>
        <w:rPr>
          <w:i/>
        </w:rPr>
      </w:pPr>
      <w:r w:rsidRPr="000969FB">
        <w:rPr>
          <w:b/>
          <w:sz w:val="32"/>
          <w:szCs w:val="32"/>
        </w:rPr>
        <w:t>Pojistná smlouva č.</w:t>
      </w:r>
      <w:r w:rsidR="00204397">
        <w:rPr>
          <w:b/>
          <w:sz w:val="32"/>
          <w:szCs w:val="32"/>
        </w:rPr>
        <w:tab/>
        <w:t>7721061587</w:t>
      </w:r>
    </w:p>
    <w:p w:rsidR="009B22B4" w:rsidRPr="000969FB" w:rsidRDefault="009B22B4" w:rsidP="00280823">
      <w:pPr>
        <w:spacing w:after="240"/>
        <w:rPr>
          <w:b/>
        </w:rPr>
      </w:pPr>
      <w:r w:rsidRPr="000969FB">
        <w:rPr>
          <w:b/>
        </w:rPr>
        <w:t>Úsek pojištění hospodářských rizik</w:t>
      </w:r>
    </w:p>
    <w:p w:rsidR="009B22B4" w:rsidRPr="000969FB" w:rsidRDefault="009B22B4" w:rsidP="00486022">
      <w:pPr>
        <w:rPr>
          <w:b/>
          <w:sz w:val="32"/>
          <w:szCs w:val="32"/>
        </w:rPr>
      </w:pPr>
      <w:r w:rsidRPr="000969FB">
        <w:rPr>
          <w:b/>
          <w:sz w:val="32"/>
          <w:szCs w:val="32"/>
        </w:rPr>
        <w:t>Kooperativa pojišťovna, a.s., Vienna Insurance Group</w:t>
      </w:r>
    </w:p>
    <w:p w:rsidR="009B22B4" w:rsidRPr="000969FB" w:rsidRDefault="009B22B4" w:rsidP="00486022">
      <w:pPr>
        <w:rPr>
          <w:b/>
        </w:rPr>
      </w:pPr>
      <w:r w:rsidRPr="000969FB">
        <w:rPr>
          <w:b/>
        </w:rPr>
        <w:t xml:space="preserve">se sídlem Praha 8, Pobřežní 665/21, PSČ 186 00, Česká republika </w:t>
      </w:r>
    </w:p>
    <w:p w:rsidR="009B22B4" w:rsidRPr="000969FB" w:rsidRDefault="00280823" w:rsidP="00486022">
      <w:pPr>
        <w:rPr>
          <w:b/>
        </w:rPr>
      </w:pPr>
      <w:r w:rsidRPr="000969FB">
        <w:rPr>
          <w:b/>
        </w:rPr>
        <w:t>IČO: 47116617</w:t>
      </w:r>
    </w:p>
    <w:p w:rsidR="009B22B4" w:rsidRPr="000969FB" w:rsidRDefault="009B22B4" w:rsidP="00486022">
      <w:pPr>
        <w:rPr>
          <w:szCs w:val="20"/>
        </w:rPr>
      </w:pPr>
      <w:r w:rsidRPr="000969FB">
        <w:rPr>
          <w:szCs w:val="20"/>
        </w:rPr>
        <w:t xml:space="preserve">zapsaná v obchodním rejstříku u Městského soudu v Praze, </w:t>
      </w:r>
      <w:proofErr w:type="spellStart"/>
      <w:r w:rsidRPr="000969FB">
        <w:rPr>
          <w:szCs w:val="20"/>
        </w:rPr>
        <w:t>sp</w:t>
      </w:r>
      <w:proofErr w:type="spellEnd"/>
      <w:r w:rsidRPr="000969FB">
        <w:rPr>
          <w:szCs w:val="20"/>
        </w:rPr>
        <w:t>. zn. B 1897</w:t>
      </w:r>
    </w:p>
    <w:p w:rsidR="009B22B4" w:rsidRPr="000969FB" w:rsidRDefault="009B22B4" w:rsidP="00486022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pojistitel</w:t>
      </w:r>
      <w:r w:rsidRPr="000969FB">
        <w:rPr>
          <w:szCs w:val="20"/>
        </w:rPr>
        <w:t>“)</w:t>
      </w:r>
    </w:p>
    <w:p w:rsidR="009B22B4" w:rsidRPr="000969FB" w:rsidRDefault="00BE39D5" w:rsidP="00486022">
      <w:pPr>
        <w:spacing w:after="120"/>
        <w:rPr>
          <w:szCs w:val="20"/>
        </w:rPr>
      </w:pPr>
      <w:r w:rsidRPr="000969FB">
        <w:rPr>
          <w:szCs w:val="20"/>
        </w:rPr>
        <w:t xml:space="preserve">zastoupený na základě </w:t>
      </w:r>
      <w:r>
        <w:rPr>
          <w:szCs w:val="20"/>
        </w:rPr>
        <w:t xml:space="preserve">pověření </w:t>
      </w:r>
      <w:r w:rsidR="00FC5DA3">
        <w:rPr>
          <w:rFonts w:cs="Arial"/>
        </w:rPr>
        <w:t>XXXXXXXX</w:t>
      </w:r>
      <w:r>
        <w:rPr>
          <w:rFonts w:cs="Arial"/>
        </w:rPr>
        <w:t xml:space="preserve">, obchodním ředitelem Úseku pojištění hospodářských rizik a </w:t>
      </w:r>
      <w:r w:rsidR="00FC5DA3">
        <w:rPr>
          <w:rFonts w:cs="Arial"/>
        </w:rPr>
        <w:t>XXXXXXXX</w:t>
      </w:r>
      <w:r w:rsidR="00092591">
        <w:rPr>
          <w:rFonts w:cs="Arial"/>
        </w:rPr>
        <w:t xml:space="preserve">, </w:t>
      </w:r>
      <w:proofErr w:type="spellStart"/>
      <w:r w:rsidR="00092591">
        <w:rPr>
          <w:rFonts w:cs="Arial"/>
        </w:rPr>
        <w:t>underwriterem</w:t>
      </w:r>
      <w:proofErr w:type="spellEnd"/>
      <w:r w:rsidR="00092591">
        <w:rPr>
          <w:rFonts w:cs="Arial"/>
        </w:rPr>
        <w:t xml:space="preserve"> specialistou </w:t>
      </w:r>
      <w:r>
        <w:rPr>
          <w:rFonts w:cs="Arial"/>
        </w:rPr>
        <w:t>Úseku pojištění hospodářských rizik</w:t>
      </w:r>
    </w:p>
    <w:p w:rsidR="00BE39D5" w:rsidRPr="005E1D2B" w:rsidRDefault="00BE39D5" w:rsidP="00BE39D5">
      <w:pPr>
        <w:spacing w:line="280" w:lineRule="exact"/>
        <w:rPr>
          <w:rFonts w:cs="Arial"/>
        </w:rPr>
      </w:pPr>
      <w:r w:rsidRPr="005E1D2B">
        <w:rPr>
          <w:rFonts w:cs="Arial"/>
        </w:rPr>
        <w:t xml:space="preserve">Pracoviště: Kooperativa pojišťovna, a.s., </w:t>
      </w:r>
      <w:proofErr w:type="spellStart"/>
      <w:r w:rsidRPr="005E1D2B">
        <w:rPr>
          <w:rFonts w:cs="Arial"/>
        </w:rPr>
        <w:t>Vienna</w:t>
      </w:r>
      <w:proofErr w:type="spellEnd"/>
      <w:r w:rsidRPr="005E1D2B">
        <w:rPr>
          <w:rFonts w:cs="Arial"/>
        </w:rPr>
        <w:t xml:space="preserve"> </w:t>
      </w:r>
      <w:proofErr w:type="spellStart"/>
      <w:r w:rsidRPr="005E1D2B">
        <w:rPr>
          <w:rFonts w:cs="Arial"/>
        </w:rPr>
        <w:t>Insurance</w:t>
      </w:r>
      <w:proofErr w:type="spellEnd"/>
      <w:r w:rsidRPr="005E1D2B">
        <w:rPr>
          <w:rFonts w:cs="Arial"/>
        </w:rPr>
        <w:t xml:space="preserve"> Group, Praha </w:t>
      </w:r>
      <w:r>
        <w:rPr>
          <w:rFonts w:cs="Arial"/>
        </w:rPr>
        <w:t>8</w:t>
      </w:r>
      <w:r w:rsidRPr="005E1D2B">
        <w:rPr>
          <w:rFonts w:cs="Arial"/>
        </w:rPr>
        <w:t xml:space="preserve">, </w:t>
      </w:r>
      <w:r>
        <w:rPr>
          <w:rFonts w:cs="Arial"/>
        </w:rPr>
        <w:t>Pobřežní 665/21, PSČ 186 00</w:t>
      </w:r>
    </w:p>
    <w:p w:rsidR="00E62DC1" w:rsidRPr="00BE39D5" w:rsidRDefault="00BE39D5" w:rsidP="00C70ADC">
      <w:pPr>
        <w:spacing w:after="120"/>
        <w:rPr>
          <w:rFonts w:cs="Arial"/>
        </w:rPr>
      </w:pPr>
      <w:r w:rsidRPr="005E1D2B">
        <w:rPr>
          <w:rFonts w:cs="Arial"/>
        </w:rPr>
        <w:t xml:space="preserve">tel. </w:t>
      </w:r>
      <w:r w:rsidR="00FC5DA3">
        <w:rPr>
          <w:rFonts w:cs="Arial"/>
        </w:rPr>
        <w:t>XXXXXXXX</w:t>
      </w:r>
      <w:r w:rsidR="00FC5DA3">
        <w:rPr>
          <w:rFonts w:cs="Arial"/>
        </w:rPr>
        <w:t xml:space="preserve"> </w:t>
      </w:r>
      <w:r>
        <w:rPr>
          <w:rFonts w:cs="Arial"/>
        </w:rPr>
        <w:t xml:space="preserve">fax </w:t>
      </w:r>
      <w:r w:rsidR="00FC5DA3">
        <w:rPr>
          <w:rFonts w:cs="Arial"/>
        </w:rPr>
        <w:t>XXXXXXXX</w:t>
      </w:r>
    </w:p>
    <w:p w:rsidR="00E62DC1" w:rsidRDefault="00E62DC1" w:rsidP="00C70ADC">
      <w:pPr>
        <w:spacing w:after="120"/>
        <w:rPr>
          <w:szCs w:val="20"/>
        </w:rPr>
      </w:pPr>
    </w:p>
    <w:p w:rsidR="00E62DC1" w:rsidRPr="00BE39D5" w:rsidRDefault="009B22B4" w:rsidP="00C70ADC">
      <w:pPr>
        <w:spacing w:after="120"/>
        <w:rPr>
          <w:szCs w:val="20"/>
        </w:rPr>
      </w:pPr>
      <w:r w:rsidRPr="000969FB">
        <w:rPr>
          <w:szCs w:val="20"/>
        </w:rPr>
        <w:t>a</w:t>
      </w:r>
    </w:p>
    <w:p w:rsidR="00E62DC1" w:rsidRPr="00C70ADC" w:rsidRDefault="00E62DC1" w:rsidP="00C70ADC">
      <w:pPr>
        <w:spacing w:after="120"/>
        <w:rPr>
          <w:szCs w:val="20"/>
        </w:rPr>
      </w:pPr>
    </w:p>
    <w:p w:rsidR="00280823" w:rsidRPr="00D97E9D" w:rsidRDefault="00D97E9D" w:rsidP="00FF471C">
      <w:r w:rsidRPr="00D97E9D">
        <w:rPr>
          <w:b/>
          <w:sz w:val="32"/>
        </w:rPr>
        <w:t>Želivská provozní a.s.</w:t>
      </w:r>
      <w:r w:rsidR="00800634" w:rsidRPr="00D97E9D">
        <w:t xml:space="preserve"> </w:t>
      </w:r>
    </w:p>
    <w:p w:rsidR="009B22B4" w:rsidRPr="00D97E9D" w:rsidRDefault="009B22B4" w:rsidP="00FF471C">
      <w:r w:rsidRPr="00D97E9D">
        <w:rPr>
          <w:b/>
        </w:rPr>
        <w:t xml:space="preserve">se sídlem </w:t>
      </w:r>
      <w:r w:rsidR="00D97E9D" w:rsidRPr="00D97E9D">
        <w:rPr>
          <w:b/>
        </w:rPr>
        <w:t>Praha 10, K Horkám 16/23, PSČ 102 00, Česká republika</w:t>
      </w:r>
    </w:p>
    <w:p w:rsidR="009B22B4" w:rsidRPr="00D97E9D" w:rsidRDefault="009B22B4" w:rsidP="00FF471C">
      <w:r w:rsidRPr="00D97E9D">
        <w:rPr>
          <w:b/>
        </w:rPr>
        <w:t>IČO:</w:t>
      </w:r>
      <w:r w:rsidRPr="00D97E9D">
        <w:t xml:space="preserve"> </w:t>
      </w:r>
      <w:r w:rsidR="00D97E9D" w:rsidRPr="00D97E9D">
        <w:rPr>
          <w:b/>
        </w:rPr>
        <w:t>29131804</w:t>
      </w:r>
    </w:p>
    <w:p w:rsidR="009B22B4" w:rsidRPr="000969FB" w:rsidRDefault="005A6882" w:rsidP="00FF471C">
      <w:pPr>
        <w:rPr>
          <w:szCs w:val="20"/>
        </w:rPr>
      </w:pPr>
      <w:r>
        <w:rPr>
          <w:szCs w:val="20"/>
        </w:rPr>
        <w:t>zapsaná</w:t>
      </w:r>
      <w:r w:rsidR="009B22B4" w:rsidRPr="000969FB">
        <w:rPr>
          <w:szCs w:val="20"/>
        </w:rPr>
        <w:t xml:space="preserve"> v obchodním rejstříku u </w:t>
      </w:r>
      <w:r w:rsidR="00D97E9D">
        <w:rPr>
          <w:szCs w:val="20"/>
        </w:rPr>
        <w:t>Městského soudu v Praze</w:t>
      </w:r>
      <w:r w:rsidR="009B22B4" w:rsidRPr="000969FB">
        <w:rPr>
          <w:szCs w:val="20"/>
        </w:rPr>
        <w:t xml:space="preserve">, </w:t>
      </w:r>
      <w:proofErr w:type="spellStart"/>
      <w:r w:rsidR="009B22B4" w:rsidRPr="000969FB">
        <w:rPr>
          <w:szCs w:val="20"/>
        </w:rPr>
        <w:t>sp</w:t>
      </w:r>
      <w:proofErr w:type="spellEnd"/>
      <w:r w:rsidR="009B22B4" w:rsidRPr="000969FB">
        <w:rPr>
          <w:szCs w:val="20"/>
        </w:rPr>
        <w:t xml:space="preserve">. zn. </w:t>
      </w:r>
      <w:r w:rsidR="00D97E9D">
        <w:rPr>
          <w:szCs w:val="20"/>
        </w:rPr>
        <w:t>B 19766</w:t>
      </w:r>
    </w:p>
    <w:p w:rsidR="009B22B4" w:rsidRPr="000969FB" w:rsidRDefault="009B22B4" w:rsidP="00CB5FEE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pojistník</w:t>
      </w:r>
      <w:r w:rsidRPr="000969FB">
        <w:rPr>
          <w:szCs w:val="20"/>
        </w:rPr>
        <w:t>“)</w:t>
      </w:r>
    </w:p>
    <w:p w:rsidR="00BE39D5" w:rsidRDefault="00D97E9D" w:rsidP="00BE39D5">
      <w:pPr>
        <w:rPr>
          <w:szCs w:val="20"/>
        </w:rPr>
      </w:pPr>
      <w:r w:rsidRPr="00BE39D5">
        <w:rPr>
          <w:szCs w:val="20"/>
        </w:rPr>
        <w:t>z</w:t>
      </w:r>
      <w:r w:rsidR="009B22B4" w:rsidRPr="00BE39D5">
        <w:rPr>
          <w:szCs w:val="20"/>
        </w:rPr>
        <w:t>astoupený</w:t>
      </w:r>
      <w:r>
        <w:rPr>
          <w:szCs w:val="20"/>
        </w:rPr>
        <w:t xml:space="preserve"> </w:t>
      </w:r>
      <w:r w:rsidR="00CB5FEE" w:rsidRPr="000969FB">
        <w:rPr>
          <w:szCs w:val="20"/>
        </w:rPr>
        <w:t xml:space="preserve"> </w:t>
      </w:r>
      <w:r w:rsidR="00BE39D5">
        <w:rPr>
          <w:szCs w:val="20"/>
        </w:rPr>
        <w:tab/>
      </w:r>
      <w:r w:rsidR="00FC5DA3">
        <w:rPr>
          <w:rFonts w:cs="Arial"/>
        </w:rPr>
        <w:t>XXXXXXXX</w:t>
      </w:r>
      <w:r w:rsidR="00BE39D5">
        <w:rPr>
          <w:szCs w:val="20"/>
        </w:rPr>
        <w:t>, předsedou představenstva</w:t>
      </w:r>
    </w:p>
    <w:p w:rsidR="009B22B4" w:rsidRDefault="00BE39D5" w:rsidP="00BE39D5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C5DA3">
        <w:rPr>
          <w:rFonts w:cs="Arial"/>
        </w:rPr>
        <w:t>XXXXXXXX</w:t>
      </w:r>
      <w:r>
        <w:rPr>
          <w:szCs w:val="20"/>
        </w:rPr>
        <w:t>, 2. místopředsedou představenstva</w:t>
      </w:r>
    </w:p>
    <w:p w:rsidR="00BE39D5" w:rsidRPr="000969FB" w:rsidRDefault="00BE39D5" w:rsidP="00BE39D5">
      <w:pPr>
        <w:spacing w:line="280" w:lineRule="exact"/>
        <w:rPr>
          <w:szCs w:val="20"/>
        </w:rPr>
      </w:pPr>
      <w:r w:rsidRPr="000969FB">
        <w:rPr>
          <w:b/>
          <w:szCs w:val="20"/>
        </w:rPr>
        <w:t>Korespondenční adresa:</w:t>
      </w:r>
      <w:r w:rsidRPr="000969FB">
        <w:rPr>
          <w:szCs w:val="20"/>
        </w:rPr>
        <w:t xml:space="preserve"> </w:t>
      </w:r>
    </w:p>
    <w:p w:rsidR="009B22B4" w:rsidRPr="000969FB" w:rsidRDefault="009B22B4" w:rsidP="00456A83">
      <w:pPr>
        <w:spacing w:after="120"/>
        <w:rPr>
          <w:szCs w:val="20"/>
        </w:rPr>
      </w:pPr>
      <w:r w:rsidRPr="000969FB">
        <w:rPr>
          <w:szCs w:val="20"/>
        </w:rPr>
        <w:t>Korespondenční adresa pojistníka je totožná s korespondenční adresou pojišťovacího makléře.</w:t>
      </w:r>
    </w:p>
    <w:p w:rsidR="009B22B4" w:rsidRPr="000969FB" w:rsidRDefault="009B22B4" w:rsidP="00456A83">
      <w:pPr>
        <w:spacing w:before="240" w:after="240"/>
        <w:rPr>
          <w:szCs w:val="20"/>
        </w:rPr>
      </w:pPr>
      <w:r w:rsidRPr="000969FB">
        <w:rPr>
          <w:szCs w:val="20"/>
        </w:rPr>
        <w:t xml:space="preserve">uzavírají </w:t>
      </w:r>
    </w:p>
    <w:p w:rsidR="00E62DC1" w:rsidRDefault="009B22B4" w:rsidP="00BE39D5">
      <w:pPr>
        <w:spacing w:after="480"/>
        <w:rPr>
          <w:szCs w:val="20"/>
        </w:rPr>
      </w:pPr>
      <w:r w:rsidRPr="000969FB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9B22B4" w:rsidRPr="000969FB" w:rsidRDefault="009B22B4" w:rsidP="00000DF1">
      <w:pPr>
        <w:spacing w:after="120"/>
        <w:rPr>
          <w:szCs w:val="20"/>
        </w:rPr>
      </w:pPr>
      <w:r w:rsidRPr="000969FB">
        <w:rPr>
          <w:szCs w:val="20"/>
        </w:rPr>
        <w:t xml:space="preserve">Tato pojistná smlouva byla sjednána prostřednictvím pojišťovacího makléře </w:t>
      </w:r>
    </w:p>
    <w:p w:rsidR="009B22B4" w:rsidRPr="00E62DC1" w:rsidRDefault="00E62DC1" w:rsidP="00FF471C">
      <w:pPr>
        <w:rPr>
          <w:b/>
        </w:rPr>
      </w:pPr>
      <w:r w:rsidRPr="00E62DC1">
        <w:rPr>
          <w:b/>
          <w:sz w:val="28"/>
        </w:rPr>
        <w:t>MARSH, s.r.o.</w:t>
      </w:r>
      <w:r w:rsidR="00000DF1" w:rsidRPr="00E62DC1">
        <w:rPr>
          <w:b/>
        </w:rPr>
        <w:t xml:space="preserve"> </w:t>
      </w:r>
    </w:p>
    <w:p w:rsidR="009B22B4" w:rsidRPr="000969FB" w:rsidRDefault="009B22B4" w:rsidP="00FF471C">
      <w:pPr>
        <w:rPr>
          <w:b/>
        </w:rPr>
      </w:pPr>
      <w:r w:rsidRPr="000969FB">
        <w:rPr>
          <w:b/>
        </w:rPr>
        <w:t xml:space="preserve">se sídlem </w:t>
      </w:r>
      <w:r w:rsidR="00E62DC1">
        <w:rPr>
          <w:b/>
        </w:rPr>
        <w:t>Praha 3, Vinohradská 2828/151, PSČ 130 00, Česká republika</w:t>
      </w:r>
    </w:p>
    <w:p w:rsidR="009B22B4" w:rsidRPr="000969FB" w:rsidRDefault="009B22B4" w:rsidP="00873C2F">
      <w:pPr>
        <w:spacing w:after="60"/>
        <w:rPr>
          <w:b/>
        </w:rPr>
      </w:pPr>
      <w:r w:rsidRPr="000969FB">
        <w:rPr>
          <w:b/>
        </w:rPr>
        <w:t xml:space="preserve">IČO: </w:t>
      </w:r>
      <w:r w:rsidR="00E62DC1">
        <w:rPr>
          <w:b/>
        </w:rPr>
        <w:t>45306541</w:t>
      </w:r>
    </w:p>
    <w:p w:rsidR="009B22B4" w:rsidRDefault="009B22B4" w:rsidP="00486022">
      <w:pPr>
        <w:spacing w:after="12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pojišťovací makléř</w:t>
      </w:r>
      <w:r w:rsidRPr="000969FB">
        <w:rPr>
          <w:szCs w:val="20"/>
        </w:rPr>
        <w:t>“)</w:t>
      </w:r>
    </w:p>
    <w:p w:rsidR="00BE39D5" w:rsidRPr="000969FB" w:rsidRDefault="00BE39D5" w:rsidP="00BE39D5">
      <w:pPr>
        <w:spacing w:line="280" w:lineRule="exact"/>
        <w:rPr>
          <w:szCs w:val="20"/>
        </w:rPr>
      </w:pPr>
      <w:r w:rsidRPr="000969FB">
        <w:rPr>
          <w:b/>
          <w:szCs w:val="20"/>
        </w:rPr>
        <w:t>Korespondenční adresa pojišťovacího makléře:</w:t>
      </w:r>
      <w:r w:rsidRPr="000969FB">
        <w:rPr>
          <w:szCs w:val="20"/>
        </w:rPr>
        <w:t xml:space="preserve"> </w:t>
      </w:r>
    </w:p>
    <w:p w:rsidR="009B22B4" w:rsidRPr="000969FB" w:rsidRDefault="009B22B4" w:rsidP="00E62DC1">
      <w:pPr>
        <w:rPr>
          <w:szCs w:val="20"/>
        </w:rPr>
      </w:pPr>
      <w:r w:rsidRPr="000969FB">
        <w:rPr>
          <w:szCs w:val="20"/>
        </w:rPr>
        <w:t>Korespondenční adresa pojišťovacího makléře je totožná s výše uvedenou adresou pojišťovacího makléře</w:t>
      </w:r>
      <w:r w:rsidR="00E62DC1">
        <w:rPr>
          <w:szCs w:val="20"/>
        </w:rPr>
        <w:t>.</w:t>
      </w:r>
      <w:r w:rsidR="00486022" w:rsidRPr="000969FB">
        <w:rPr>
          <w:szCs w:val="20"/>
        </w:rPr>
        <w:t xml:space="preserve"> </w:t>
      </w:r>
    </w:p>
    <w:p w:rsidR="009B22B4" w:rsidRPr="000969FB" w:rsidRDefault="009B22B4" w:rsidP="00FF471C">
      <w:r w:rsidRPr="000969FB">
        <w:br w:type="page"/>
      </w:r>
    </w:p>
    <w:p w:rsidR="009B22B4" w:rsidRPr="000969FB" w:rsidRDefault="009B22B4" w:rsidP="00F425A6">
      <w:pPr>
        <w:pStyle w:val="Nadpislnk"/>
      </w:pPr>
      <w:r w:rsidRPr="000969FB">
        <w:lastRenderedPageBreak/>
        <w:t>Článek I.</w:t>
      </w:r>
      <w:r w:rsidR="00F425A6" w:rsidRPr="000969FB">
        <w:br/>
      </w:r>
      <w:r w:rsidRPr="000969FB">
        <w:t>Úvodní ustanovení</w:t>
      </w:r>
    </w:p>
    <w:p w:rsidR="009B22B4" w:rsidRPr="00E62DC1" w:rsidRDefault="009B22B4" w:rsidP="00E62DC1">
      <w:pPr>
        <w:pStyle w:val="slovn-rove1-netun"/>
      </w:pPr>
      <w:r w:rsidRPr="00E62DC1">
        <w:rPr>
          <w:szCs w:val="20"/>
        </w:rPr>
        <w:t>Pojištěným je:</w:t>
      </w:r>
    </w:p>
    <w:p w:rsidR="009B22B4" w:rsidRPr="000969FB" w:rsidRDefault="009B22B4" w:rsidP="00807DB0">
      <w:pPr>
        <w:pStyle w:val="slovn-psmena"/>
      </w:pPr>
      <w:r w:rsidRPr="000969FB">
        <w:t>Pojistník</w:t>
      </w:r>
    </w:p>
    <w:p w:rsidR="009B22B4" w:rsidRPr="00794833" w:rsidRDefault="00794833" w:rsidP="00807DB0">
      <w:pPr>
        <w:pStyle w:val="slovn-psmena"/>
      </w:pPr>
      <w:r w:rsidRPr="00794833">
        <w:t>Úpravna vody Želivka, a.s.</w:t>
      </w:r>
      <w:r w:rsidR="009B22B4" w:rsidRPr="00794833">
        <w:t xml:space="preserve">, se sídlem </w:t>
      </w:r>
      <w:r w:rsidRPr="00794833">
        <w:t>Praha 10, K Horkám 16/23</w:t>
      </w:r>
      <w:r w:rsidR="009B22B4" w:rsidRPr="00794833">
        <w:t xml:space="preserve">, </w:t>
      </w:r>
      <w:r w:rsidRPr="00794833">
        <w:t xml:space="preserve">PSČ 102 00, Česká republika, </w:t>
      </w:r>
      <w:r w:rsidR="009B22B4" w:rsidRPr="00794833">
        <w:t xml:space="preserve">IČO: </w:t>
      </w:r>
      <w:r w:rsidRPr="00794833">
        <w:t>26496224</w:t>
      </w:r>
      <w:r>
        <w:t>.</w:t>
      </w:r>
    </w:p>
    <w:p w:rsidR="009B22B4" w:rsidRPr="000969FB" w:rsidRDefault="009B22B4" w:rsidP="00CA7135">
      <w:pPr>
        <w:pStyle w:val="slovn-rove1-netun"/>
      </w:pPr>
      <w:r w:rsidRPr="000969FB">
        <w:t>K pojištění se vztahují: Všeobecné pojistné podmínky (dále jen „</w:t>
      </w:r>
      <w:r w:rsidRPr="000969FB">
        <w:rPr>
          <w:b/>
        </w:rPr>
        <w:t>VPP</w:t>
      </w:r>
      <w:r w:rsidRPr="000969FB">
        <w:t>“), Zvláštní pojistné podmínky (dále jen „</w:t>
      </w:r>
      <w:r w:rsidRPr="000969FB">
        <w:rPr>
          <w:b/>
        </w:rPr>
        <w:t>ZPP</w:t>
      </w:r>
      <w:r w:rsidRPr="000969FB">
        <w:t>“) a Dodatkové pojistné podmínky (dále jen „</w:t>
      </w:r>
      <w:r w:rsidRPr="000969FB">
        <w:rPr>
          <w:b/>
        </w:rPr>
        <w:t>DPP</w:t>
      </w:r>
      <w:r w:rsidRPr="000969FB">
        <w:t>“).</w:t>
      </w:r>
    </w:p>
    <w:p w:rsidR="009B22B4" w:rsidRPr="002F085D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0969FB">
        <w:rPr>
          <w:szCs w:val="20"/>
        </w:rPr>
        <w:tab/>
      </w:r>
      <w:r w:rsidR="009B22B4" w:rsidRPr="002F085D">
        <w:rPr>
          <w:b/>
          <w:szCs w:val="20"/>
        </w:rPr>
        <w:t xml:space="preserve">Všeobecné pojistné podmínky </w:t>
      </w:r>
    </w:p>
    <w:p w:rsidR="009B22B4" w:rsidRPr="002F085D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2F085D">
        <w:rPr>
          <w:szCs w:val="20"/>
        </w:rPr>
        <w:tab/>
        <w:t>VPP P-100/14 - pro pojištění majetku a odpovědnosti</w:t>
      </w:r>
    </w:p>
    <w:p w:rsidR="00D83468" w:rsidRPr="002F085D" w:rsidRDefault="009B22B4" w:rsidP="008C63FC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2F085D">
        <w:rPr>
          <w:szCs w:val="20"/>
        </w:rPr>
        <w:tab/>
      </w:r>
      <w:r w:rsidRPr="002F085D">
        <w:rPr>
          <w:b/>
          <w:szCs w:val="20"/>
        </w:rPr>
        <w:t>Zvláštní pojistné podmínky</w:t>
      </w:r>
    </w:p>
    <w:p w:rsidR="009B22B4" w:rsidRDefault="002F085D" w:rsidP="00FF6685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2F085D">
        <w:rPr>
          <w:szCs w:val="20"/>
        </w:rPr>
        <w:tab/>
      </w:r>
      <w:r w:rsidR="00CD1796" w:rsidRPr="002F085D">
        <w:rPr>
          <w:szCs w:val="20"/>
        </w:rPr>
        <w:t>ZPP P-600/14 -</w:t>
      </w:r>
      <w:r w:rsidR="00CD1796" w:rsidRPr="002F085D">
        <w:rPr>
          <w:szCs w:val="20"/>
        </w:rPr>
        <w:tab/>
      </w:r>
      <w:r w:rsidR="009B22B4" w:rsidRPr="002F085D">
        <w:rPr>
          <w:szCs w:val="20"/>
        </w:rPr>
        <w:t>pro pojištění odpovědnosti za újmu</w:t>
      </w:r>
    </w:p>
    <w:p w:rsidR="008C63FC" w:rsidRPr="002F085D" w:rsidRDefault="008C63FC" w:rsidP="00FF6685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szCs w:val="20"/>
        </w:rPr>
        <w:tab/>
        <w:t>ZPP P-540/15 – pro pojištění odpovědnosti za újmy vzniklé v důsledku závažné havárie</w:t>
      </w:r>
    </w:p>
    <w:p w:rsidR="009B22B4" w:rsidRPr="002F085D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2F085D">
        <w:rPr>
          <w:szCs w:val="20"/>
        </w:rPr>
        <w:tab/>
      </w:r>
      <w:r w:rsidRPr="002F085D">
        <w:rPr>
          <w:b/>
          <w:szCs w:val="20"/>
        </w:rPr>
        <w:t>Dodatkové pojistné podmínky</w:t>
      </w:r>
    </w:p>
    <w:p w:rsidR="009B22B4" w:rsidRPr="002F085D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2F085D">
        <w:rPr>
          <w:szCs w:val="20"/>
        </w:rPr>
        <w:tab/>
        <w:t>DPP P-520/14 -</w:t>
      </w:r>
      <w:r w:rsidRPr="002F085D">
        <w:rPr>
          <w:szCs w:val="20"/>
        </w:rPr>
        <w:tab/>
      </w:r>
      <w:r w:rsidR="009B22B4" w:rsidRPr="002F085D">
        <w:rPr>
          <w:szCs w:val="20"/>
        </w:rPr>
        <w:t>pro pojištění hospodářských rizik, sestávající se z následujících doložek:</w:t>
      </w:r>
    </w:p>
    <w:p w:rsidR="009B22B4" w:rsidRPr="002F085D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2F085D">
        <w:rPr>
          <w:szCs w:val="20"/>
        </w:rPr>
        <w:tab/>
      </w:r>
      <w:r w:rsidRPr="002F085D">
        <w:rPr>
          <w:b/>
          <w:szCs w:val="20"/>
        </w:rPr>
        <w:t>Odpovědnost za újmu</w:t>
      </w:r>
    </w:p>
    <w:p w:rsidR="009B22B4" w:rsidRPr="002F085D" w:rsidRDefault="009B22B4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 w:rsidRPr="002F085D">
        <w:rPr>
          <w:szCs w:val="20"/>
        </w:rPr>
        <w:tab/>
        <w:t xml:space="preserve">DODP102 </w:t>
      </w:r>
      <w:r w:rsidR="00F309B8" w:rsidRPr="002F085D">
        <w:rPr>
          <w:szCs w:val="20"/>
        </w:rPr>
        <w:t>-</w:t>
      </w:r>
      <w:r w:rsidR="00F309B8" w:rsidRPr="002F085D">
        <w:rPr>
          <w:szCs w:val="20"/>
        </w:rPr>
        <w:tab/>
      </w:r>
      <w:r w:rsidRPr="002F085D">
        <w:rPr>
          <w:szCs w:val="20"/>
        </w:rPr>
        <w:t>Pojištění obecné odpovědnosti za újmu a pojištění odpovědnosti za újmu způsobenou vadou výrobku a vadou práce po předání -</w:t>
      </w:r>
      <w:r w:rsidR="007322C2" w:rsidRPr="002F085D">
        <w:rPr>
          <w:szCs w:val="20"/>
        </w:rPr>
        <w:t xml:space="preserve"> Základní rozsah pojištění (1612</w:t>
      </w:r>
      <w:r w:rsidRPr="002F085D">
        <w:rPr>
          <w:szCs w:val="20"/>
        </w:rPr>
        <w:t>)</w:t>
      </w:r>
    </w:p>
    <w:p w:rsidR="009B22B4" w:rsidRPr="00AE234C" w:rsidRDefault="00AE234C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DODP103 -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Cizí věci převzaté - Rozšíření rozsahu pojištění (1606)</w:t>
      </w:r>
    </w:p>
    <w:p w:rsidR="009B22B4" w:rsidRPr="00AE234C" w:rsidRDefault="00AE234C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DODP104 -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Cizí věci užívané - Rozšíření rozsahu pojištění (1401)</w:t>
      </w:r>
    </w:p>
    <w:p w:rsidR="009B22B4" w:rsidRPr="00AE234C" w:rsidRDefault="00AE234C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DODP105 -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Náklady zdravotní pojišťovny a regresy dávek nemocenského pojištění - Rozšíření rozsahu pojištění (1401)</w:t>
      </w:r>
    </w:p>
    <w:p w:rsidR="009B22B4" w:rsidRPr="00AE234C" w:rsidRDefault="00AE234C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DODP106 -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Křížová odpovědnost - Rozšíření rozsahu pojištění (1401)</w:t>
      </w:r>
    </w:p>
    <w:p w:rsidR="009B22B4" w:rsidRPr="00AE234C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AE234C">
        <w:rPr>
          <w:szCs w:val="20"/>
        </w:rPr>
        <w:tab/>
        <w:t>DODP109 -</w:t>
      </w:r>
      <w:r w:rsidRPr="00AE234C">
        <w:rPr>
          <w:szCs w:val="20"/>
        </w:rPr>
        <w:tab/>
      </w:r>
      <w:r w:rsidR="009B22B4" w:rsidRPr="00AE234C">
        <w:rPr>
          <w:szCs w:val="20"/>
        </w:rPr>
        <w:t>Provoz pracovních strojů - Rozšíření rozsahu pojištění (1412)</w:t>
      </w:r>
    </w:p>
    <w:p w:rsidR="009B22B4" w:rsidRPr="00AE234C" w:rsidRDefault="00AE234C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DODP110 -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Peněžitá náhrada nemajetkové újmy - ochrana osobnosti - Rozšíření rozsahu pojištění (1401)</w:t>
      </w:r>
    </w:p>
    <w:p w:rsidR="009B22B4" w:rsidRPr="00AE234C" w:rsidRDefault="00AE234C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DODP112 -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Čisté finanční škody - k pojištění obecné odpovědnosti za újmu a pojištění odpovědnosti za újmu způsobenou vadou práce po předání - Rozšíření rozsahu pojištění (1401)</w:t>
      </w:r>
    </w:p>
    <w:p w:rsidR="009B22B4" w:rsidRPr="00AE234C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AE234C">
        <w:rPr>
          <w:szCs w:val="20"/>
        </w:rPr>
        <w:tab/>
        <w:t>DODP113 -</w:t>
      </w:r>
      <w:r w:rsidRPr="00AE234C">
        <w:rPr>
          <w:szCs w:val="20"/>
        </w:rPr>
        <w:tab/>
      </w:r>
      <w:r w:rsidR="009B22B4" w:rsidRPr="00AE234C">
        <w:rPr>
          <w:szCs w:val="20"/>
        </w:rPr>
        <w:t>Znečištění životního prostředí - Rozšíření rozsahu pojištění (1401)</w:t>
      </w:r>
    </w:p>
    <w:p w:rsidR="009B22B4" w:rsidRPr="00AE234C" w:rsidRDefault="00F309B8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 w:rsidRPr="00AE234C">
        <w:rPr>
          <w:szCs w:val="20"/>
        </w:rPr>
        <w:tab/>
        <w:t>DODP120 -</w:t>
      </w:r>
      <w:r w:rsidRPr="00AE234C">
        <w:rPr>
          <w:szCs w:val="20"/>
        </w:rPr>
        <w:tab/>
      </w:r>
      <w:r w:rsidR="009B22B4" w:rsidRPr="00AE234C">
        <w:rPr>
          <w:szCs w:val="20"/>
        </w:rPr>
        <w:t>Odpovědnost obchodní korporace za újmu člen</w:t>
      </w:r>
      <w:r w:rsidR="000D0067" w:rsidRPr="00AE234C">
        <w:rPr>
          <w:szCs w:val="20"/>
        </w:rPr>
        <w:t>ům svých orgánů v souvislosti s </w:t>
      </w:r>
      <w:r w:rsidR="009B22B4" w:rsidRPr="00AE234C">
        <w:rPr>
          <w:szCs w:val="20"/>
        </w:rPr>
        <w:t>výkonem jejich funkce - Rozšíření rozsahu pojištění (1412)</w:t>
      </w:r>
    </w:p>
    <w:p w:rsidR="009B22B4" w:rsidRPr="00AE234C" w:rsidRDefault="00AE234C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>
        <w:rPr>
          <w:szCs w:val="20"/>
        </w:rPr>
        <w:tab/>
      </w:r>
      <w:r w:rsidR="00F309B8" w:rsidRPr="00AE234C">
        <w:rPr>
          <w:szCs w:val="20"/>
        </w:rPr>
        <w:t>DODP130 -</w:t>
      </w:r>
      <w:r w:rsidR="00F309B8" w:rsidRPr="00AE234C">
        <w:rPr>
          <w:szCs w:val="20"/>
        </w:rPr>
        <w:tab/>
      </w:r>
      <w:r w:rsidR="009B22B4" w:rsidRPr="00AE234C">
        <w:rPr>
          <w:szCs w:val="20"/>
        </w:rPr>
        <w:t>Věci zaměstnanců - Rozšíření rozsahu pojištění (1603)</w:t>
      </w:r>
    </w:p>
    <w:p w:rsidR="009B22B4" w:rsidRPr="00AE234C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AE234C">
        <w:rPr>
          <w:szCs w:val="20"/>
        </w:rPr>
        <w:tab/>
      </w:r>
      <w:r w:rsidRPr="00AE234C">
        <w:rPr>
          <w:b/>
          <w:szCs w:val="20"/>
        </w:rPr>
        <w:t>Obecné</w:t>
      </w:r>
    </w:p>
    <w:p w:rsidR="009B22B4" w:rsidRDefault="00AE234C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AE234C">
        <w:rPr>
          <w:szCs w:val="20"/>
        </w:rPr>
        <w:tab/>
      </w:r>
      <w:r w:rsidR="000D0067" w:rsidRPr="00AE234C">
        <w:rPr>
          <w:szCs w:val="20"/>
        </w:rPr>
        <w:t>DOB101 -</w:t>
      </w:r>
      <w:r w:rsidR="000D0067" w:rsidRPr="00AE234C">
        <w:rPr>
          <w:szCs w:val="20"/>
        </w:rPr>
        <w:tab/>
      </w:r>
      <w:r w:rsidR="009B22B4" w:rsidRPr="00AE234C">
        <w:rPr>
          <w:szCs w:val="20"/>
        </w:rPr>
        <w:t>Elektronická rizika - Výluka (1401)</w:t>
      </w:r>
    </w:p>
    <w:p w:rsidR="009B22B4" w:rsidRDefault="009B22B4" w:rsidP="00184E09">
      <w:pPr>
        <w:pStyle w:val="Nadpislnk"/>
      </w:pPr>
      <w:r w:rsidRPr="00AE234C">
        <w:t>Článek II.</w:t>
      </w:r>
      <w:r w:rsidR="00F425A6" w:rsidRPr="00AE234C">
        <w:br/>
      </w:r>
      <w:r w:rsidRPr="00AE234C">
        <w:t>Druhy a způsoby pojištění, předměty a rozsah pojištění</w:t>
      </w:r>
    </w:p>
    <w:p w:rsidR="00FA47D0" w:rsidRPr="00FA47D0" w:rsidRDefault="00FA47D0" w:rsidP="00FA47D0">
      <w:pPr>
        <w:pStyle w:val="Nadpislnk"/>
        <w:jc w:val="left"/>
      </w:pPr>
      <w:r w:rsidRPr="00FA47D0">
        <w:rPr>
          <w:caps/>
          <w:sz w:val="20"/>
        </w:rPr>
        <w:t>Část A – Pojištění odpovědnosti za újmu</w:t>
      </w:r>
    </w:p>
    <w:p w:rsidR="009B22B4" w:rsidRPr="00CB0CD4" w:rsidRDefault="009B22B4" w:rsidP="00E41D35">
      <w:pPr>
        <w:pStyle w:val="slovn-rove1"/>
        <w:numPr>
          <w:ilvl w:val="0"/>
          <w:numId w:val="9"/>
        </w:numPr>
      </w:pPr>
      <w:r w:rsidRPr="00CB0CD4">
        <w:t>Přehled sjednaných pojištění</w:t>
      </w:r>
    </w:p>
    <w:p w:rsidR="009B22B4" w:rsidRPr="00CB0CD4" w:rsidRDefault="009B22B4" w:rsidP="008F5003">
      <w:pPr>
        <w:pStyle w:val="slovn-rove2"/>
        <w:spacing w:after="0"/>
      </w:pPr>
      <w:r w:rsidRPr="00CB0CD4">
        <w:t>Pojištění odpovědnosti za újmu</w:t>
      </w:r>
    </w:p>
    <w:p w:rsidR="00426193" w:rsidRPr="00CB0CD4" w:rsidRDefault="00426193" w:rsidP="00A32127">
      <w:pPr>
        <w:keepLines/>
      </w:pPr>
      <w:r w:rsidRPr="00CB0CD4">
        <w:t>Pojištění se sjednává v rozsahu a za podmínek uvedených v následující tabulce/následujících tabulkách:</w:t>
      </w:r>
    </w:p>
    <w:p w:rsidR="00C11D94" w:rsidRPr="00CB0CD4" w:rsidRDefault="009D07E4" w:rsidP="00C11D94">
      <w:pPr>
        <w:pStyle w:val="slovn-rove3"/>
      </w:pPr>
      <w:r w:rsidRPr="00CB0CD4">
        <w:t>Pojištění odpovědnosti za újmu</w:t>
      </w:r>
    </w:p>
    <w:tbl>
      <w:tblPr>
        <w:tblStyle w:val="Mkatabulky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701"/>
        <w:gridCol w:w="1418"/>
        <w:gridCol w:w="1701"/>
      </w:tblGrid>
      <w:tr w:rsidR="009B22B4" w:rsidRPr="00CB0CD4" w:rsidTr="00C70ADC">
        <w:tc>
          <w:tcPr>
            <w:tcW w:w="10207" w:type="dxa"/>
            <w:gridSpan w:val="6"/>
          </w:tcPr>
          <w:p w:rsidR="009B22B4" w:rsidRPr="00CB0CD4" w:rsidRDefault="009B22B4" w:rsidP="00CB0CD4">
            <w:r w:rsidRPr="00CB0CD4">
              <w:rPr>
                <w:b/>
              </w:rPr>
              <w:t>Pojištění se řídí:</w:t>
            </w:r>
            <w:r w:rsidRPr="00CB0CD4">
              <w:t xml:space="preserve"> </w:t>
            </w:r>
            <w:r w:rsidRPr="00BE39D5">
              <w:t>VPP P-100/14, ZPP P-600/14 a doložkami DOB101,</w:t>
            </w:r>
            <w:r w:rsidR="00BE39D5" w:rsidRPr="00BE39D5">
              <w:t xml:space="preserve"> DODP102, DODP103, DODP104, </w:t>
            </w:r>
            <w:r w:rsidR="00FC4701">
              <w:t>DODP105, DODP106,</w:t>
            </w:r>
            <w:r w:rsidRPr="00BE39D5">
              <w:t xml:space="preserve"> DODP109, </w:t>
            </w:r>
            <w:r w:rsidR="00FC4701">
              <w:t xml:space="preserve">DODP110, </w:t>
            </w:r>
            <w:r w:rsidR="00BE39D5" w:rsidRPr="00BE39D5">
              <w:t xml:space="preserve">DODP112, DODP113, </w:t>
            </w:r>
            <w:r w:rsidRPr="00BE39D5">
              <w:t>DODP120</w:t>
            </w:r>
            <w:r w:rsidRPr="00CB0CD4">
              <w:t xml:space="preserve"> </w:t>
            </w:r>
            <w:r w:rsidR="00BE39D5">
              <w:t>a DODP130</w:t>
            </w:r>
          </w:p>
        </w:tc>
      </w:tr>
      <w:tr w:rsidR="009B22B4" w:rsidRPr="00794833" w:rsidTr="00C70ADC">
        <w:tc>
          <w:tcPr>
            <w:tcW w:w="709" w:type="dxa"/>
            <w:vAlign w:val="center"/>
          </w:tcPr>
          <w:p w:rsidR="009B22B4" w:rsidRPr="00CB0CD4" w:rsidRDefault="009B22B4" w:rsidP="009D07E4">
            <w:pPr>
              <w:jc w:val="center"/>
              <w:rPr>
                <w:b/>
              </w:rPr>
            </w:pPr>
            <w:proofErr w:type="spellStart"/>
            <w:r w:rsidRPr="00CB0CD4">
              <w:rPr>
                <w:b/>
              </w:rPr>
              <w:t>Poř</w:t>
            </w:r>
            <w:proofErr w:type="spellEnd"/>
            <w:r w:rsidRPr="00CB0CD4">
              <w:rPr>
                <w:b/>
              </w:rPr>
              <w:t>. číslo</w:t>
            </w:r>
          </w:p>
        </w:tc>
        <w:tc>
          <w:tcPr>
            <w:tcW w:w="3119" w:type="dxa"/>
            <w:vAlign w:val="center"/>
          </w:tcPr>
          <w:p w:rsidR="009B22B4" w:rsidRPr="00CB0CD4" w:rsidRDefault="009B22B4" w:rsidP="009D07E4">
            <w:pPr>
              <w:jc w:val="center"/>
              <w:rPr>
                <w:b/>
              </w:rPr>
            </w:pPr>
            <w:r w:rsidRPr="00CB0CD4">
              <w:rPr>
                <w:b/>
              </w:rPr>
              <w:t>Rozsah pojištění</w:t>
            </w:r>
          </w:p>
        </w:tc>
        <w:tc>
          <w:tcPr>
            <w:tcW w:w="1559" w:type="dxa"/>
            <w:vAlign w:val="center"/>
          </w:tcPr>
          <w:p w:rsidR="009B22B4" w:rsidRPr="00CB0CD4" w:rsidRDefault="009B22B4" w:rsidP="00CB0CD4">
            <w:pPr>
              <w:jc w:val="center"/>
              <w:rPr>
                <w:b/>
              </w:rPr>
            </w:pPr>
            <w:r w:rsidRPr="00CB0CD4">
              <w:rPr>
                <w:b/>
              </w:rPr>
              <w:t>Limit pojistného plnění</w:t>
            </w:r>
          </w:p>
        </w:tc>
        <w:tc>
          <w:tcPr>
            <w:tcW w:w="1701" w:type="dxa"/>
            <w:vAlign w:val="center"/>
          </w:tcPr>
          <w:p w:rsidR="009B22B4" w:rsidRPr="00CB0CD4" w:rsidRDefault="009B22B4" w:rsidP="00CB0CD4">
            <w:pPr>
              <w:jc w:val="center"/>
              <w:rPr>
                <w:b/>
              </w:rPr>
            </w:pPr>
            <w:proofErr w:type="spellStart"/>
            <w:r w:rsidRPr="00CB0CD4">
              <w:rPr>
                <w:b/>
              </w:rPr>
              <w:t>Sublimit</w:t>
            </w:r>
            <w:proofErr w:type="spellEnd"/>
            <w:r w:rsidRPr="00CB0CD4">
              <w:rPr>
                <w:b/>
              </w:rPr>
              <w:t xml:space="preserve"> pojistného plnění</w:t>
            </w:r>
          </w:p>
        </w:tc>
        <w:tc>
          <w:tcPr>
            <w:tcW w:w="1418" w:type="dxa"/>
            <w:vAlign w:val="center"/>
          </w:tcPr>
          <w:p w:rsidR="009B22B4" w:rsidRPr="00CB0CD4" w:rsidRDefault="009B22B4" w:rsidP="009D07E4">
            <w:pPr>
              <w:jc w:val="center"/>
              <w:rPr>
                <w:b/>
              </w:rPr>
            </w:pPr>
            <w:r w:rsidRPr="00CB0CD4">
              <w:rPr>
                <w:b/>
              </w:rPr>
              <w:t>Spoluúčast</w:t>
            </w:r>
            <w:r w:rsidR="006303DD">
              <w:rPr>
                <w:b/>
                <w:vertAlign w:val="superscript"/>
              </w:rPr>
              <w:t>1</w:t>
            </w:r>
            <w:r w:rsidRPr="00CB0CD4">
              <w:rPr>
                <w:b/>
                <w:vertAlign w:val="superscript"/>
              </w:rPr>
              <w:t>)</w:t>
            </w:r>
          </w:p>
        </w:tc>
        <w:tc>
          <w:tcPr>
            <w:tcW w:w="1701" w:type="dxa"/>
            <w:vAlign w:val="center"/>
          </w:tcPr>
          <w:p w:rsidR="009B22B4" w:rsidRPr="00CB0CD4" w:rsidRDefault="009B22B4" w:rsidP="009D07E4">
            <w:pPr>
              <w:jc w:val="center"/>
              <w:rPr>
                <w:b/>
              </w:rPr>
            </w:pPr>
            <w:r w:rsidRPr="00CB0CD4">
              <w:rPr>
                <w:b/>
              </w:rPr>
              <w:t>Územní platnost pojištění</w:t>
            </w:r>
          </w:p>
        </w:tc>
      </w:tr>
      <w:tr w:rsidR="009B22B4" w:rsidRPr="00794833" w:rsidTr="00C70ADC">
        <w:tc>
          <w:tcPr>
            <w:tcW w:w="709" w:type="dxa"/>
          </w:tcPr>
          <w:p w:rsidR="009B22B4" w:rsidRPr="00A37936" w:rsidRDefault="009B22B4" w:rsidP="009D07E4">
            <w:pPr>
              <w:jc w:val="center"/>
            </w:pPr>
            <w:r w:rsidRPr="00A37936">
              <w:t>1.</w:t>
            </w:r>
          </w:p>
        </w:tc>
        <w:tc>
          <w:tcPr>
            <w:tcW w:w="3119" w:type="dxa"/>
          </w:tcPr>
          <w:p w:rsidR="009B22B4" w:rsidRPr="00A37936" w:rsidRDefault="00C11D94" w:rsidP="00A37936">
            <w:pPr>
              <w:jc w:val="left"/>
            </w:pPr>
            <w:r w:rsidRPr="00C11D94">
              <w:rPr>
                <w:szCs w:val="20"/>
              </w:rPr>
              <w:t xml:space="preserve">Pojištění obecné odpovědnosti za újmu a pojištění odpovědnosti za újmu způsobenou vadou výrobku a vadou práce po předání </w:t>
            </w:r>
            <w:r w:rsidR="00FC4701">
              <w:t xml:space="preserve">(Doložka </w:t>
            </w:r>
            <w:r w:rsidR="00A37936" w:rsidRPr="00A37936">
              <w:t>DODP102</w:t>
            </w:r>
            <w:r w:rsidR="00FC4701">
              <w:t>)</w:t>
            </w:r>
          </w:p>
        </w:tc>
        <w:tc>
          <w:tcPr>
            <w:tcW w:w="1559" w:type="dxa"/>
            <w:vAlign w:val="center"/>
          </w:tcPr>
          <w:p w:rsidR="009B22B4" w:rsidRPr="00A37936" w:rsidRDefault="00CB0CD4" w:rsidP="00A570E9">
            <w:pPr>
              <w:jc w:val="center"/>
            </w:pPr>
            <w:r w:rsidRPr="00A37936">
              <w:t>50 000 000 Kč</w:t>
            </w:r>
          </w:p>
        </w:tc>
        <w:tc>
          <w:tcPr>
            <w:tcW w:w="1701" w:type="dxa"/>
            <w:vAlign w:val="center"/>
          </w:tcPr>
          <w:p w:rsidR="009B22B4" w:rsidRPr="00A37936" w:rsidRDefault="009B22B4" w:rsidP="00A570E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B22B4" w:rsidRPr="00A37936" w:rsidRDefault="00A37936" w:rsidP="00A570E9">
            <w:pPr>
              <w:jc w:val="center"/>
            </w:pPr>
            <w:r w:rsidRPr="00A37936">
              <w:t>5 000 Kč</w:t>
            </w:r>
          </w:p>
        </w:tc>
        <w:tc>
          <w:tcPr>
            <w:tcW w:w="1701" w:type="dxa"/>
            <w:vAlign w:val="center"/>
          </w:tcPr>
          <w:p w:rsidR="009B22B4" w:rsidRPr="00A37936" w:rsidRDefault="00A37936" w:rsidP="00A570E9">
            <w:pPr>
              <w:jc w:val="center"/>
            </w:pPr>
            <w:r w:rsidRPr="00A37936">
              <w:t>Česká republika</w:t>
            </w:r>
          </w:p>
        </w:tc>
      </w:tr>
      <w:tr w:rsidR="00A37A59" w:rsidRPr="00794833" w:rsidTr="00C70ADC">
        <w:tc>
          <w:tcPr>
            <w:tcW w:w="709" w:type="dxa"/>
          </w:tcPr>
          <w:p w:rsidR="00A37A59" w:rsidRPr="00A37936" w:rsidRDefault="00A37A59" w:rsidP="009D07E4">
            <w:pPr>
              <w:jc w:val="center"/>
            </w:pPr>
            <w:r w:rsidRPr="00A37936">
              <w:lastRenderedPageBreak/>
              <w:t>2.</w:t>
            </w:r>
          </w:p>
        </w:tc>
        <w:tc>
          <w:tcPr>
            <w:tcW w:w="3119" w:type="dxa"/>
          </w:tcPr>
          <w:p w:rsidR="00A37A59" w:rsidRPr="00A37936" w:rsidRDefault="00A37A59" w:rsidP="009D07E4">
            <w:pPr>
              <w:jc w:val="left"/>
            </w:pPr>
            <w:r w:rsidRPr="00A37936">
              <w:t>Čisté finanční škody k pojištění obecné odpovědnosti za újmu a pojištění odpovědnosti za újmu způsobenou vadou práce po předání</w:t>
            </w:r>
            <w:r>
              <w:t xml:space="preserve"> (Doložka DODP112)</w:t>
            </w:r>
          </w:p>
        </w:tc>
        <w:tc>
          <w:tcPr>
            <w:tcW w:w="1559" w:type="dxa"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Pr="00A37936" w:rsidRDefault="005828E9" w:rsidP="00A570E9">
            <w:pPr>
              <w:jc w:val="center"/>
            </w:pPr>
            <w:r>
              <w:t>5</w:t>
            </w:r>
            <w:r w:rsidR="00A37A59" w:rsidRPr="00A37936">
              <w:t> 000 000 Kč</w:t>
            </w:r>
          </w:p>
        </w:tc>
        <w:tc>
          <w:tcPr>
            <w:tcW w:w="1418" w:type="dxa"/>
            <w:vAlign w:val="center"/>
          </w:tcPr>
          <w:p w:rsidR="00A37A59" w:rsidRPr="00A37936" w:rsidRDefault="00A37A59" w:rsidP="00A570E9">
            <w:pPr>
              <w:jc w:val="center"/>
            </w:pPr>
            <w:r w:rsidRPr="00A37936">
              <w:t>5 000 Kč</w:t>
            </w:r>
          </w:p>
        </w:tc>
        <w:tc>
          <w:tcPr>
            <w:tcW w:w="1701" w:type="dxa"/>
            <w:vMerge w:val="restart"/>
            <w:vAlign w:val="center"/>
          </w:tcPr>
          <w:p w:rsidR="00A37A59" w:rsidRPr="00A37936" w:rsidRDefault="00A37A59" w:rsidP="00A570E9">
            <w:pPr>
              <w:jc w:val="center"/>
            </w:pPr>
            <w:r w:rsidRPr="00A37936">
              <w:t>Česká republika</w:t>
            </w:r>
          </w:p>
        </w:tc>
      </w:tr>
      <w:tr w:rsidR="00A37A59" w:rsidRPr="00794833" w:rsidTr="00C70ADC">
        <w:tc>
          <w:tcPr>
            <w:tcW w:w="709" w:type="dxa"/>
          </w:tcPr>
          <w:p w:rsidR="00A37A59" w:rsidRPr="00A37936" w:rsidRDefault="00A37A59" w:rsidP="009D07E4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A37A59" w:rsidRPr="00A37936" w:rsidRDefault="00A37A59" w:rsidP="009D07E4">
            <w:pPr>
              <w:jc w:val="left"/>
            </w:pPr>
            <w:r>
              <w:t>Věci převzaté a užívané (Doložka DODP103 a DODP104)</w:t>
            </w:r>
          </w:p>
        </w:tc>
        <w:tc>
          <w:tcPr>
            <w:tcW w:w="1559" w:type="dxa"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Pr="00A37936" w:rsidRDefault="00A37A59" w:rsidP="00A570E9">
            <w:pPr>
              <w:jc w:val="center"/>
            </w:pPr>
            <w:r>
              <w:t>500 000 Kč</w:t>
            </w:r>
          </w:p>
        </w:tc>
        <w:tc>
          <w:tcPr>
            <w:tcW w:w="1418" w:type="dxa"/>
            <w:vAlign w:val="center"/>
          </w:tcPr>
          <w:p w:rsidR="00A37A59" w:rsidRPr="00A37936" w:rsidRDefault="00A37A59" w:rsidP="00A570E9">
            <w:pPr>
              <w:jc w:val="center"/>
            </w:pPr>
            <w:r>
              <w:t>5 000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9D07E4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A37A59" w:rsidRDefault="00A37A59" w:rsidP="009D07E4">
            <w:pPr>
              <w:jc w:val="left"/>
            </w:pPr>
            <w:r>
              <w:t>Věci zaměstnanců (Doložka DODP130)</w:t>
            </w:r>
          </w:p>
        </w:tc>
        <w:tc>
          <w:tcPr>
            <w:tcW w:w="1559" w:type="dxa"/>
            <w:vAlign w:val="center"/>
          </w:tcPr>
          <w:p w:rsidR="00A37A59" w:rsidRDefault="00A37A59" w:rsidP="00A570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Default="00A37A59" w:rsidP="00A570E9">
            <w:pPr>
              <w:jc w:val="center"/>
            </w:pPr>
            <w:r>
              <w:t>500 000 Kč</w:t>
            </w:r>
          </w:p>
        </w:tc>
        <w:tc>
          <w:tcPr>
            <w:tcW w:w="1418" w:type="dxa"/>
            <w:vAlign w:val="center"/>
          </w:tcPr>
          <w:p w:rsidR="00A37A59" w:rsidRDefault="00A37A59" w:rsidP="00A570E9">
            <w:pPr>
              <w:jc w:val="center"/>
            </w:pPr>
            <w:r>
              <w:t>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9D07E4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A37A59" w:rsidRDefault="00A37A59" w:rsidP="00A37936">
            <w:pPr>
              <w:jc w:val="left"/>
            </w:pPr>
            <w:r>
              <w:t xml:space="preserve">Znečištění životního prostředí </w:t>
            </w:r>
          </w:p>
          <w:p w:rsidR="00A37A59" w:rsidRDefault="00A37A59" w:rsidP="00A37936">
            <w:pPr>
              <w:jc w:val="left"/>
            </w:pPr>
            <w:r>
              <w:t>(Doložka DODP113)</w:t>
            </w:r>
          </w:p>
        </w:tc>
        <w:tc>
          <w:tcPr>
            <w:tcW w:w="1559" w:type="dxa"/>
            <w:vAlign w:val="center"/>
          </w:tcPr>
          <w:p w:rsidR="00A37A59" w:rsidRDefault="00A37A59" w:rsidP="00A570E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Default="00A37A59" w:rsidP="00A570E9">
            <w:pPr>
              <w:jc w:val="center"/>
            </w:pPr>
            <w:r>
              <w:t>5 000 000 Kč</w:t>
            </w:r>
          </w:p>
        </w:tc>
        <w:tc>
          <w:tcPr>
            <w:tcW w:w="1418" w:type="dxa"/>
            <w:vAlign w:val="center"/>
          </w:tcPr>
          <w:p w:rsidR="00A37A59" w:rsidRDefault="00A37A59" w:rsidP="00A570E9">
            <w:pPr>
              <w:jc w:val="center"/>
            </w:pPr>
            <w:r>
              <w:t>5 000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7C3F94">
            <w:pPr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A37A59" w:rsidRPr="00BE39D5" w:rsidRDefault="00A37A59" w:rsidP="00A37936">
            <w:pPr>
              <w:jc w:val="left"/>
              <w:rPr>
                <w:szCs w:val="20"/>
              </w:rPr>
            </w:pPr>
            <w:r w:rsidRPr="00BE39D5">
              <w:rPr>
                <w:szCs w:val="20"/>
              </w:rPr>
              <w:t>Náklady zdravotní pojišťovny a regresy dávek nemocenského pojištění</w:t>
            </w:r>
          </w:p>
          <w:p w:rsidR="00A37A59" w:rsidRDefault="00A37A59" w:rsidP="00A37936">
            <w:pPr>
              <w:jc w:val="left"/>
            </w:pPr>
            <w:r w:rsidRPr="00BE39D5">
              <w:rPr>
                <w:szCs w:val="20"/>
              </w:rPr>
              <w:t>(Doložka DODP105)</w:t>
            </w:r>
          </w:p>
        </w:tc>
        <w:tc>
          <w:tcPr>
            <w:tcW w:w="1559" w:type="dxa"/>
            <w:vAlign w:val="center"/>
          </w:tcPr>
          <w:p w:rsidR="00A37A59" w:rsidRPr="00A37936" w:rsidRDefault="00A37A59" w:rsidP="004B2A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Pr="00A37936" w:rsidRDefault="00A37A59" w:rsidP="004B2A50">
            <w:pPr>
              <w:jc w:val="center"/>
            </w:pPr>
            <w:r>
              <w:t>1</w:t>
            </w:r>
            <w:r w:rsidRPr="00A37936">
              <w:t> 000 000 Kč</w:t>
            </w:r>
          </w:p>
        </w:tc>
        <w:tc>
          <w:tcPr>
            <w:tcW w:w="1418" w:type="dxa"/>
            <w:vAlign w:val="center"/>
          </w:tcPr>
          <w:p w:rsidR="00A37A59" w:rsidRPr="00A37936" w:rsidRDefault="00EB74B5" w:rsidP="004B2A50">
            <w:pPr>
              <w:jc w:val="center"/>
            </w:pPr>
            <w:r>
              <w:t>1</w:t>
            </w:r>
            <w:r w:rsidR="00A37A59" w:rsidRPr="00A37936">
              <w:t> 000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7C3F94">
            <w:pPr>
              <w:jc w:val="center"/>
            </w:pPr>
            <w:r>
              <w:t>7.</w:t>
            </w:r>
          </w:p>
        </w:tc>
        <w:tc>
          <w:tcPr>
            <w:tcW w:w="3119" w:type="dxa"/>
          </w:tcPr>
          <w:p w:rsidR="00A37A59" w:rsidRPr="00BE39D5" w:rsidRDefault="00A37A59" w:rsidP="00A37936">
            <w:pPr>
              <w:jc w:val="left"/>
              <w:rPr>
                <w:szCs w:val="20"/>
              </w:rPr>
            </w:pPr>
            <w:r w:rsidRPr="00BE39D5">
              <w:rPr>
                <w:szCs w:val="20"/>
              </w:rPr>
              <w:t>Křížová odpovědnost</w:t>
            </w:r>
          </w:p>
          <w:p w:rsidR="00A37A59" w:rsidRPr="00BE39D5" w:rsidRDefault="00A37A59" w:rsidP="00A37936">
            <w:pPr>
              <w:jc w:val="left"/>
              <w:rPr>
                <w:szCs w:val="20"/>
              </w:rPr>
            </w:pPr>
            <w:r w:rsidRPr="00BE39D5">
              <w:rPr>
                <w:szCs w:val="20"/>
              </w:rPr>
              <w:t>(Doložka DODP106)</w:t>
            </w:r>
          </w:p>
        </w:tc>
        <w:tc>
          <w:tcPr>
            <w:tcW w:w="1559" w:type="dxa"/>
            <w:vAlign w:val="center"/>
          </w:tcPr>
          <w:p w:rsidR="00A37A59" w:rsidRDefault="00A37A59" w:rsidP="004B2A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Default="005828E9" w:rsidP="004B2A50">
            <w:pPr>
              <w:jc w:val="center"/>
            </w:pPr>
            <w:r>
              <w:t>25</w:t>
            </w:r>
            <w:r w:rsidR="00A37A59">
              <w:t xml:space="preserve"> 000 000 Kč</w:t>
            </w:r>
          </w:p>
        </w:tc>
        <w:tc>
          <w:tcPr>
            <w:tcW w:w="1418" w:type="dxa"/>
            <w:vAlign w:val="center"/>
          </w:tcPr>
          <w:p w:rsidR="00A37A59" w:rsidRDefault="00A37A59" w:rsidP="004B2A50">
            <w:pPr>
              <w:jc w:val="center"/>
            </w:pPr>
            <w:r>
              <w:t>5 000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9D07E4">
            <w:pPr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A37A59" w:rsidRPr="00BE39D5" w:rsidRDefault="00A37A59" w:rsidP="00C15F1D">
            <w:pPr>
              <w:jc w:val="left"/>
              <w:rPr>
                <w:szCs w:val="20"/>
              </w:rPr>
            </w:pPr>
            <w:r w:rsidRPr="00BE39D5">
              <w:rPr>
                <w:szCs w:val="20"/>
              </w:rPr>
              <w:t xml:space="preserve">Provoz pracovních strojů </w:t>
            </w:r>
            <w:r>
              <w:t xml:space="preserve">(Doložka </w:t>
            </w:r>
            <w:r w:rsidRPr="00BE39D5">
              <w:rPr>
                <w:szCs w:val="20"/>
              </w:rPr>
              <w:t>DODP109</w:t>
            </w:r>
            <w:r>
              <w:rPr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37A59" w:rsidRDefault="00A37A59" w:rsidP="00C15F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Default="00A37A59" w:rsidP="00C15F1D">
            <w:pPr>
              <w:jc w:val="center"/>
            </w:pPr>
            <w:r>
              <w:t>500 000 Kč</w:t>
            </w:r>
          </w:p>
        </w:tc>
        <w:tc>
          <w:tcPr>
            <w:tcW w:w="1418" w:type="dxa"/>
            <w:vAlign w:val="center"/>
          </w:tcPr>
          <w:p w:rsidR="00A37A59" w:rsidRDefault="00A37A59" w:rsidP="00C15F1D">
            <w:pPr>
              <w:jc w:val="center"/>
            </w:pPr>
            <w:r>
              <w:t>5 000 Kč</w:t>
            </w:r>
          </w:p>
        </w:tc>
        <w:tc>
          <w:tcPr>
            <w:tcW w:w="1701" w:type="dxa"/>
            <w:vMerge/>
            <w:vAlign w:val="center"/>
          </w:tcPr>
          <w:p w:rsidR="00A37A59" w:rsidRPr="00A37936" w:rsidRDefault="00A37A59" w:rsidP="00A570E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9D07E4">
            <w:pPr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A37A59" w:rsidRPr="00BE39D5" w:rsidRDefault="00A37A59" w:rsidP="00A37936">
            <w:pPr>
              <w:jc w:val="left"/>
              <w:rPr>
                <w:rFonts w:cs="Arial"/>
                <w:bCs/>
                <w:szCs w:val="20"/>
              </w:rPr>
            </w:pPr>
            <w:r w:rsidRPr="00BE39D5">
              <w:rPr>
                <w:rFonts w:cs="Arial"/>
                <w:bCs/>
                <w:szCs w:val="20"/>
              </w:rPr>
              <w:t>Peněžitá náhrada nemajetkové újmy - ochrana osobnosti</w:t>
            </w:r>
          </w:p>
          <w:p w:rsidR="00A37A59" w:rsidRPr="00BE39D5" w:rsidRDefault="00A37A59" w:rsidP="00A37936">
            <w:pPr>
              <w:jc w:val="left"/>
              <w:rPr>
                <w:szCs w:val="20"/>
              </w:rPr>
            </w:pPr>
            <w:r w:rsidRPr="00BE39D5">
              <w:rPr>
                <w:rFonts w:cs="Arial"/>
                <w:bCs/>
                <w:szCs w:val="20"/>
              </w:rPr>
              <w:t>(Doložka DODP110)</w:t>
            </w:r>
          </w:p>
        </w:tc>
        <w:tc>
          <w:tcPr>
            <w:tcW w:w="1559" w:type="dxa"/>
            <w:vAlign w:val="center"/>
          </w:tcPr>
          <w:p w:rsidR="00A37A59" w:rsidRPr="00A37936" w:rsidRDefault="00A37A59" w:rsidP="004B2A5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Pr="00A37936" w:rsidRDefault="005828E9" w:rsidP="004B2A50">
            <w:pPr>
              <w:jc w:val="center"/>
            </w:pPr>
            <w:r>
              <w:t>5</w:t>
            </w:r>
            <w:r w:rsidR="00A37A59" w:rsidRPr="00A37936">
              <w:t> 000 000 Kč</w:t>
            </w:r>
          </w:p>
        </w:tc>
        <w:tc>
          <w:tcPr>
            <w:tcW w:w="1418" w:type="dxa"/>
            <w:vAlign w:val="center"/>
          </w:tcPr>
          <w:p w:rsidR="00A37A59" w:rsidRPr="00A37936" w:rsidRDefault="00A37A59" w:rsidP="004B2A50">
            <w:pPr>
              <w:jc w:val="center"/>
            </w:pPr>
            <w:r w:rsidRPr="00A37936">
              <w:t>5 000 Kč</w:t>
            </w:r>
          </w:p>
        </w:tc>
        <w:tc>
          <w:tcPr>
            <w:tcW w:w="1701" w:type="dxa"/>
            <w:vMerge/>
          </w:tcPr>
          <w:p w:rsidR="00A37A59" w:rsidRPr="00A37936" w:rsidRDefault="00A37A59" w:rsidP="00A37A59">
            <w:pPr>
              <w:jc w:val="center"/>
            </w:pPr>
          </w:p>
        </w:tc>
      </w:tr>
      <w:tr w:rsidR="00A37A59" w:rsidRPr="00794833" w:rsidTr="00C70ADC">
        <w:tc>
          <w:tcPr>
            <w:tcW w:w="709" w:type="dxa"/>
          </w:tcPr>
          <w:p w:rsidR="00A37A59" w:rsidRDefault="00A37A59" w:rsidP="009D07E4">
            <w:pPr>
              <w:jc w:val="center"/>
            </w:pPr>
            <w:r>
              <w:t>10.</w:t>
            </w:r>
          </w:p>
        </w:tc>
        <w:tc>
          <w:tcPr>
            <w:tcW w:w="3119" w:type="dxa"/>
          </w:tcPr>
          <w:p w:rsidR="00A37A59" w:rsidRDefault="00A37A59" w:rsidP="003E5261">
            <w:pPr>
              <w:jc w:val="left"/>
            </w:pPr>
            <w:r>
              <w:t xml:space="preserve">Odpovědnost obchodní korporace </w:t>
            </w:r>
          </w:p>
          <w:p w:rsidR="00A37A59" w:rsidRDefault="00A37A59" w:rsidP="003E5261">
            <w:pPr>
              <w:jc w:val="left"/>
            </w:pPr>
            <w:r>
              <w:t>(Doložka DODP120)</w:t>
            </w:r>
          </w:p>
        </w:tc>
        <w:tc>
          <w:tcPr>
            <w:tcW w:w="1559" w:type="dxa"/>
            <w:vAlign w:val="center"/>
          </w:tcPr>
          <w:p w:rsidR="00A37A59" w:rsidRDefault="00A37A59" w:rsidP="003E52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59" w:rsidRDefault="005828E9" w:rsidP="003E5261">
            <w:pPr>
              <w:jc w:val="center"/>
            </w:pPr>
            <w:r>
              <w:t>25</w:t>
            </w:r>
            <w:r w:rsidR="00A37A59">
              <w:t> 000 000 Kč</w:t>
            </w:r>
          </w:p>
        </w:tc>
        <w:tc>
          <w:tcPr>
            <w:tcW w:w="1418" w:type="dxa"/>
            <w:vAlign w:val="center"/>
          </w:tcPr>
          <w:p w:rsidR="00A37A59" w:rsidRDefault="00A37A59" w:rsidP="003E5261">
            <w:pPr>
              <w:jc w:val="center"/>
            </w:pPr>
            <w:r>
              <w:t>5 000 Kč</w:t>
            </w:r>
          </w:p>
        </w:tc>
        <w:tc>
          <w:tcPr>
            <w:tcW w:w="1701" w:type="dxa"/>
            <w:vMerge/>
          </w:tcPr>
          <w:p w:rsidR="00A37A59" w:rsidRPr="00A37936" w:rsidRDefault="00A37A59" w:rsidP="009D07E4">
            <w:pPr>
              <w:jc w:val="left"/>
            </w:pPr>
          </w:p>
        </w:tc>
      </w:tr>
      <w:tr w:rsidR="00FC4701" w:rsidRPr="00794833" w:rsidTr="00C70ADC">
        <w:tc>
          <w:tcPr>
            <w:tcW w:w="10207" w:type="dxa"/>
            <w:gridSpan w:val="6"/>
          </w:tcPr>
          <w:p w:rsidR="00C11D94" w:rsidRPr="003E5261" w:rsidRDefault="00FC4701" w:rsidP="001B4BFD">
            <w:r w:rsidRPr="003E5261">
              <w:t xml:space="preserve">Poznámky: </w:t>
            </w:r>
          </w:p>
          <w:p w:rsidR="009F518F" w:rsidRPr="00966226" w:rsidRDefault="009F518F" w:rsidP="009F518F">
            <w:pPr>
              <w:rPr>
                <w:szCs w:val="20"/>
              </w:rPr>
            </w:pPr>
            <w:r w:rsidRPr="00966226">
              <w:rPr>
                <w:szCs w:val="20"/>
              </w:rPr>
              <w:t>Odchylně od čl. 5 odst. 2) až 4) ZPP P-600/14 je pojistitel povinen poskytnout pojistné plnění za předpokladu, že jsou současně splněny následující podmínky: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a)</w:t>
            </w:r>
            <w:r w:rsidRPr="00966226">
              <w:rPr>
                <w:szCs w:val="20"/>
              </w:rPr>
              <w:tab/>
              <w:t xml:space="preserve">příčina vzniku újmy, tj. porušení právní povinnosti nebo jiná právní skutečnost, v jejímž důsledku újma vznikla, nastala po retroaktivním datu, kterým je </w:t>
            </w:r>
            <w:proofErr w:type="gramStart"/>
            <w:r>
              <w:rPr>
                <w:szCs w:val="20"/>
              </w:rPr>
              <w:t>1.11.2014</w:t>
            </w:r>
            <w:proofErr w:type="gramEnd"/>
            <w:r>
              <w:rPr>
                <w:szCs w:val="20"/>
              </w:rPr>
              <w:t>,</w:t>
            </w:r>
          </w:p>
          <w:p w:rsidR="009F518F" w:rsidRPr="00966226" w:rsidRDefault="009F518F" w:rsidP="009F518F">
            <w:pPr>
              <w:ind w:left="318"/>
              <w:rPr>
                <w:szCs w:val="20"/>
              </w:rPr>
            </w:pPr>
            <w:r w:rsidRPr="00966226">
              <w:rPr>
                <w:szCs w:val="20"/>
              </w:rPr>
              <w:t xml:space="preserve">resp. případně příčina vzniku újmy, tj. to že konkrétní výrobek, který způsobil újmu, byl pojištěným úplatně nebo bezúplatně předán za účelem distribuce nebo používání nebo k němu bylo pojištěným převedeno vlastnické právo, nastala po retroaktivním datu, kterým je </w:t>
            </w:r>
            <w:proofErr w:type="gramStart"/>
            <w:r>
              <w:rPr>
                <w:szCs w:val="20"/>
              </w:rPr>
              <w:t>1.11.2014</w:t>
            </w:r>
            <w:proofErr w:type="gramEnd"/>
            <w:r>
              <w:rPr>
                <w:szCs w:val="20"/>
              </w:rPr>
              <w:t>,</w:t>
            </w:r>
          </w:p>
          <w:p w:rsidR="009F518F" w:rsidRPr="00966226" w:rsidRDefault="009F518F" w:rsidP="009F518F">
            <w:pPr>
              <w:ind w:left="318"/>
              <w:rPr>
                <w:szCs w:val="20"/>
              </w:rPr>
            </w:pPr>
            <w:r w:rsidRPr="00966226">
              <w:rPr>
                <w:szCs w:val="20"/>
              </w:rPr>
              <w:t xml:space="preserve">resp. případně příčina vzniku újmy, tj. vada vykonané práce, nastala po retroaktivním datu, kterým je </w:t>
            </w:r>
            <w:proofErr w:type="gramStart"/>
            <w:r>
              <w:rPr>
                <w:szCs w:val="20"/>
              </w:rPr>
              <w:t>1.11.2014</w:t>
            </w:r>
            <w:proofErr w:type="gramEnd"/>
            <w:r>
              <w:rPr>
                <w:szCs w:val="20"/>
              </w:rPr>
              <w:t>,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b)</w:t>
            </w:r>
            <w:r w:rsidRPr="00966226">
              <w:rPr>
                <w:szCs w:val="20"/>
              </w:rPr>
              <w:tab/>
              <w:t>k usmrcení nebo ublížení na zdraví člověka, k poškození, zničení nebo ztrátě věci nebo k usmrcení, ztrátě nebo zranění zvířete došlo v době trvání pojištění.</w:t>
            </w:r>
          </w:p>
          <w:p w:rsidR="009F518F" w:rsidRPr="00966226" w:rsidRDefault="009F518F" w:rsidP="009F518F">
            <w:pPr>
              <w:tabs>
                <w:tab w:val="left" w:pos="70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66226">
              <w:rPr>
                <w:rFonts w:eastAsia="Geneva" w:cs="Arial"/>
                <w:bCs/>
                <w:kern w:val="28"/>
                <w:szCs w:val="16"/>
              </w:rPr>
              <w:t>Za okamžik ublížení na zdraví člověka se považuje: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a)</w:t>
            </w:r>
            <w:r w:rsidRPr="00966226">
              <w:rPr>
                <w:szCs w:val="20"/>
              </w:rPr>
              <w:tab/>
              <w:t>v případě ublížení na zdraví úrazem okamžik, kdy došlo ke krátkodobému, náhlému a násilnému působení zevních sil nebo vlivů, které způsobily ublížení na zdraví,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b)</w:t>
            </w:r>
            <w:r w:rsidRPr="00966226">
              <w:rPr>
                <w:szCs w:val="20"/>
              </w:rPr>
              <w:tab/>
              <w:t>v případě ublížení na zdraví jinak než úrazem okamžik, který je jako vznik tohoto ublížení na zdraví lékařsky doložen.</w:t>
            </w:r>
          </w:p>
          <w:p w:rsidR="009F518F" w:rsidRPr="00966226" w:rsidRDefault="009F518F" w:rsidP="009F518F">
            <w:pPr>
              <w:tabs>
                <w:tab w:val="left" w:pos="70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66226">
              <w:rPr>
                <w:rFonts w:eastAsia="Geneva" w:cs="Arial"/>
                <w:bCs/>
                <w:kern w:val="28"/>
                <w:szCs w:val="16"/>
              </w:rPr>
              <w:t>Za okamžik usmrcení člověka se považuje okamžik ublížení na zdraví člověka, v jehož důsledku došlo k </w:t>
            </w:r>
            <w:r w:rsidRPr="00966226">
              <w:rPr>
                <w:rFonts w:eastAsia="Geneva" w:cs="Arial"/>
                <w:bCs/>
                <w:kern w:val="28"/>
                <w:szCs w:val="20"/>
              </w:rPr>
              <w:t>jeho</w:t>
            </w:r>
            <w:r w:rsidRPr="00966226">
              <w:rPr>
                <w:rFonts w:eastAsia="Geneva" w:cs="Arial"/>
                <w:bCs/>
                <w:kern w:val="28"/>
                <w:szCs w:val="16"/>
              </w:rPr>
              <w:t xml:space="preserve"> usmrcení.</w:t>
            </w:r>
          </w:p>
          <w:p w:rsidR="009F518F" w:rsidRPr="00966226" w:rsidRDefault="009F518F" w:rsidP="009F518F">
            <w:pPr>
              <w:tabs>
                <w:tab w:val="left" w:pos="70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66226">
              <w:rPr>
                <w:rFonts w:eastAsia="Geneva" w:cs="Arial"/>
                <w:bCs/>
                <w:kern w:val="28"/>
                <w:szCs w:val="16"/>
              </w:rPr>
              <w:t>Za okamžik zranění zvířete se považuje: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a)</w:t>
            </w:r>
            <w:r w:rsidRPr="00966226">
              <w:rPr>
                <w:szCs w:val="20"/>
              </w:rPr>
              <w:tab/>
              <w:t>v případě zranění úrazem okamžik, kdy došlo ke krátkodobému, náhlému a násilnému působení zevních sil nebo vlivů, které způsobily zranění,</w:t>
            </w:r>
          </w:p>
          <w:p w:rsidR="009F518F" w:rsidRPr="00966226" w:rsidRDefault="009F518F" w:rsidP="009F518F">
            <w:pPr>
              <w:ind w:left="318" w:hanging="284"/>
              <w:rPr>
                <w:szCs w:val="20"/>
              </w:rPr>
            </w:pPr>
            <w:r w:rsidRPr="00966226">
              <w:rPr>
                <w:szCs w:val="20"/>
              </w:rPr>
              <w:t>b)</w:t>
            </w:r>
            <w:r w:rsidRPr="00966226">
              <w:rPr>
                <w:szCs w:val="20"/>
              </w:rPr>
              <w:tab/>
              <w:t>v případě zranění jinak než úrazem okamžik, který je jako vznik tohoto zranění lékařsky doložen.</w:t>
            </w:r>
          </w:p>
          <w:p w:rsidR="00363B97" w:rsidRPr="009F518F" w:rsidRDefault="009F518F" w:rsidP="001B4BFD">
            <w:pPr>
              <w:tabs>
                <w:tab w:val="left" w:pos="70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66226">
              <w:rPr>
                <w:rFonts w:eastAsia="Geneva" w:cs="Arial"/>
                <w:bCs/>
                <w:kern w:val="28"/>
                <w:szCs w:val="16"/>
              </w:rPr>
              <w:t>Za okamžik usmrcení zvířete se považuje okamžik zranění zvířete, v jehož důsledku došlo k </w:t>
            </w:r>
            <w:r w:rsidRPr="00966226">
              <w:rPr>
                <w:rFonts w:eastAsia="Geneva" w:cs="Arial"/>
                <w:bCs/>
                <w:kern w:val="28"/>
                <w:szCs w:val="20"/>
              </w:rPr>
              <w:t>jeho</w:t>
            </w:r>
            <w:r w:rsidRPr="00966226">
              <w:rPr>
                <w:rFonts w:eastAsia="Geneva" w:cs="Arial"/>
                <w:bCs/>
                <w:kern w:val="28"/>
                <w:szCs w:val="16"/>
              </w:rPr>
              <w:t xml:space="preserve"> usmrcení.</w:t>
            </w:r>
          </w:p>
          <w:p w:rsidR="00FC4701" w:rsidRPr="009F518F" w:rsidRDefault="00FC4701" w:rsidP="009F518F">
            <w:pPr>
              <w:tabs>
                <w:tab w:val="left" w:pos="459"/>
              </w:tabs>
              <w:spacing w:before="60"/>
              <w:rPr>
                <w:rFonts w:eastAsia="Geneva" w:cs="Arial"/>
                <w:bCs/>
                <w:kern w:val="28"/>
                <w:szCs w:val="16"/>
                <w:highlight w:val="yellow"/>
              </w:rPr>
            </w:pPr>
            <w:r w:rsidRPr="009F518F">
              <w:rPr>
                <w:rFonts w:eastAsia="Geneva" w:cs="Arial"/>
                <w:bCs/>
                <w:kern w:val="28"/>
                <w:szCs w:val="16"/>
              </w:rPr>
              <w:t xml:space="preserve">Vztahuje-li se pojištění i na právním </w:t>
            </w:r>
            <w:proofErr w:type="gramStart"/>
            <w:r w:rsidRPr="009F518F">
              <w:rPr>
                <w:rFonts w:eastAsia="Geneva" w:cs="Arial"/>
                <w:bCs/>
                <w:kern w:val="28"/>
                <w:szCs w:val="16"/>
              </w:rPr>
              <w:t>předpisem</w:t>
            </w:r>
            <w:proofErr w:type="gramEnd"/>
            <w:r w:rsidRPr="009F518F">
              <w:rPr>
                <w:rFonts w:eastAsia="Geneva" w:cs="Arial"/>
                <w:bCs/>
                <w:kern w:val="28"/>
                <w:szCs w:val="16"/>
              </w:rPr>
              <w:t xml:space="preserve"> stanovenou povinnost pojištěného poskytnout peněžitou náhradu nemajetkové újmy v jiných případech, než jsou uvedeny v čl. 1 odst. 2) ZPP P-600/14, je pojistitel odchylně od čl. 5 odst. 2) až 4) ZPP P-600/14 povinen poskytnout pojistné plnění za předpokladu, že taková nemajetková újma vznikla v době trvání pojištění.</w:t>
            </w:r>
          </w:p>
          <w:p w:rsidR="00FC4701" w:rsidRPr="009F518F" w:rsidRDefault="00FC4701" w:rsidP="009F518F">
            <w:p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F518F">
              <w:rPr>
                <w:rFonts w:eastAsia="Geneva" w:cs="Arial"/>
                <w:bCs/>
                <w:kern w:val="28"/>
                <w:szCs w:val="16"/>
              </w:rPr>
              <w:t xml:space="preserve">Vztahuje-li se pojištění i na právním </w:t>
            </w:r>
            <w:proofErr w:type="gramStart"/>
            <w:r w:rsidRPr="009F518F">
              <w:rPr>
                <w:rFonts w:eastAsia="Geneva" w:cs="Arial"/>
                <w:bCs/>
                <w:kern w:val="28"/>
                <w:szCs w:val="16"/>
              </w:rPr>
              <w:t>předpisem</w:t>
            </w:r>
            <w:proofErr w:type="gramEnd"/>
            <w:r w:rsidRPr="009F518F">
              <w:rPr>
                <w:rFonts w:eastAsia="Geneva" w:cs="Arial"/>
                <w:bCs/>
                <w:kern w:val="28"/>
                <w:szCs w:val="16"/>
              </w:rPr>
              <w:t xml:space="preserve"> stanovenou povinnost pojištěného nahradit čistou finanční škodu, je pojistitel odchylně od čl. 5 odst. 2) až 4) ZPP P-600/14 povinen poskytnout pojistné plnění za předpokladu, že čistá finanční škoda vznikla v době trvání pojištění.</w:t>
            </w:r>
          </w:p>
          <w:p w:rsidR="00FC4701" w:rsidRDefault="00FC4701" w:rsidP="003E5261">
            <w:pPr>
              <w:pStyle w:val="Odstavecseseznamem"/>
              <w:rPr>
                <w:rFonts w:ascii="Koop Office" w:eastAsia="Geneva" w:hAnsi="Koop Office" w:cs="Arial"/>
                <w:bCs/>
                <w:kern w:val="28"/>
                <w:szCs w:val="16"/>
              </w:rPr>
            </w:pPr>
          </w:p>
          <w:p w:rsidR="00C70ADC" w:rsidRPr="003E5261" w:rsidRDefault="00C70ADC" w:rsidP="003E5261">
            <w:pPr>
              <w:pStyle w:val="Odstavecseseznamem"/>
              <w:rPr>
                <w:rFonts w:ascii="Koop Office" w:eastAsia="Geneva" w:hAnsi="Koop Office" w:cs="Arial"/>
                <w:bCs/>
                <w:kern w:val="28"/>
                <w:szCs w:val="16"/>
              </w:rPr>
            </w:pPr>
          </w:p>
          <w:p w:rsidR="00FC4701" w:rsidRPr="00B631F4" w:rsidRDefault="00B631F4" w:rsidP="00B631F4">
            <w:pPr>
              <w:rPr>
                <w:rFonts w:eastAsia="Geneva" w:cs="Arial"/>
                <w:bCs/>
                <w:kern w:val="28"/>
                <w:szCs w:val="16"/>
              </w:rPr>
            </w:pPr>
            <w:r w:rsidRPr="00B631F4">
              <w:rPr>
                <w:rFonts w:eastAsia="Geneva" w:cs="Arial"/>
                <w:bCs/>
                <w:kern w:val="28"/>
                <w:szCs w:val="16"/>
              </w:rPr>
              <w:lastRenderedPageBreak/>
              <w:t>Pojištění se dle této pojistné smlouvy vztahuje i na povinnost pojištěného nahradit újmu způsobenou stavebně-montážní činností.</w:t>
            </w:r>
          </w:p>
          <w:p w:rsidR="00B631F4" w:rsidRPr="009175E7" w:rsidRDefault="00B631F4" w:rsidP="00B631F4">
            <w:pPr>
              <w:tabs>
                <w:tab w:val="left" w:pos="318"/>
              </w:tabs>
              <w:rPr>
                <w:rFonts w:eastAsia="Geneva" w:cs="Arial"/>
                <w:bCs/>
                <w:kern w:val="28"/>
                <w:szCs w:val="16"/>
              </w:rPr>
            </w:pPr>
            <w:proofErr w:type="spellStart"/>
            <w:r w:rsidRPr="009175E7">
              <w:rPr>
                <w:rFonts w:eastAsia="Geneva" w:cs="Arial"/>
                <w:bCs/>
                <w:kern w:val="28"/>
                <w:szCs w:val="16"/>
              </w:rPr>
              <w:t>Sublimit</w:t>
            </w:r>
            <w:proofErr w:type="spellEnd"/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pojistného plnění pro toto pojištění činí </w:t>
            </w:r>
            <w:r>
              <w:rPr>
                <w:rFonts w:eastAsia="Geneva" w:cs="Arial"/>
                <w:bCs/>
                <w:kern w:val="28"/>
                <w:szCs w:val="16"/>
              </w:rPr>
              <w:t>2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 000 </w:t>
            </w:r>
            <w:r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 Kč a spoluúčast</w:t>
            </w:r>
            <w:r w:rsidR="006303DD">
              <w:rPr>
                <w:rFonts w:eastAsia="Geneva" w:cs="Arial"/>
                <w:bCs/>
                <w:kern w:val="28"/>
                <w:szCs w:val="16"/>
                <w:vertAlign w:val="superscript"/>
              </w:rPr>
              <w:t>1</w:t>
            </w:r>
            <w:r w:rsidRPr="009175E7">
              <w:rPr>
                <w:rFonts w:eastAsia="Geneva" w:cs="Arial"/>
                <w:bCs/>
                <w:kern w:val="28"/>
                <w:szCs w:val="16"/>
                <w:vertAlign w:val="superscript"/>
              </w:rPr>
              <w:t>)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5 </w:t>
            </w:r>
            <w:r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,-Kč.</w:t>
            </w:r>
          </w:p>
          <w:p w:rsidR="00B631F4" w:rsidRPr="00B631F4" w:rsidRDefault="00B631F4" w:rsidP="00B631F4">
            <w:pPr>
              <w:rPr>
                <w:rFonts w:eastAsia="Geneva" w:cs="Arial"/>
                <w:bCs/>
                <w:kern w:val="28"/>
                <w:szCs w:val="16"/>
                <w:highlight w:val="yellow"/>
              </w:rPr>
            </w:pPr>
          </w:p>
          <w:p w:rsidR="00542AAC" w:rsidRDefault="00542AAC" w:rsidP="009F518F">
            <w:p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Odchylně od ZPP P-600/14 čl. 2 odst. 1) písm. </w:t>
            </w:r>
            <w:r w:rsidR="009175E7">
              <w:rPr>
                <w:rFonts w:eastAsia="Geneva" w:cs="Arial"/>
                <w:bCs/>
                <w:kern w:val="28"/>
                <w:szCs w:val="16"/>
              </w:rPr>
              <w:t>r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) se pojištění vztahuje na povinnost nahradit újmu způsobenou </w:t>
            </w:r>
            <w:r w:rsidR="00B140BF" w:rsidRPr="009175E7">
              <w:rPr>
                <w:rFonts w:eastAsia="Geneva" w:cs="Arial"/>
                <w:bCs/>
                <w:kern w:val="28"/>
                <w:szCs w:val="16"/>
              </w:rPr>
              <w:t xml:space="preserve">přerušením, omezením nebo kolísáním </w:t>
            </w:r>
            <w:r w:rsidR="009175E7">
              <w:rPr>
                <w:rFonts w:eastAsia="Geneva" w:cs="Arial"/>
                <w:bCs/>
                <w:kern w:val="28"/>
                <w:szCs w:val="16"/>
              </w:rPr>
              <w:t>do</w:t>
            </w:r>
            <w:r w:rsidR="00B140BF" w:rsidRPr="009175E7">
              <w:rPr>
                <w:rFonts w:eastAsia="Geneva" w:cs="Arial"/>
                <w:bCs/>
                <w:kern w:val="28"/>
                <w:szCs w:val="16"/>
              </w:rPr>
              <w:t>dávek</w:t>
            </w:r>
            <w:r w:rsidR="00131D57">
              <w:rPr>
                <w:rFonts w:eastAsia="Geneva" w:cs="Arial"/>
                <w:bCs/>
                <w:kern w:val="28"/>
                <w:szCs w:val="16"/>
              </w:rPr>
              <w:t xml:space="preserve"> vody</w:t>
            </w:r>
            <w:r w:rsidR="00B140BF" w:rsidRPr="009175E7">
              <w:rPr>
                <w:rFonts w:eastAsia="Geneva" w:cs="Arial"/>
                <w:bCs/>
                <w:kern w:val="28"/>
                <w:szCs w:val="16"/>
              </w:rPr>
              <w:t>.</w:t>
            </w:r>
          </w:p>
          <w:p w:rsidR="00131D57" w:rsidRDefault="00131D57" w:rsidP="009F518F">
            <w:p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>
              <w:rPr>
                <w:rFonts w:eastAsia="Geneva" w:cs="Arial"/>
                <w:bCs/>
                <w:kern w:val="28"/>
                <w:szCs w:val="16"/>
              </w:rPr>
              <w:t>Předpokladem vzniku práva na plnění je, že toto přerušení, omezení nebo kolísání dodávek nebylo způsobeno:</w:t>
            </w:r>
          </w:p>
          <w:p w:rsidR="00131D57" w:rsidRDefault="00131D57" w:rsidP="00131D57">
            <w:pPr>
              <w:pStyle w:val="Odstavecseseznamem"/>
              <w:numPr>
                <w:ilvl w:val="0"/>
                <w:numId w:val="28"/>
              </w:num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>
              <w:rPr>
                <w:rFonts w:eastAsia="Geneva" w:cs="Arial"/>
                <w:bCs/>
                <w:kern w:val="28"/>
                <w:szCs w:val="16"/>
              </w:rPr>
              <w:t>opomenutím pojištěného adekvátně udržovat ve vyhovujících podmínkách, opravovat nebo renovovat zařízení nebo provozy sloužící k výrobě nebo přenosu vody,</w:t>
            </w:r>
          </w:p>
          <w:p w:rsidR="00131D57" w:rsidRPr="00131D57" w:rsidRDefault="00131D57" w:rsidP="00131D57">
            <w:pPr>
              <w:pStyle w:val="Odstavecseseznamem"/>
              <w:numPr>
                <w:ilvl w:val="0"/>
                <w:numId w:val="28"/>
              </w:num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>
              <w:rPr>
                <w:rFonts w:eastAsia="Geneva" w:cs="Arial"/>
                <w:bCs/>
                <w:kern w:val="28"/>
                <w:szCs w:val="16"/>
              </w:rPr>
              <w:t>neschopností pojištěného svojí výrobní nebo přenosovou kapacitou uspokojit poptávku.</w:t>
            </w:r>
          </w:p>
          <w:p w:rsidR="00B140BF" w:rsidRPr="009175E7" w:rsidRDefault="00B140BF" w:rsidP="00B631F4">
            <w:pPr>
              <w:tabs>
                <w:tab w:val="left" w:pos="318"/>
              </w:tabs>
              <w:rPr>
                <w:rFonts w:eastAsia="Geneva" w:cs="Arial"/>
                <w:bCs/>
                <w:kern w:val="28"/>
                <w:szCs w:val="16"/>
              </w:rPr>
            </w:pPr>
            <w:proofErr w:type="spellStart"/>
            <w:r w:rsidRPr="009175E7">
              <w:rPr>
                <w:rFonts w:eastAsia="Geneva" w:cs="Arial"/>
                <w:bCs/>
                <w:kern w:val="28"/>
                <w:szCs w:val="16"/>
              </w:rPr>
              <w:t>Sublimit</w:t>
            </w:r>
            <w:proofErr w:type="spellEnd"/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pojistného plnění pro toto pojištění činí 10 000 </w:t>
            </w:r>
            <w:r w:rsidR="009175E7"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 Kč a spoluúčast</w:t>
            </w:r>
            <w:r w:rsidR="006303DD">
              <w:rPr>
                <w:rFonts w:eastAsia="Geneva" w:cs="Arial"/>
                <w:bCs/>
                <w:kern w:val="28"/>
                <w:szCs w:val="16"/>
                <w:vertAlign w:val="superscript"/>
              </w:rPr>
              <w:t>1</w:t>
            </w:r>
            <w:r w:rsidRPr="009175E7">
              <w:rPr>
                <w:rFonts w:eastAsia="Geneva" w:cs="Arial"/>
                <w:bCs/>
                <w:kern w:val="28"/>
                <w:szCs w:val="16"/>
                <w:vertAlign w:val="superscript"/>
              </w:rPr>
              <w:t>)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5 </w:t>
            </w:r>
            <w:r w:rsidR="009175E7"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,-Kč.</w:t>
            </w:r>
          </w:p>
          <w:p w:rsidR="00FC4701" w:rsidRPr="003E5261" w:rsidRDefault="00FC4701" w:rsidP="003E5261">
            <w:pPr>
              <w:pStyle w:val="Odstavecseseznamem"/>
              <w:rPr>
                <w:rFonts w:ascii="Koop Office" w:eastAsia="Geneva" w:hAnsi="Koop Office" w:cs="Arial"/>
                <w:bCs/>
                <w:kern w:val="28"/>
                <w:szCs w:val="16"/>
                <w:highlight w:val="yellow"/>
              </w:rPr>
            </w:pPr>
          </w:p>
          <w:p w:rsidR="00E332A5" w:rsidRDefault="00E332A5" w:rsidP="009F518F">
            <w:pPr>
              <w:tabs>
                <w:tab w:val="left" w:pos="318"/>
              </w:tabs>
              <w:spacing w:before="60"/>
              <w:rPr>
                <w:rFonts w:eastAsia="Geneva" w:cs="Arial"/>
                <w:bCs/>
                <w:kern w:val="28"/>
                <w:szCs w:val="16"/>
              </w:rPr>
            </w:pP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Odchylně od ZPP P-600/14 čl. 2 odst. 1) písm. </w:t>
            </w:r>
            <w:r>
              <w:rPr>
                <w:rFonts w:eastAsia="Geneva" w:cs="Arial"/>
                <w:bCs/>
                <w:kern w:val="28"/>
                <w:szCs w:val="16"/>
              </w:rPr>
              <w:t>s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) se pojištění vztahuje na povinnost nahradit újmu</w:t>
            </w:r>
            <w:r>
              <w:rPr>
                <w:rFonts w:eastAsia="Geneva" w:cs="Arial"/>
                <w:bCs/>
                <w:kern w:val="28"/>
                <w:szCs w:val="16"/>
              </w:rPr>
              <w:t xml:space="preserve"> v souvislosti s nakládáním s nebezpečnými chemickými látkami nebo přípravky nebo nebezpečnými odpady.</w:t>
            </w:r>
          </w:p>
          <w:p w:rsidR="00FC4701" w:rsidRPr="00B631F4" w:rsidRDefault="00E332A5" w:rsidP="00B631F4">
            <w:pPr>
              <w:tabs>
                <w:tab w:val="left" w:pos="318"/>
              </w:tabs>
              <w:rPr>
                <w:rFonts w:eastAsia="Geneva" w:cs="Arial"/>
                <w:bCs/>
                <w:kern w:val="28"/>
                <w:szCs w:val="16"/>
              </w:rPr>
            </w:pPr>
            <w:proofErr w:type="spellStart"/>
            <w:r w:rsidRPr="009175E7">
              <w:rPr>
                <w:rFonts w:eastAsia="Geneva" w:cs="Arial"/>
                <w:bCs/>
                <w:kern w:val="28"/>
                <w:szCs w:val="16"/>
              </w:rPr>
              <w:t>Sublimit</w:t>
            </w:r>
            <w:proofErr w:type="spellEnd"/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pojistného plnění pro toto pojištění činí </w:t>
            </w:r>
            <w:r>
              <w:rPr>
                <w:rFonts w:eastAsia="Geneva" w:cs="Arial"/>
                <w:bCs/>
                <w:kern w:val="28"/>
                <w:szCs w:val="16"/>
              </w:rPr>
              <w:t>2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 000 </w:t>
            </w:r>
            <w:r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 Kč a spoluúčast</w:t>
            </w:r>
            <w:r w:rsidR="006303DD">
              <w:rPr>
                <w:rFonts w:eastAsia="Geneva" w:cs="Arial"/>
                <w:bCs/>
                <w:kern w:val="28"/>
                <w:szCs w:val="16"/>
                <w:vertAlign w:val="superscript"/>
              </w:rPr>
              <w:t>1</w:t>
            </w:r>
            <w:r w:rsidRPr="009175E7">
              <w:rPr>
                <w:rFonts w:eastAsia="Geneva" w:cs="Arial"/>
                <w:bCs/>
                <w:kern w:val="28"/>
                <w:szCs w:val="16"/>
                <w:vertAlign w:val="superscript"/>
              </w:rPr>
              <w:t>)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 xml:space="preserve"> 5 </w:t>
            </w:r>
            <w:r>
              <w:rPr>
                <w:rFonts w:eastAsia="Geneva" w:cs="Arial"/>
                <w:bCs/>
                <w:kern w:val="28"/>
                <w:szCs w:val="16"/>
              </w:rPr>
              <w:t>000</w:t>
            </w:r>
            <w:r w:rsidRPr="009175E7">
              <w:rPr>
                <w:rFonts w:eastAsia="Geneva" w:cs="Arial"/>
                <w:bCs/>
                <w:kern w:val="28"/>
                <w:szCs w:val="16"/>
              </w:rPr>
              <w:t>,-Kč.</w:t>
            </w:r>
          </w:p>
        </w:tc>
      </w:tr>
    </w:tbl>
    <w:p w:rsidR="00B631F4" w:rsidRDefault="00B631F4" w:rsidP="00B631F4">
      <w:pPr>
        <w:tabs>
          <w:tab w:val="left" w:pos="227"/>
        </w:tabs>
      </w:pPr>
    </w:p>
    <w:p w:rsidR="009B22B4" w:rsidRPr="003E5261" w:rsidRDefault="006303DD" w:rsidP="00B631F4">
      <w:pPr>
        <w:tabs>
          <w:tab w:val="left" w:pos="227"/>
        </w:tabs>
        <w:ind w:left="225" w:hanging="225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</w:t>
      </w:r>
      <w:r w:rsidR="009B22B4" w:rsidRPr="003E5261">
        <w:rPr>
          <w:b/>
          <w:sz w:val="18"/>
          <w:szCs w:val="18"/>
          <w:vertAlign w:val="superscript"/>
        </w:rPr>
        <w:t>)</w:t>
      </w:r>
      <w:r w:rsidR="009B22B4" w:rsidRPr="003E5261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3E5261">
        <w:rPr>
          <w:sz w:val="18"/>
          <w:szCs w:val="18"/>
        </w:rPr>
        <w:t>ombinací ve smyslu čl. 11 odst. </w:t>
      </w:r>
      <w:r w:rsidR="009B22B4" w:rsidRPr="003E5261">
        <w:rPr>
          <w:sz w:val="18"/>
          <w:szCs w:val="18"/>
        </w:rPr>
        <w:t>4) VPP P-100/14</w:t>
      </w:r>
    </w:p>
    <w:p w:rsidR="00CB0CD4" w:rsidRPr="00794833" w:rsidRDefault="00CB0CD4" w:rsidP="009D07E4">
      <w:pPr>
        <w:tabs>
          <w:tab w:val="left" w:pos="227"/>
        </w:tabs>
        <w:ind w:left="227" w:hanging="227"/>
        <w:rPr>
          <w:sz w:val="18"/>
          <w:szCs w:val="18"/>
          <w:highlight w:val="yellow"/>
        </w:rPr>
      </w:pPr>
    </w:p>
    <w:p w:rsidR="00DA4C0A" w:rsidRDefault="00DA4C0A" w:rsidP="00DA4C0A">
      <w:pPr>
        <w:spacing w:before="120"/>
        <w:rPr>
          <w:rFonts w:cs="Arial"/>
          <w:b/>
          <w:bCs/>
          <w:caps/>
        </w:rPr>
      </w:pPr>
      <w:bookmarkStart w:id="1" w:name="_Toc367839357"/>
      <w:r w:rsidRPr="00662505">
        <w:rPr>
          <w:rFonts w:cs="Arial"/>
          <w:b/>
          <w:caps/>
        </w:rPr>
        <w:t xml:space="preserve">Část </w:t>
      </w:r>
      <w:r>
        <w:rPr>
          <w:rFonts w:cs="Arial"/>
          <w:b/>
          <w:caps/>
        </w:rPr>
        <w:t>B</w:t>
      </w:r>
      <w:r w:rsidRPr="00662505">
        <w:rPr>
          <w:rFonts w:cs="Arial"/>
          <w:b/>
          <w:caps/>
        </w:rPr>
        <w:t xml:space="preserve"> - </w:t>
      </w:r>
      <w:r w:rsidRPr="00662505">
        <w:rPr>
          <w:rFonts w:cs="Arial"/>
          <w:b/>
          <w:bCs/>
          <w:caps/>
        </w:rPr>
        <w:t xml:space="preserve">pojištění odpovědnosti </w:t>
      </w:r>
      <w:r>
        <w:rPr>
          <w:rFonts w:cs="Arial"/>
          <w:b/>
          <w:bCs/>
          <w:caps/>
        </w:rPr>
        <w:t>za Újmy</w:t>
      </w:r>
      <w:r w:rsidRPr="00662505">
        <w:rPr>
          <w:rFonts w:cs="Arial"/>
          <w:b/>
          <w:bCs/>
          <w:caps/>
        </w:rPr>
        <w:t xml:space="preserve"> vzniklé v důsledku závažné havárie</w:t>
      </w:r>
    </w:p>
    <w:p w:rsidR="00DA4C0A" w:rsidRDefault="00DA4C0A" w:rsidP="00DA4C0A">
      <w:pPr>
        <w:pStyle w:val="Zkladntext"/>
        <w:numPr>
          <w:ilvl w:val="0"/>
          <w:numId w:val="27"/>
        </w:numPr>
        <w:spacing w:before="120"/>
        <w:rPr>
          <w:rFonts w:ascii="Koop Office" w:hAnsi="Koop Office" w:cs="Arial"/>
          <w:sz w:val="20"/>
        </w:rPr>
      </w:pPr>
      <w:r w:rsidRPr="00122B2F">
        <w:rPr>
          <w:rFonts w:ascii="Koop Office" w:hAnsi="Koop Office" w:cs="Arial"/>
          <w:sz w:val="20"/>
        </w:rPr>
        <w:t xml:space="preserve">Pojištění odpovědnosti za </w:t>
      </w:r>
      <w:r>
        <w:rPr>
          <w:rFonts w:ascii="Koop Office" w:hAnsi="Koop Office" w:cs="Arial"/>
          <w:bCs/>
          <w:sz w:val="20"/>
        </w:rPr>
        <w:t>újmy</w:t>
      </w:r>
      <w:r w:rsidRPr="00122B2F">
        <w:rPr>
          <w:rFonts w:ascii="Koop Office" w:hAnsi="Koop Office" w:cs="Arial"/>
          <w:bCs/>
          <w:sz w:val="20"/>
        </w:rPr>
        <w:t xml:space="preserve"> vzniklé v důsledku závažné havárie</w:t>
      </w:r>
      <w:r w:rsidRPr="00122B2F">
        <w:rPr>
          <w:rFonts w:ascii="Koop Office" w:hAnsi="Koop Office" w:cs="Arial"/>
          <w:sz w:val="20"/>
        </w:rPr>
        <w:t xml:space="preserve"> je upraveno VPP P – 100/</w:t>
      </w:r>
      <w:r>
        <w:rPr>
          <w:rFonts w:ascii="Koop Office" w:hAnsi="Koop Office" w:cs="Arial"/>
          <w:sz w:val="20"/>
        </w:rPr>
        <w:t>14</w:t>
      </w:r>
      <w:r w:rsidRPr="00122B2F">
        <w:rPr>
          <w:rFonts w:ascii="Koop Office" w:hAnsi="Koop Office" w:cs="Arial"/>
          <w:sz w:val="20"/>
        </w:rPr>
        <w:t>,</w:t>
      </w:r>
      <w:r>
        <w:rPr>
          <w:rFonts w:ascii="Koop Office" w:hAnsi="Koop Office" w:cs="Arial"/>
          <w:sz w:val="20"/>
        </w:rPr>
        <w:t xml:space="preserve"> </w:t>
      </w:r>
      <w:r w:rsidRPr="002F01C1">
        <w:rPr>
          <w:rFonts w:ascii="Koop Office" w:hAnsi="Koop Office" w:cs="Arial"/>
          <w:sz w:val="20"/>
        </w:rPr>
        <w:t>ZPP P – 540/</w:t>
      </w:r>
      <w:r>
        <w:rPr>
          <w:rFonts w:ascii="Koop Office" w:hAnsi="Koop Office" w:cs="Arial"/>
          <w:sz w:val="20"/>
        </w:rPr>
        <w:t>14</w:t>
      </w:r>
      <w:r w:rsidRPr="00F72E01">
        <w:rPr>
          <w:rFonts w:ascii="Koop Office" w:hAnsi="Koop Office" w:cs="Arial"/>
          <w:sz w:val="20"/>
        </w:rPr>
        <w:t xml:space="preserve"> a</w:t>
      </w:r>
      <w:r>
        <w:rPr>
          <w:rFonts w:ascii="Koop Office" w:hAnsi="Koop Office" w:cs="Arial"/>
          <w:sz w:val="20"/>
        </w:rPr>
        <w:t> </w:t>
      </w:r>
      <w:r w:rsidRPr="00F72E01">
        <w:rPr>
          <w:rFonts w:ascii="Koop Office" w:hAnsi="Koop Office" w:cs="Arial"/>
          <w:sz w:val="20"/>
        </w:rPr>
        <w:t>následujícími smluvními ujednáními</w:t>
      </w:r>
      <w:r w:rsidRPr="00600761">
        <w:rPr>
          <w:rFonts w:ascii="Koop Office" w:hAnsi="Koop Office" w:cs="Arial"/>
          <w:sz w:val="20"/>
        </w:rPr>
        <w:t>.</w:t>
      </w:r>
    </w:p>
    <w:p w:rsidR="00DA4C0A" w:rsidRPr="00DA1098" w:rsidRDefault="00DA4C0A" w:rsidP="00DA4C0A">
      <w:pPr>
        <w:pStyle w:val="Zkladntext"/>
        <w:numPr>
          <w:ilvl w:val="0"/>
          <w:numId w:val="27"/>
        </w:numPr>
        <w:spacing w:before="120"/>
        <w:rPr>
          <w:rFonts w:ascii="Koop Office" w:hAnsi="Koop Office" w:cs="Arial"/>
          <w:sz w:val="20"/>
        </w:rPr>
      </w:pPr>
      <w:r w:rsidRPr="00DA1098">
        <w:rPr>
          <w:rFonts w:ascii="Koop Office" w:hAnsi="Koop Office" w:cs="Arial"/>
          <w:sz w:val="20"/>
        </w:rPr>
        <w:t xml:space="preserve">Pojištění se vztahuje výhradně na </w:t>
      </w:r>
      <w:r>
        <w:rPr>
          <w:rFonts w:ascii="Koop Office" w:hAnsi="Koop Office" w:cs="Arial"/>
          <w:sz w:val="20"/>
        </w:rPr>
        <w:t>újmy</w:t>
      </w:r>
      <w:r w:rsidRPr="00DA1098">
        <w:rPr>
          <w:rFonts w:ascii="Koop Office" w:hAnsi="Koop Office" w:cs="Arial"/>
          <w:sz w:val="20"/>
        </w:rPr>
        <w:t xml:space="preserve"> vzniklé v souvislosti s užíváním objektů a zařízení </w:t>
      </w:r>
      <w:r w:rsidR="00680F29">
        <w:rPr>
          <w:rFonts w:ascii="Koop Office" w:hAnsi="Koop Office" w:cs="Arial"/>
          <w:sz w:val="20"/>
        </w:rPr>
        <w:t>na adrese areálu Ú</w:t>
      </w:r>
      <w:r w:rsidRPr="00680F29">
        <w:rPr>
          <w:rFonts w:ascii="Koop Office" w:hAnsi="Koop Office" w:cs="Arial"/>
          <w:sz w:val="20"/>
        </w:rPr>
        <w:t>p</w:t>
      </w:r>
      <w:r w:rsidR="00680F29">
        <w:rPr>
          <w:rFonts w:ascii="Koop Office" w:hAnsi="Koop Office" w:cs="Arial"/>
          <w:sz w:val="20"/>
        </w:rPr>
        <w:t>r</w:t>
      </w:r>
      <w:r w:rsidRPr="00680F29">
        <w:rPr>
          <w:rFonts w:ascii="Koop Office" w:hAnsi="Koop Office" w:cs="Arial"/>
          <w:sz w:val="20"/>
        </w:rPr>
        <w:t>avny vody Želivka a Objektu vodojemu Jesenice dle § 33 zákon č. 224/2015 Sb.</w:t>
      </w:r>
    </w:p>
    <w:p w:rsidR="00DA4C0A" w:rsidRPr="00B27EF1" w:rsidRDefault="00DA4C0A" w:rsidP="00DA4C0A">
      <w:pPr>
        <w:numPr>
          <w:ilvl w:val="0"/>
          <w:numId w:val="27"/>
        </w:numPr>
        <w:tabs>
          <w:tab w:val="left" w:pos="-720"/>
        </w:tabs>
        <w:spacing w:before="120"/>
        <w:rPr>
          <w:rFonts w:cs="Arial"/>
          <w:b/>
        </w:rPr>
      </w:pPr>
      <w:r w:rsidRPr="00B27EF1">
        <w:rPr>
          <w:rFonts w:cs="Arial"/>
          <w:b/>
        </w:rPr>
        <w:t>Limit pojistného plnění pro pojištění dle této části B činí 20 000 000,- Kč, který se sjednává v rámci limitu pojistného plnění uvedeného pro pojištění dle části A této pojistné smlouvy.</w:t>
      </w:r>
    </w:p>
    <w:p w:rsidR="00DA4C0A" w:rsidRPr="00092591" w:rsidRDefault="00DA4C0A" w:rsidP="00542AAC">
      <w:pPr>
        <w:numPr>
          <w:ilvl w:val="0"/>
          <w:numId w:val="27"/>
        </w:numPr>
        <w:tabs>
          <w:tab w:val="left" w:pos="1560"/>
          <w:tab w:val="left" w:pos="1701"/>
        </w:tabs>
        <w:suppressAutoHyphens/>
        <w:spacing w:before="120" w:after="120"/>
        <w:rPr>
          <w:rFonts w:cs="Arial"/>
          <w:snapToGrid w:val="0"/>
        </w:rPr>
      </w:pPr>
      <w:r w:rsidRPr="006A574B">
        <w:rPr>
          <w:rFonts w:cs="Arial"/>
        </w:rPr>
        <w:t>Pojištěný se podílí na plnění z každé škodní události částkou</w:t>
      </w:r>
      <w:r>
        <w:rPr>
          <w:rFonts w:cs="Arial"/>
        </w:rPr>
        <w:t xml:space="preserve"> 500 000,-</w:t>
      </w:r>
      <w:r w:rsidRPr="006A574B">
        <w:rPr>
          <w:rFonts w:cs="Arial"/>
        </w:rPr>
        <w:t xml:space="preserve"> Kč (spoluúčast).</w:t>
      </w:r>
    </w:p>
    <w:p w:rsidR="00092591" w:rsidRPr="00542AAC" w:rsidRDefault="00092591" w:rsidP="00092591">
      <w:pPr>
        <w:tabs>
          <w:tab w:val="left" w:pos="1560"/>
          <w:tab w:val="left" w:pos="1701"/>
        </w:tabs>
        <w:suppressAutoHyphens/>
        <w:spacing w:before="120" w:after="120"/>
        <w:rPr>
          <w:rFonts w:cs="Arial"/>
          <w:snapToGrid w:val="0"/>
        </w:rPr>
      </w:pPr>
    </w:p>
    <w:p w:rsidR="009B22B4" w:rsidRPr="00D34EA0" w:rsidRDefault="009B22B4" w:rsidP="00631371">
      <w:pPr>
        <w:pStyle w:val="Nadpislnk"/>
      </w:pPr>
      <w:r w:rsidRPr="00D34EA0">
        <w:t>Článek III.</w:t>
      </w:r>
      <w:r w:rsidR="00F425A6" w:rsidRPr="00D34EA0">
        <w:br/>
      </w:r>
      <w:r w:rsidRPr="00D34EA0">
        <w:t>Výše a způsob placení pojistného</w:t>
      </w:r>
    </w:p>
    <w:p w:rsidR="009B22B4" w:rsidRPr="004D7856" w:rsidRDefault="009B22B4" w:rsidP="00E41D35">
      <w:pPr>
        <w:pStyle w:val="slovn-rove1"/>
        <w:numPr>
          <w:ilvl w:val="0"/>
          <w:numId w:val="10"/>
        </w:numPr>
      </w:pPr>
      <w:r w:rsidRPr="004D7856">
        <w:t>Pojistné za jeden pojistný rok činí:</w:t>
      </w:r>
    </w:p>
    <w:p w:rsidR="009B22B4" w:rsidRPr="004D7856" w:rsidRDefault="009B22B4" w:rsidP="00D34EA0">
      <w:pPr>
        <w:pStyle w:val="slovn-rove2"/>
        <w:numPr>
          <w:ilvl w:val="0"/>
          <w:numId w:val="0"/>
        </w:numPr>
        <w:spacing w:before="0" w:after="0"/>
        <w:ind w:left="425"/>
      </w:pPr>
      <w:r w:rsidRPr="004D7856">
        <w:t>Pojištění odpovědnosti za újmu</w:t>
      </w:r>
      <w:r w:rsidR="004D7856" w:rsidRPr="004D7856">
        <w:t xml:space="preserve"> (čl. II část A)</w:t>
      </w:r>
    </w:p>
    <w:p w:rsidR="009B22B4" w:rsidRPr="00542AAC" w:rsidRDefault="006718E4" w:rsidP="00D73577">
      <w:pPr>
        <w:tabs>
          <w:tab w:val="left" w:pos="426"/>
          <w:tab w:val="right" w:leader="dot" w:pos="9638"/>
        </w:tabs>
        <w:rPr>
          <w:b/>
          <w:color w:val="FF00FF"/>
          <w:szCs w:val="20"/>
        </w:rPr>
      </w:pPr>
      <w:r w:rsidRPr="00542AAC">
        <w:tab/>
      </w:r>
      <w:r w:rsidR="009B22B4" w:rsidRPr="00542AAC">
        <w:t xml:space="preserve">Pojistné </w:t>
      </w:r>
      <w:r w:rsidR="009B22B4" w:rsidRPr="00542AAC">
        <w:tab/>
      </w:r>
      <w:r w:rsidR="00542AAC" w:rsidRPr="00542AAC">
        <w:t>1 </w:t>
      </w:r>
      <w:r w:rsidR="00204397">
        <w:t>6</w:t>
      </w:r>
      <w:r w:rsidR="00542AAC" w:rsidRPr="00542AAC">
        <w:t>55 000</w:t>
      </w:r>
      <w:r w:rsidR="009B22B4" w:rsidRPr="00542AAC">
        <w:t>,- Kč</w:t>
      </w:r>
    </w:p>
    <w:p w:rsidR="004D7856" w:rsidRPr="00542AAC" w:rsidRDefault="004D7856" w:rsidP="00D73577">
      <w:pPr>
        <w:tabs>
          <w:tab w:val="left" w:pos="426"/>
          <w:tab w:val="right" w:leader="dot" w:pos="9638"/>
        </w:tabs>
        <w:rPr>
          <w:rFonts w:cs="Arial"/>
          <w:b/>
        </w:rPr>
      </w:pPr>
      <w:r w:rsidRPr="00542AAC">
        <w:rPr>
          <w:rFonts w:cs="Arial"/>
        </w:rPr>
        <w:tab/>
      </w:r>
      <w:r w:rsidRPr="00542AAC">
        <w:rPr>
          <w:rFonts w:cs="Arial"/>
          <w:b/>
        </w:rPr>
        <w:t xml:space="preserve">Pojištění odpovědnosti za </w:t>
      </w:r>
      <w:r w:rsidRPr="00542AAC">
        <w:rPr>
          <w:rFonts w:cs="Arial"/>
          <w:b/>
          <w:bCs/>
        </w:rPr>
        <w:t xml:space="preserve">újmy </w:t>
      </w:r>
      <w:r w:rsidRPr="00542AAC">
        <w:rPr>
          <w:rFonts w:cs="Arial"/>
          <w:b/>
        </w:rPr>
        <w:t>vzniklé v důsledku závažné havárie (</w:t>
      </w:r>
      <w:proofErr w:type="spellStart"/>
      <w:proofErr w:type="gramStart"/>
      <w:r w:rsidRPr="00542AAC">
        <w:rPr>
          <w:rFonts w:cs="Arial"/>
          <w:b/>
        </w:rPr>
        <w:t>čl.II</w:t>
      </w:r>
      <w:proofErr w:type="spellEnd"/>
      <w:proofErr w:type="gramEnd"/>
      <w:r w:rsidRPr="00542AAC">
        <w:rPr>
          <w:rFonts w:cs="Arial"/>
          <w:b/>
        </w:rPr>
        <w:t xml:space="preserve"> část B)</w:t>
      </w:r>
    </w:p>
    <w:p w:rsidR="004D7856" w:rsidRPr="00542AAC" w:rsidRDefault="004D7856" w:rsidP="00D73577">
      <w:pPr>
        <w:tabs>
          <w:tab w:val="left" w:pos="426"/>
          <w:tab w:val="right" w:leader="dot" w:pos="9638"/>
        </w:tabs>
      </w:pPr>
      <w:r w:rsidRPr="00542AAC">
        <w:tab/>
        <w:t xml:space="preserve">Pojistné </w:t>
      </w:r>
      <w:r w:rsidRPr="00542AAC">
        <w:tab/>
      </w:r>
      <w:r w:rsidR="00542AAC" w:rsidRPr="00542AAC">
        <w:t>200 000</w:t>
      </w:r>
      <w:r w:rsidRPr="00542AAC">
        <w:t>,- Kč</w:t>
      </w:r>
    </w:p>
    <w:p w:rsidR="00542AAC" w:rsidRPr="00542AAC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213B57">
        <w:rPr>
          <w:b/>
        </w:rPr>
        <w:t xml:space="preserve">Souhrn pojistného za sjednaná pojištění za jeden pojistný rok činí </w:t>
      </w:r>
      <w:r w:rsidRPr="00213B57">
        <w:rPr>
          <w:b/>
        </w:rPr>
        <w:tab/>
      </w:r>
      <w:r w:rsidR="00213B57" w:rsidRPr="00213B57">
        <w:rPr>
          <w:b/>
        </w:rPr>
        <w:t>1 </w:t>
      </w:r>
      <w:r w:rsidR="00204397">
        <w:rPr>
          <w:b/>
        </w:rPr>
        <w:t>8</w:t>
      </w:r>
      <w:r w:rsidR="00213B57" w:rsidRPr="00213B57">
        <w:rPr>
          <w:b/>
        </w:rPr>
        <w:t>55 000</w:t>
      </w:r>
      <w:r w:rsidRPr="00213B57">
        <w:rPr>
          <w:b/>
        </w:rPr>
        <w:t>,- Kč</w:t>
      </w:r>
    </w:p>
    <w:p w:rsidR="009B22B4" w:rsidRPr="00D34EA0" w:rsidRDefault="009B22B4" w:rsidP="00CA7135">
      <w:pPr>
        <w:pStyle w:val="slovn-rove1-netun"/>
      </w:pPr>
      <w:r w:rsidRPr="00D34EA0">
        <w:t xml:space="preserve">Pojistné je sjednáno jako běžné. </w:t>
      </w:r>
    </w:p>
    <w:p w:rsidR="009B22B4" w:rsidRPr="00213B57" w:rsidRDefault="009B22B4" w:rsidP="003302A4">
      <w:pPr>
        <w:spacing w:after="120"/>
        <w:ind w:left="426"/>
      </w:pPr>
      <w:r w:rsidRPr="00D34EA0">
        <w:t>Pojistné období je dvanáctiměsíční</w:t>
      </w:r>
      <w:r w:rsidRPr="00213B57">
        <w:t>. Pojistné je v každém pojistném roce splatné k dat</w:t>
      </w:r>
      <w:r w:rsidR="00C70ADC">
        <w:t>u</w:t>
      </w:r>
      <w:r w:rsidRPr="00213B57">
        <w:t xml:space="preserve"> a v část</w:t>
      </w:r>
      <w:r w:rsidR="00C70ADC">
        <w:t>ce</w:t>
      </w:r>
      <w:r w:rsidRPr="00213B57">
        <w:t xml:space="preserve"> takto: </w:t>
      </w:r>
    </w:p>
    <w:p w:rsidR="00213B57" w:rsidRPr="00213B57" w:rsidRDefault="009B22B4" w:rsidP="00213B57">
      <w:pPr>
        <w:tabs>
          <w:tab w:val="left" w:pos="3969"/>
        </w:tabs>
        <w:spacing w:before="120"/>
        <w:ind w:left="426"/>
      </w:pPr>
      <w:r w:rsidRPr="00213B57">
        <w:t>datum:</w:t>
      </w:r>
      <w:r w:rsidR="00213B57">
        <w:t xml:space="preserve"> </w:t>
      </w:r>
      <w:proofErr w:type="gramStart"/>
      <w:r w:rsidR="00213B57">
        <w:t>1.11</w:t>
      </w:r>
      <w:proofErr w:type="gramEnd"/>
      <w:r w:rsidR="00213B57">
        <w:t>.</w:t>
      </w:r>
      <w:r w:rsidRPr="00213B57">
        <w:tab/>
        <w:t>částka:</w:t>
      </w:r>
      <w:r w:rsidR="00D34EA0" w:rsidRPr="00213B57">
        <w:t xml:space="preserve"> </w:t>
      </w:r>
      <w:r w:rsidR="00213B57" w:rsidRPr="00213B57">
        <w:t xml:space="preserve"> 1 </w:t>
      </w:r>
      <w:r w:rsidR="00204397">
        <w:t>8</w:t>
      </w:r>
      <w:r w:rsidR="00213B57" w:rsidRPr="00213B57">
        <w:t>55 000,-Kč</w:t>
      </w:r>
    </w:p>
    <w:p w:rsidR="009B22B4" w:rsidRPr="00DA55EC" w:rsidRDefault="009B22B4" w:rsidP="00DA55EC">
      <w:pPr>
        <w:pStyle w:val="slovn-rove1-netun"/>
      </w:pPr>
      <w:r w:rsidRPr="00DA55EC">
        <w:t xml:space="preserve">Pojistník je povinen uhradit pojistné v uvedené výši na účet pojišťovacího makléře </w:t>
      </w:r>
      <w:r w:rsidR="00DA55EC" w:rsidRPr="00DA55EC">
        <w:t>na základě jím vystavené faktury se splatností 14 dní ode dne obdržení faktury. Pojistné se považuje za uhrazené dnem jeho připsání na účet MARSH, s.r.o.</w:t>
      </w:r>
    </w:p>
    <w:p w:rsidR="00E41C14" w:rsidRPr="00D34EA0" w:rsidRDefault="00E41C14" w:rsidP="00CA7135">
      <w:pPr>
        <w:pStyle w:val="slovn-rove1-netun"/>
      </w:pPr>
      <w:r w:rsidRPr="00D34EA0">
        <w:t>Výše uvedené pojistné je stanoveno bez pojistné či jiné obdobné daně (dále jen „</w:t>
      </w:r>
      <w:r w:rsidRPr="00D34EA0">
        <w:rPr>
          <w:b/>
        </w:rPr>
        <w:t>daň</w:t>
      </w:r>
      <w:r w:rsidRPr="00D34EA0">
        <w:t>“) za ri</w:t>
      </w:r>
      <w:r w:rsidR="002B4055" w:rsidRPr="00D34EA0">
        <w:t>zika umístěná v</w:t>
      </w:r>
      <w:r w:rsidR="00414B37" w:rsidRPr="00D34EA0">
        <w:t> </w:t>
      </w:r>
      <w:r w:rsidRPr="00D34EA0">
        <w:t>členském státě Evropské unie</w:t>
      </w:r>
      <w:r w:rsidR="002B4055" w:rsidRPr="00D34EA0">
        <w:t xml:space="preserve"> nebo Evropského hospodářského prostoru</w:t>
      </w:r>
      <w:r w:rsidRPr="00D34EA0">
        <w:t xml:space="preserve">. </w:t>
      </w:r>
      <w:r w:rsidR="00EE2B81" w:rsidRPr="00D34EA0">
        <w:t>Smluvní strany se dohodly, že </w:t>
      </w:r>
      <w:r w:rsidR="00414B37" w:rsidRPr="00D34EA0">
        <w:t>v </w:t>
      </w:r>
      <w:r w:rsidRPr="00D34EA0">
        <w:t xml:space="preserve">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</w:t>
      </w:r>
      <w:r w:rsidR="002B4055" w:rsidRPr="00D34EA0">
        <w:t xml:space="preserve">Ustanovení tohoto bodu </w:t>
      </w:r>
      <w:r w:rsidR="008119AB" w:rsidRPr="00D34EA0">
        <w:t xml:space="preserve">neplatí pro </w:t>
      </w:r>
      <w:r w:rsidRPr="00D34EA0">
        <w:t xml:space="preserve">daně, které jsou </w:t>
      </w:r>
      <w:r w:rsidR="008119AB" w:rsidRPr="00D34EA0">
        <w:t xml:space="preserve">případně </w:t>
      </w:r>
      <w:r w:rsidRPr="00D34EA0">
        <w:t>v bodě 1</w:t>
      </w:r>
      <w:r w:rsidR="008119AB" w:rsidRPr="00D34EA0">
        <w:t>.</w:t>
      </w:r>
      <w:r w:rsidR="004F6B9D">
        <w:t> </w:t>
      </w:r>
      <w:r w:rsidRPr="00D34EA0">
        <w:t>tohoto článku výslovně uvedeny.</w:t>
      </w:r>
    </w:p>
    <w:p w:rsidR="009B22B4" w:rsidRPr="00D34EA0" w:rsidRDefault="009B22B4" w:rsidP="00631371">
      <w:pPr>
        <w:pStyle w:val="Nadpislnk"/>
      </w:pPr>
      <w:r w:rsidRPr="00D34EA0">
        <w:lastRenderedPageBreak/>
        <w:t>Článek IV.</w:t>
      </w:r>
      <w:r w:rsidR="00F425A6" w:rsidRPr="00D34EA0">
        <w:br/>
      </w:r>
      <w:r w:rsidRPr="00D34EA0">
        <w:t>Hlášení škodných událostí</w:t>
      </w:r>
    </w:p>
    <w:p w:rsidR="009B22B4" w:rsidRPr="00D34EA0" w:rsidRDefault="009B22B4" w:rsidP="00373B1B">
      <w:pPr>
        <w:pStyle w:val="slovn-rove1-netunb"/>
        <w:spacing w:after="240"/>
      </w:pPr>
      <w:r w:rsidRPr="00D34EA0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9B22B4" w:rsidRPr="00D34EA0" w:rsidRDefault="009B22B4" w:rsidP="001600C3">
      <w:pPr>
        <w:spacing w:before="240"/>
        <w:ind w:left="425"/>
      </w:pPr>
      <w:r w:rsidRPr="00D34EA0">
        <w:t>Kooperativa pojišťovna, a.s., Vienna Insurance Group</w:t>
      </w:r>
    </w:p>
    <w:p w:rsidR="009B22B4" w:rsidRPr="00D34EA0" w:rsidRDefault="009B22B4" w:rsidP="001600C3">
      <w:pPr>
        <w:ind w:left="425"/>
      </w:pPr>
      <w:r w:rsidRPr="00D34EA0">
        <w:t>CENTRUM ZÁKAZNICKÉ PODPORY</w:t>
      </w:r>
    </w:p>
    <w:p w:rsidR="009B22B4" w:rsidRPr="00D34EA0" w:rsidRDefault="009B22B4" w:rsidP="001600C3">
      <w:pPr>
        <w:ind w:left="425"/>
      </w:pPr>
      <w:r w:rsidRPr="00D34EA0">
        <w:t>Centrální podatelna</w:t>
      </w:r>
    </w:p>
    <w:p w:rsidR="009B22B4" w:rsidRPr="00D34EA0" w:rsidRDefault="009B22B4" w:rsidP="001600C3">
      <w:pPr>
        <w:ind w:left="425"/>
      </w:pPr>
      <w:r w:rsidRPr="00D34EA0">
        <w:t>Brněnská 634</w:t>
      </w:r>
    </w:p>
    <w:p w:rsidR="009B22B4" w:rsidRPr="00D34EA0" w:rsidRDefault="009B22B4" w:rsidP="001600C3">
      <w:pPr>
        <w:ind w:left="425"/>
      </w:pPr>
      <w:r w:rsidRPr="00D34EA0">
        <w:t>664 42 Modřice</w:t>
      </w:r>
    </w:p>
    <w:p w:rsidR="009B22B4" w:rsidRPr="00D34EA0" w:rsidRDefault="008119AB" w:rsidP="008119AB">
      <w:pPr>
        <w:spacing w:before="60" w:after="60"/>
        <w:ind w:left="425"/>
      </w:pPr>
      <w:r w:rsidRPr="00D34EA0">
        <w:t>t</w:t>
      </w:r>
      <w:r w:rsidR="009B22B4" w:rsidRPr="00D34EA0">
        <w:t xml:space="preserve">el.: </w:t>
      </w:r>
      <w:r w:rsidR="00FC5DA3">
        <w:t>XXXXXXX</w:t>
      </w:r>
    </w:p>
    <w:p w:rsidR="009B22B4" w:rsidRPr="00D34EA0" w:rsidRDefault="009B22B4" w:rsidP="001600C3">
      <w:pPr>
        <w:spacing w:after="60"/>
        <w:ind w:left="425"/>
      </w:pPr>
      <w:r w:rsidRPr="00D34EA0">
        <w:t xml:space="preserve">fax: </w:t>
      </w:r>
      <w:r w:rsidR="00FC5DA3">
        <w:t>XXXXXXX</w:t>
      </w:r>
    </w:p>
    <w:p w:rsidR="009B22B4" w:rsidRPr="00D34EA0" w:rsidRDefault="008119AB" w:rsidP="001600C3">
      <w:pPr>
        <w:spacing w:after="60"/>
        <w:ind w:left="425"/>
      </w:pPr>
      <w:r w:rsidRPr="00D34EA0">
        <w:t>e</w:t>
      </w:r>
      <w:r w:rsidR="009B22B4" w:rsidRPr="00D34EA0">
        <w:t xml:space="preserve">-mail: </w:t>
      </w:r>
      <w:hyperlink r:id="rId10" w:history="1">
        <w:r w:rsidR="009B22B4" w:rsidRPr="00D34EA0">
          <w:rPr>
            <w:rStyle w:val="Hypertextovodkaz"/>
          </w:rPr>
          <w:t>podatelna@koop.cz</w:t>
        </w:r>
      </w:hyperlink>
    </w:p>
    <w:p w:rsidR="009B22B4" w:rsidRPr="00D34EA0" w:rsidRDefault="009B22B4" w:rsidP="001600C3">
      <w:pPr>
        <w:spacing w:after="120"/>
        <w:ind w:left="426"/>
      </w:pPr>
      <w:r w:rsidRPr="00D34EA0">
        <w:t>www.koop.cz</w:t>
      </w:r>
    </w:p>
    <w:p w:rsidR="009B22B4" w:rsidRPr="00D34EA0" w:rsidRDefault="009B22B4" w:rsidP="00373B1B">
      <w:pPr>
        <w:pStyle w:val="slovn-rove1-netunb"/>
      </w:pPr>
      <w:r w:rsidRPr="00D34EA0">
        <w:t xml:space="preserve">Na výzvu pojistitele je pojistník (pojištěný nebo jakákoliv jiná osoba) povinen oznámit vznik škodné události písemnou formou. </w:t>
      </w:r>
    </w:p>
    <w:bookmarkEnd w:id="1"/>
    <w:p w:rsidR="00230928" w:rsidRPr="00213B57" w:rsidRDefault="009B22B4" w:rsidP="00230928">
      <w:pPr>
        <w:pStyle w:val="Nadpislnk"/>
      </w:pPr>
      <w:r w:rsidRPr="00213B57">
        <w:t>Článek V.</w:t>
      </w:r>
      <w:r w:rsidR="00F425A6" w:rsidRPr="00213B57">
        <w:br/>
      </w:r>
      <w:r w:rsidRPr="00213B57">
        <w:t>Zvláštní ujednání</w:t>
      </w:r>
    </w:p>
    <w:p w:rsidR="00230928" w:rsidRPr="00230928" w:rsidRDefault="00230928" w:rsidP="00230928">
      <w:pPr>
        <w:pStyle w:val="slovn-rove1-netunb"/>
        <w:numPr>
          <w:ilvl w:val="0"/>
          <w:numId w:val="13"/>
        </w:numPr>
        <w:tabs>
          <w:tab w:val="left" w:pos="-1418"/>
        </w:tabs>
        <w:rPr>
          <w:rFonts w:cs="Arial"/>
        </w:rPr>
      </w:pPr>
      <w:r w:rsidRPr="00D95921">
        <w:rPr>
          <w:rFonts w:cs="Arial"/>
        </w:rPr>
        <w:t xml:space="preserve">Odchylně od čl. 4 odst. 3) </w:t>
      </w:r>
      <w:r>
        <w:rPr>
          <w:rFonts w:cs="Arial"/>
        </w:rPr>
        <w:t>a 4) a čl. 16 odst. 6) V</w:t>
      </w:r>
      <w:r w:rsidRPr="00D95921">
        <w:rPr>
          <w:rFonts w:cs="Arial"/>
        </w:rPr>
        <w:t xml:space="preserve">PP P-100/14 </w:t>
      </w:r>
      <w:r>
        <w:rPr>
          <w:rFonts w:cs="Arial"/>
        </w:rPr>
        <w:t xml:space="preserve">může pojistník i </w:t>
      </w:r>
      <w:r w:rsidRPr="00D95921">
        <w:rPr>
          <w:rFonts w:cs="Arial"/>
        </w:rPr>
        <w:t xml:space="preserve">pojistitel </w:t>
      </w:r>
      <w:r>
        <w:rPr>
          <w:rFonts w:cs="Arial"/>
        </w:rPr>
        <w:t xml:space="preserve">ukončit </w:t>
      </w:r>
      <w:r w:rsidRPr="00D95921">
        <w:rPr>
          <w:rFonts w:cs="Arial"/>
        </w:rPr>
        <w:t xml:space="preserve">pojištění </w:t>
      </w:r>
      <w:r>
        <w:rPr>
          <w:rFonts w:cs="Arial"/>
        </w:rPr>
        <w:t xml:space="preserve">výpovědí výhradně k poslednímu dni </w:t>
      </w:r>
      <w:r w:rsidRPr="00D95921">
        <w:rPr>
          <w:rFonts w:cs="Arial"/>
        </w:rPr>
        <w:t xml:space="preserve">každého pojistného období; </w:t>
      </w:r>
      <w:r>
        <w:rPr>
          <w:rFonts w:cs="Arial"/>
        </w:rPr>
        <w:t xml:space="preserve">tato </w:t>
      </w:r>
      <w:r w:rsidRPr="00D95921">
        <w:rPr>
          <w:rFonts w:cs="Arial"/>
        </w:rPr>
        <w:t>výpověď musí být druhé smluvní straně doručena nejméně 6 měsíců před koncem pojistného období, v opačném případě pojištění zaniká až ke konci následujícího pojistného období, pro které je 6 měsíců dodrženo</w:t>
      </w:r>
      <w:r>
        <w:rPr>
          <w:rFonts w:cs="Arial"/>
        </w:rPr>
        <w:t>.</w:t>
      </w:r>
    </w:p>
    <w:p w:rsidR="00602988" w:rsidRPr="00230928" w:rsidRDefault="00602988" w:rsidP="00230928">
      <w:pPr>
        <w:pStyle w:val="slovn-rove1-netunb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HAnsi" w:cs="Arial"/>
          <w:b/>
          <w:bCs/>
          <w:szCs w:val="20"/>
          <w:lang w:eastAsia="en-US"/>
        </w:rPr>
      </w:pPr>
      <w:r w:rsidRPr="00230928">
        <w:rPr>
          <w:rFonts w:eastAsiaTheme="minorHAnsi" w:cs="Arial"/>
          <w:b/>
          <w:bCs/>
          <w:szCs w:val="20"/>
          <w:lang w:eastAsia="en-US"/>
        </w:rPr>
        <w:t>Maklé</w:t>
      </w:r>
      <w:r w:rsidRPr="00230928">
        <w:rPr>
          <w:rFonts w:eastAsiaTheme="minorHAnsi" w:cs="Arial,Bold"/>
          <w:b/>
          <w:bCs/>
          <w:szCs w:val="20"/>
          <w:lang w:eastAsia="en-US"/>
        </w:rPr>
        <w:t>ř</w:t>
      </w:r>
      <w:r w:rsidRPr="00230928">
        <w:rPr>
          <w:rFonts w:eastAsiaTheme="minorHAnsi" w:cs="Arial"/>
          <w:b/>
          <w:bCs/>
          <w:szCs w:val="20"/>
          <w:lang w:eastAsia="en-US"/>
        </w:rPr>
        <w:t>ská doložka</w:t>
      </w:r>
    </w:p>
    <w:p w:rsidR="00602988" w:rsidRPr="00213B57" w:rsidRDefault="00602988" w:rsidP="00230928">
      <w:pPr>
        <w:autoSpaceDE w:val="0"/>
        <w:autoSpaceDN w:val="0"/>
        <w:adjustRightInd w:val="0"/>
        <w:ind w:firstLine="425"/>
        <w:rPr>
          <w:rFonts w:eastAsiaTheme="minorHAnsi" w:cs="Arial"/>
          <w:szCs w:val="20"/>
          <w:lang w:eastAsia="en-US"/>
        </w:rPr>
      </w:pPr>
      <w:r w:rsidRPr="00213B57">
        <w:rPr>
          <w:rFonts w:eastAsiaTheme="minorHAnsi" w:cs="Arial"/>
          <w:szCs w:val="20"/>
          <w:lang w:eastAsia="en-US"/>
        </w:rPr>
        <w:t>Pojištění je sjednáno a spravováno prostřednictvím zplnomocněného makléře MARSH, s.r.o., se sídlem</w:t>
      </w:r>
    </w:p>
    <w:p w:rsidR="00602988" w:rsidRPr="00213B57" w:rsidRDefault="00602988" w:rsidP="00230928">
      <w:pPr>
        <w:autoSpaceDE w:val="0"/>
        <w:autoSpaceDN w:val="0"/>
        <w:adjustRightInd w:val="0"/>
        <w:ind w:left="425"/>
        <w:rPr>
          <w:rFonts w:eastAsiaTheme="minorHAnsi" w:cs="Arial"/>
          <w:szCs w:val="20"/>
          <w:lang w:eastAsia="en-US"/>
        </w:rPr>
      </w:pPr>
      <w:r w:rsidRPr="00213B57">
        <w:rPr>
          <w:rFonts w:eastAsiaTheme="minorHAnsi" w:cs="Arial"/>
          <w:szCs w:val="20"/>
          <w:lang w:eastAsia="en-US"/>
        </w:rPr>
        <w:t>Vinohradská 2828/151, 130 00 Praha 3, IČ: 45306541, DIČ: CZ699003499. Veškeré úkony související s</w:t>
      </w:r>
      <w:r w:rsidR="00230928">
        <w:rPr>
          <w:rFonts w:eastAsiaTheme="minorHAnsi" w:cs="Arial"/>
          <w:szCs w:val="20"/>
          <w:lang w:eastAsia="en-US"/>
        </w:rPr>
        <w:t> </w:t>
      </w:r>
      <w:r w:rsidRPr="00213B57">
        <w:rPr>
          <w:rFonts w:eastAsiaTheme="minorHAnsi" w:cs="Arial"/>
          <w:szCs w:val="20"/>
          <w:lang w:eastAsia="en-US"/>
        </w:rPr>
        <w:t>touto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pojistnou smlouvou jsou prováděny výhradně prostřednictvím zplnomocněného makléře MARSH, s.r.o.</w:t>
      </w:r>
    </w:p>
    <w:p w:rsidR="00602988" w:rsidRPr="00230928" w:rsidRDefault="00602988" w:rsidP="00230928">
      <w:pPr>
        <w:pStyle w:val="slovn-rove1-netunb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HAnsi" w:cs="Arial"/>
          <w:b/>
          <w:bCs/>
          <w:szCs w:val="20"/>
          <w:lang w:eastAsia="en-US"/>
        </w:rPr>
      </w:pPr>
      <w:r w:rsidRPr="00230928">
        <w:rPr>
          <w:rFonts w:eastAsiaTheme="minorHAnsi" w:cs="Arial"/>
          <w:b/>
          <w:bCs/>
          <w:szCs w:val="20"/>
          <w:lang w:eastAsia="en-US"/>
        </w:rPr>
        <w:t>Jedna spoluú</w:t>
      </w:r>
      <w:r w:rsidRPr="00230928">
        <w:rPr>
          <w:rFonts w:eastAsiaTheme="minorHAnsi" w:cs="Arial,Bold"/>
          <w:b/>
          <w:bCs/>
          <w:szCs w:val="20"/>
          <w:lang w:eastAsia="en-US"/>
        </w:rPr>
        <w:t>č</w:t>
      </w:r>
      <w:r w:rsidRPr="00230928">
        <w:rPr>
          <w:rFonts w:eastAsiaTheme="minorHAnsi" w:cs="Arial"/>
          <w:b/>
          <w:bCs/>
          <w:szCs w:val="20"/>
          <w:lang w:eastAsia="en-US"/>
        </w:rPr>
        <w:t>ast</w:t>
      </w:r>
    </w:p>
    <w:p w:rsidR="00602988" w:rsidRPr="00213B57" w:rsidRDefault="00602988" w:rsidP="00230928">
      <w:pPr>
        <w:autoSpaceDE w:val="0"/>
        <w:autoSpaceDN w:val="0"/>
        <w:adjustRightInd w:val="0"/>
        <w:ind w:left="425"/>
        <w:rPr>
          <w:rFonts w:eastAsiaTheme="minorHAnsi" w:cs="Arial"/>
          <w:szCs w:val="20"/>
          <w:lang w:eastAsia="en-US"/>
        </w:rPr>
      </w:pPr>
      <w:r w:rsidRPr="00213B57">
        <w:rPr>
          <w:rFonts w:eastAsiaTheme="minorHAnsi" w:cs="Arial"/>
          <w:szCs w:val="20"/>
          <w:lang w:eastAsia="en-US"/>
        </w:rPr>
        <w:t>V případě pojistné události na více předmětech pojištění současně z téže příčiny se od celkové výše pojistného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plnění za pojistnou událost odečítá pouze ta spoluúčast, která je největší ze všech spoluúčastí sjednaných pro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každý předmět pojištění postižený touto pojistnou událostí, pokud není pro pojištěného výhodnější odečtení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spoluúčastí z jednotlivých předmětných pojištění.</w:t>
      </w:r>
    </w:p>
    <w:p w:rsidR="00602988" w:rsidRPr="00230928" w:rsidRDefault="00602988" w:rsidP="00230928">
      <w:pPr>
        <w:pStyle w:val="slovn-rove1-netunb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HAnsi" w:cs="Arial"/>
          <w:b/>
          <w:bCs/>
          <w:szCs w:val="20"/>
          <w:lang w:eastAsia="en-US"/>
        </w:rPr>
      </w:pPr>
      <w:r w:rsidRPr="00230928">
        <w:rPr>
          <w:rFonts w:eastAsiaTheme="minorHAnsi" w:cs="Arial"/>
          <w:b/>
          <w:bCs/>
          <w:szCs w:val="20"/>
          <w:lang w:eastAsia="en-US"/>
        </w:rPr>
        <w:t>Zachra</w:t>
      </w:r>
      <w:r w:rsidRPr="00230928">
        <w:rPr>
          <w:rFonts w:eastAsiaTheme="minorHAnsi" w:cs="Arial,Bold"/>
          <w:b/>
          <w:bCs/>
          <w:szCs w:val="20"/>
          <w:lang w:eastAsia="en-US"/>
        </w:rPr>
        <w:t>ň</w:t>
      </w:r>
      <w:r w:rsidRPr="00230928">
        <w:rPr>
          <w:rFonts w:eastAsiaTheme="minorHAnsi" w:cs="Arial"/>
          <w:b/>
          <w:bCs/>
          <w:szCs w:val="20"/>
          <w:lang w:eastAsia="en-US"/>
        </w:rPr>
        <w:t>ovací náklady</w:t>
      </w:r>
    </w:p>
    <w:p w:rsidR="00602988" w:rsidRPr="00213B57" w:rsidRDefault="00602988" w:rsidP="00230928">
      <w:pPr>
        <w:autoSpaceDE w:val="0"/>
        <w:autoSpaceDN w:val="0"/>
        <w:adjustRightInd w:val="0"/>
        <w:ind w:left="425"/>
        <w:rPr>
          <w:rFonts w:eastAsiaTheme="minorHAnsi" w:cs="Arial"/>
          <w:szCs w:val="20"/>
          <w:lang w:eastAsia="en-US"/>
        </w:rPr>
      </w:pPr>
      <w:r w:rsidRPr="00213B57">
        <w:rPr>
          <w:rFonts w:eastAsiaTheme="minorHAnsi" w:cs="Arial"/>
          <w:szCs w:val="20"/>
          <w:lang w:eastAsia="en-US"/>
        </w:rPr>
        <w:t>Pojištění sjednané touto smlouvou se vztahuje také na zachraňovací náklady až do výše 10% pojistné částky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pojištěné věci nebo příslušného limitu plnění, není-li v pojistných podmínkách, smluvních ujednáních či smlouvě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uveden limit vyšší; zachraňovací náklady na záchranu života nebo zdraví osob jsou hrazeny až do výše pojistné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částky pojištěné věci nebo příslušného limitu plnění.</w:t>
      </w:r>
    </w:p>
    <w:p w:rsidR="00602988" w:rsidRPr="00230928" w:rsidRDefault="00602988" w:rsidP="00230928">
      <w:pPr>
        <w:pStyle w:val="slovn-rove1-netunb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HAnsi" w:cs="Arial"/>
          <w:b/>
          <w:bCs/>
          <w:szCs w:val="20"/>
          <w:lang w:eastAsia="en-US"/>
        </w:rPr>
      </w:pPr>
      <w:r w:rsidRPr="00230928">
        <w:rPr>
          <w:rFonts w:eastAsiaTheme="minorHAnsi" w:cs="Arial"/>
          <w:b/>
          <w:bCs/>
          <w:szCs w:val="20"/>
          <w:lang w:eastAsia="en-US"/>
        </w:rPr>
        <w:t>Náklady na dokumentaci a likvidaci pojistné události</w:t>
      </w:r>
    </w:p>
    <w:p w:rsidR="00602988" w:rsidRPr="00213B57" w:rsidRDefault="00602988" w:rsidP="00230928">
      <w:pPr>
        <w:autoSpaceDE w:val="0"/>
        <w:autoSpaceDN w:val="0"/>
        <w:adjustRightInd w:val="0"/>
        <w:ind w:left="425"/>
        <w:rPr>
          <w:rFonts w:eastAsiaTheme="minorHAnsi" w:cs="Arial"/>
          <w:szCs w:val="20"/>
          <w:lang w:eastAsia="en-US"/>
        </w:rPr>
      </w:pPr>
      <w:r w:rsidRPr="00213B57">
        <w:rPr>
          <w:rFonts w:eastAsiaTheme="minorHAnsi" w:cs="Arial"/>
          <w:szCs w:val="20"/>
          <w:lang w:eastAsia="en-US"/>
        </w:rPr>
        <w:t>Jedná se o přiměřené a doložitelné náklady a vícenáklady, které pojištěný vynaloží na přípravu, dokladování,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ověřování nebo zdokumentování pojistné události, na kterou se vztahuje tato pojistná smlouva. Takovéto náklady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zahrnují mzdové prostředky a s nimi spojené režijní náklady vynaložené pojištěným (např. příplatky za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přesčasovou práci, práci v noci, o víkendech a zákonem stanovených svátcích, za přednostní zpracování, výrobu,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dodání, pronájem, za spěšnou přepravu včetně letecké) a rovněž další náklady na externí účetní, poradce a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konzultanty. Pojištění se dále vztahuje také na zvýšené náklady vynaložené v důsledku změny legislativy, obecně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závazných předpisů, norem apod., pokud je pojistník při odstraňování následků po pojistné události takové</w:t>
      </w:r>
      <w:r w:rsidR="00230928">
        <w:rPr>
          <w:rFonts w:eastAsiaTheme="minorHAnsi" w:cs="Arial"/>
          <w:szCs w:val="20"/>
          <w:lang w:eastAsia="en-US"/>
        </w:rPr>
        <w:t xml:space="preserve"> </w:t>
      </w:r>
      <w:r w:rsidRPr="00213B57">
        <w:rPr>
          <w:rFonts w:eastAsiaTheme="minorHAnsi" w:cs="Arial"/>
          <w:szCs w:val="20"/>
          <w:lang w:eastAsia="en-US"/>
        </w:rPr>
        <w:t>náklady povinen vynaložit. Toto pojištění se sjednává na 1. riziko. Limit plnění ve výši 500 000 Kč.</w:t>
      </w:r>
    </w:p>
    <w:p w:rsidR="00602988" w:rsidRPr="00230928" w:rsidRDefault="00602988" w:rsidP="00230928">
      <w:pPr>
        <w:pStyle w:val="slovn-rove1-netunb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Theme="minorHAnsi" w:cs="Arial"/>
          <w:b/>
          <w:bCs/>
          <w:szCs w:val="20"/>
          <w:lang w:eastAsia="en-US"/>
        </w:rPr>
      </w:pPr>
      <w:r w:rsidRPr="00230928">
        <w:rPr>
          <w:rFonts w:eastAsiaTheme="minorHAnsi" w:cs="Arial"/>
          <w:b/>
          <w:bCs/>
          <w:szCs w:val="20"/>
          <w:lang w:eastAsia="en-US"/>
        </w:rPr>
        <w:t>Výpo</w:t>
      </w:r>
      <w:r w:rsidRPr="00230928">
        <w:rPr>
          <w:rFonts w:eastAsiaTheme="minorHAnsi" w:cs="Arial,Bold"/>
          <w:b/>
          <w:bCs/>
          <w:szCs w:val="20"/>
          <w:lang w:eastAsia="en-US"/>
        </w:rPr>
        <w:t>č</w:t>
      </w:r>
      <w:r w:rsidRPr="00230928">
        <w:rPr>
          <w:rFonts w:eastAsiaTheme="minorHAnsi" w:cs="Arial"/>
          <w:b/>
          <w:bCs/>
          <w:szCs w:val="20"/>
          <w:lang w:eastAsia="en-US"/>
        </w:rPr>
        <w:t>et pojistného p</w:t>
      </w:r>
      <w:r w:rsidRPr="00230928">
        <w:rPr>
          <w:rFonts w:eastAsiaTheme="minorHAnsi" w:cs="Arial,Bold"/>
          <w:b/>
          <w:bCs/>
          <w:szCs w:val="20"/>
          <w:lang w:eastAsia="en-US"/>
        </w:rPr>
        <w:t>ř</w:t>
      </w:r>
      <w:r w:rsidRPr="00230928">
        <w:rPr>
          <w:rFonts w:eastAsiaTheme="minorHAnsi" w:cs="Arial"/>
          <w:b/>
          <w:bCs/>
          <w:szCs w:val="20"/>
          <w:lang w:eastAsia="en-US"/>
        </w:rPr>
        <w:t>i zániku pojišt</w:t>
      </w:r>
      <w:r w:rsidRPr="00230928">
        <w:rPr>
          <w:rFonts w:eastAsiaTheme="minorHAnsi" w:cs="Arial,Bold"/>
          <w:b/>
          <w:bCs/>
          <w:szCs w:val="20"/>
          <w:lang w:eastAsia="en-US"/>
        </w:rPr>
        <w:t>ě</w:t>
      </w:r>
      <w:r w:rsidRPr="00230928">
        <w:rPr>
          <w:rFonts w:eastAsiaTheme="minorHAnsi" w:cs="Arial"/>
          <w:b/>
          <w:bCs/>
          <w:szCs w:val="20"/>
          <w:lang w:eastAsia="en-US"/>
        </w:rPr>
        <w:t>ní</w:t>
      </w:r>
    </w:p>
    <w:p w:rsidR="00602988" w:rsidRPr="00213B57" w:rsidRDefault="00602988" w:rsidP="00230928">
      <w:pPr>
        <w:autoSpaceDE w:val="0"/>
        <w:autoSpaceDN w:val="0"/>
        <w:adjustRightInd w:val="0"/>
        <w:ind w:left="425"/>
        <w:rPr>
          <w:szCs w:val="20"/>
        </w:rPr>
      </w:pPr>
      <w:r w:rsidRPr="00213B57">
        <w:rPr>
          <w:rFonts w:eastAsiaTheme="minorHAnsi" w:cs="Arial"/>
          <w:szCs w:val="20"/>
          <w:lang w:eastAsia="en-US"/>
        </w:rPr>
        <w:t>V případě zániku pojištění z důvodu nezaplacení běžného pojistného náleží pojistiteli poměrná část pojistného pouze za dobu pojištění do jeho zániku.</w:t>
      </w:r>
      <w:r w:rsidRPr="00602988">
        <w:rPr>
          <w:szCs w:val="20"/>
        </w:rPr>
        <w:t xml:space="preserve"> </w:t>
      </w:r>
    </w:p>
    <w:p w:rsidR="009B22B4" w:rsidRPr="00D34EA0" w:rsidRDefault="009B22B4" w:rsidP="00602988">
      <w:pPr>
        <w:pStyle w:val="Nadpislnk"/>
      </w:pPr>
      <w:r w:rsidRPr="00D34EA0">
        <w:lastRenderedPageBreak/>
        <w:t>Článek VI.</w:t>
      </w:r>
      <w:r w:rsidR="00F425A6" w:rsidRPr="00D34EA0">
        <w:br/>
      </w:r>
      <w:r w:rsidRPr="00D34EA0">
        <w:t>Prohlášení pojistníka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</w:pPr>
      <w:r w:rsidRPr="00D34EA0"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</w:pPr>
      <w:r w:rsidRPr="00D34EA0">
        <w:t>Pojistník potvrzuje, že před uzavřením pojistné smlouvy mu byly oznámeny informace v souladu s ustanovením § 2760 občanského zákoníku.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D34EA0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D34EA0" w:rsidRDefault="00B77F6A" w:rsidP="00A37F76">
      <w:pPr>
        <w:pStyle w:val="slovn-rove1-netunb"/>
        <w:numPr>
          <w:ilvl w:val="0"/>
          <w:numId w:val="0"/>
        </w:numPr>
        <w:spacing w:before="0"/>
        <w:ind w:left="425"/>
      </w:pPr>
      <w:r w:rsidRPr="00D34EA0">
        <w:t>Pojistník, je-l</w:t>
      </w:r>
      <w:r w:rsidR="00A37F76" w:rsidRPr="00D34EA0">
        <w:t>i osobou odlišnou od pojištěných</w:t>
      </w:r>
      <w:r w:rsidRPr="00D34EA0">
        <w:t xml:space="preserve">, dále potvrzuje, že tyto pojištěné </w:t>
      </w:r>
      <w:r w:rsidR="00730694">
        <w:t>informoval o rozsahu a </w:t>
      </w:r>
      <w:r w:rsidR="00A37F76" w:rsidRPr="00D34EA0">
        <w:t>účelu zpracování jejich osobních údajů a o právu přístupu k nim podle výše uvedených ustanovení zákona č. 101/2000 Sb. o ochraně osobních údajů.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</w:pPr>
      <w:r w:rsidRPr="00D34EA0">
        <w:t>Pojistník potvrzuje, že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</w:pPr>
      <w:r w:rsidRPr="00D34EA0">
        <w:t xml:space="preserve">Pojistník potvrzuje, že adresa jeho sídla/bydliště/trvalého pobytu a kontakty elektronické komunikace uvedené v této pojistné smlouvě jsou aktuální, a souhlasí, aby tyto údaje </w:t>
      </w:r>
      <w:r w:rsidR="00A32127" w:rsidRPr="00D34EA0">
        <w:t>byly v případě jejich rozporu s </w:t>
      </w:r>
      <w:r w:rsidRPr="00D34EA0">
        <w:t>jinými údaji uvedenými v dříve uzavřených pojistných smlouvách,</w:t>
      </w:r>
      <w:r w:rsidR="00A32127" w:rsidRPr="00D34EA0">
        <w:t xml:space="preserve"> ve kterých je pojistníkem nebo </w:t>
      </w:r>
      <w:r w:rsidRPr="00D34EA0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D34EA0">
        <w:t xml:space="preserve">Pojistník prohlašuje, že má oprávněnou potřebu ochrany před následky pojistné události (pojistný zájem). </w:t>
      </w:r>
    </w:p>
    <w:p w:rsidR="009B22B4" w:rsidRPr="00D34EA0" w:rsidRDefault="009B22B4" w:rsidP="007A5F49">
      <w:pPr>
        <w:spacing w:after="120"/>
        <w:ind w:left="426"/>
      </w:pPr>
      <w:r w:rsidRPr="00D34EA0">
        <w:t>Pojistník, je-li osobou odlišnou od pojištěného, dále prohlašuje, že mu pojištění dali souhlas k pojištění.</w:t>
      </w:r>
    </w:p>
    <w:p w:rsidR="009B22B4" w:rsidRPr="00D34EA0" w:rsidRDefault="009B22B4" w:rsidP="00E41D35">
      <w:pPr>
        <w:pStyle w:val="slovn-rove1-netunb"/>
        <w:numPr>
          <w:ilvl w:val="0"/>
          <w:numId w:val="14"/>
        </w:numPr>
      </w:pPr>
      <w:r w:rsidRPr="00D34EA0"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3C3121" w:rsidRPr="000969FB" w:rsidRDefault="003C3121" w:rsidP="003C3121">
      <w:pPr>
        <w:pStyle w:val="slovn-rove1-netunb"/>
        <w:numPr>
          <w:ilvl w:val="0"/>
          <w:numId w:val="14"/>
        </w:numPr>
        <w:spacing w:after="0"/>
      </w:pPr>
      <w:r w:rsidRPr="003C3121">
        <w:rPr>
          <w:color w:val="000000"/>
        </w:rPr>
        <w:t>Pokud tato pojistná smlouva, resp. dodatek k pojistné smlouvě (dále jen „smlouva“) podléhá povinnosti uveřejnění v registru smluv (dále jen „registr“) ve smyslu zákona č. 340/20</w:t>
      </w:r>
      <w:r w:rsidR="00730694">
        <w:rPr>
          <w:color w:val="000000"/>
        </w:rPr>
        <w:t>15 Sb., zavazuje se pojistník k </w:t>
      </w:r>
      <w:r w:rsidRPr="003C3121">
        <w:rPr>
          <w:color w:val="000000"/>
        </w:rPr>
        <w:t>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</w:t>
      </w:r>
    </w:p>
    <w:p w:rsidR="003C3121" w:rsidRDefault="003C3121" w:rsidP="003C3121">
      <w:pPr>
        <w:spacing w:before="60"/>
        <w:ind w:left="425"/>
      </w:pPr>
      <w:r>
        <w:rPr>
          <w:color w:val="000000"/>
        </w:rPr>
        <w:t>Při vyplnění formuláře pro uveřejnění smlouvy v registru je pojistník povinen vyplnit údaje o pojistiteli (jako smluvní straně), do pole „</w:t>
      </w:r>
      <w:r>
        <w:rPr>
          <w:b/>
          <w:bCs/>
          <w:color w:val="000000"/>
        </w:rPr>
        <w:t>Datová schránka</w:t>
      </w:r>
      <w:r>
        <w:rPr>
          <w:color w:val="000000"/>
        </w:rPr>
        <w:t xml:space="preserve">“ uvést: </w:t>
      </w:r>
      <w:r>
        <w:rPr>
          <w:b/>
          <w:bCs/>
          <w:color w:val="000000"/>
        </w:rPr>
        <w:t>n6tetn3</w:t>
      </w:r>
      <w:r>
        <w:rPr>
          <w:color w:val="000000"/>
        </w:rPr>
        <w:t xml:space="preserve"> a do pole „</w:t>
      </w:r>
      <w:r>
        <w:rPr>
          <w:b/>
          <w:bCs/>
          <w:color w:val="000000"/>
        </w:rPr>
        <w:t>Číslo smlouvy</w:t>
      </w:r>
      <w:r>
        <w:rPr>
          <w:color w:val="000000"/>
        </w:rPr>
        <w:t xml:space="preserve">“ uvést: </w:t>
      </w:r>
      <w:r w:rsidRPr="00FD17B7">
        <w:rPr>
          <w:b/>
          <w:color w:val="000000"/>
        </w:rPr>
        <w:t>číslo PS</w:t>
      </w:r>
      <w:r>
        <w:rPr>
          <w:b/>
          <w:color w:val="000000"/>
        </w:rPr>
        <w:t>.</w:t>
      </w:r>
    </w:p>
    <w:p w:rsidR="00DA183D" w:rsidRDefault="003C3121" w:rsidP="003C3121">
      <w:pPr>
        <w:spacing w:before="120" w:after="120"/>
        <w:ind w:left="426"/>
        <w:rPr>
          <w:rStyle w:val="Hypertextovodkaz"/>
          <w:color w:val="000000"/>
          <w:u w:val="none"/>
        </w:rPr>
      </w:pPr>
      <w:r w:rsidRPr="00610815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  <w:hyperlink r:id="rId11" w:anchor="_blank" w:tooltip="Neuveřejnitelné údaje_ZRS_20170215.docx" w:history="1">
        <w:r w:rsidRPr="00610815">
          <w:rPr>
            <w:rStyle w:val="Hypertextovodkaz"/>
            <w:color w:val="000000"/>
            <w:u w:val="none"/>
          </w:rPr>
          <w:t xml:space="preserve">Smluvní strany se dohodly, že ode dne nabytí účinnosti smlouvy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C11D94" w:rsidRPr="00D34EA0" w:rsidRDefault="00C11D94" w:rsidP="003C3121">
      <w:pPr>
        <w:spacing w:before="120" w:after="120"/>
        <w:ind w:left="426"/>
      </w:pPr>
    </w:p>
    <w:p w:rsidR="009B22B4" w:rsidRPr="00D34EA0" w:rsidRDefault="009B22B4" w:rsidP="00631371">
      <w:pPr>
        <w:pStyle w:val="Nadpislnk"/>
      </w:pPr>
      <w:r w:rsidRPr="00D34EA0">
        <w:t>Článek VII.</w:t>
      </w:r>
      <w:r w:rsidR="00F425A6" w:rsidRPr="00D34EA0">
        <w:br/>
      </w:r>
      <w:r w:rsidRPr="00D34EA0">
        <w:t>Závěrečná ustanovení</w:t>
      </w:r>
    </w:p>
    <w:p w:rsidR="009B22B4" w:rsidRPr="00D34EA0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D34EA0">
        <w:t xml:space="preserve">Není-li ujednáno jinak, je pojistnou dobou doba od </w:t>
      </w:r>
      <w:r w:rsidR="00D34EA0" w:rsidRPr="00C70ADC">
        <w:rPr>
          <w:b/>
        </w:rPr>
        <w:t>1.</w:t>
      </w:r>
      <w:r w:rsidR="00C70ADC">
        <w:rPr>
          <w:b/>
        </w:rPr>
        <w:t> </w:t>
      </w:r>
      <w:r w:rsidR="00D34EA0" w:rsidRPr="00C70ADC">
        <w:rPr>
          <w:b/>
        </w:rPr>
        <w:t>11.</w:t>
      </w:r>
      <w:r w:rsidR="00C70ADC">
        <w:rPr>
          <w:b/>
        </w:rPr>
        <w:t> </w:t>
      </w:r>
      <w:r w:rsidR="00D34EA0" w:rsidRPr="00C70ADC">
        <w:rPr>
          <w:b/>
        </w:rPr>
        <w:t>2017</w:t>
      </w:r>
      <w:r w:rsidRPr="00D34EA0">
        <w:t xml:space="preserve"> (počátek pojištění) do </w:t>
      </w:r>
      <w:r w:rsidR="00D34EA0" w:rsidRPr="00C70ADC">
        <w:rPr>
          <w:b/>
        </w:rPr>
        <w:t>31.</w:t>
      </w:r>
      <w:r w:rsidR="00C70ADC">
        <w:rPr>
          <w:b/>
        </w:rPr>
        <w:t> </w:t>
      </w:r>
      <w:r w:rsidR="00D34EA0" w:rsidRPr="00C70ADC">
        <w:rPr>
          <w:b/>
        </w:rPr>
        <w:t>10.</w:t>
      </w:r>
      <w:r w:rsidR="00C70ADC">
        <w:rPr>
          <w:b/>
        </w:rPr>
        <w:t> </w:t>
      </w:r>
      <w:r w:rsidR="00D34EA0" w:rsidRPr="00C70ADC">
        <w:rPr>
          <w:b/>
        </w:rPr>
        <w:t>2021</w:t>
      </w:r>
      <w:r w:rsidR="00AE6E36" w:rsidRPr="00D34EA0">
        <w:t xml:space="preserve"> </w:t>
      </w:r>
      <w:r w:rsidRPr="00D34EA0">
        <w:t>(konec pojištění).</w:t>
      </w:r>
    </w:p>
    <w:p w:rsidR="009B22B4" w:rsidRPr="00D34EA0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D34EA0">
        <w:t>Odpověď pojistníka na návrh pojistitele na uzavření této pojistné smlouvy (dále jen „</w:t>
      </w:r>
      <w:r w:rsidRPr="00D34EA0">
        <w:rPr>
          <w:b/>
        </w:rPr>
        <w:t>nabídka</w:t>
      </w:r>
      <w:r w:rsidRPr="00D34EA0">
        <w:t>“) s dodatkem nebo odchylkou od nabídky se nepovažuje za její přijetí, a to ani v případě, že se takovou odchylkou podstatně nemění podmínky nabídky.</w:t>
      </w:r>
    </w:p>
    <w:p w:rsidR="009B22B4" w:rsidRPr="00D34EA0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D34EA0">
        <w:lastRenderedPageBreak/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:rsidR="009B22B4" w:rsidRPr="00D34EA0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D34EA0">
        <w:t>Subjektem věcně příslušným k mimosoudnímu řešení spotřebitelských sporů z tohoto pojištění je Česká obchodní inspekce, Štěpánská 567/15, 120 00 Praha 2, www.coi.cz.</w:t>
      </w:r>
    </w:p>
    <w:p w:rsidR="009B22B4" w:rsidRPr="009D78C6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9D78C6"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  <w:bookmarkStart w:id="2" w:name="_Ref489759092"/>
    </w:p>
    <w:p w:rsidR="009B22B4" w:rsidRPr="003C3121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3C3121">
        <w:t xml:space="preserve">Pojistná smlouva byla vypracována ve </w:t>
      </w:r>
      <w:r w:rsidR="003C3121" w:rsidRPr="003C3121">
        <w:t>4</w:t>
      </w:r>
      <w:r w:rsidRPr="003C3121">
        <w:t xml:space="preserve"> stejnopisech, pojistník obdrží </w:t>
      </w:r>
      <w:r w:rsidR="003C3121" w:rsidRPr="003C3121">
        <w:t>1 stejnopis</w:t>
      </w:r>
      <w:r w:rsidR="00A32127" w:rsidRPr="003C3121">
        <w:t>, pojistitel si </w:t>
      </w:r>
      <w:r w:rsidRPr="003C3121">
        <w:t xml:space="preserve">ponechá </w:t>
      </w:r>
      <w:r w:rsidR="00730694">
        <w:t>2 </w:t>
      </w:r>
      <w:r w:rsidR="003C3121" w:rsidRPr="003C3121">
        <w:t>stejnopisy</w:t>
      </w:r>
      <w:r w:rsidRPr="003C3121">
        <w:t xml:space="preserve"> a pojišťovací makléř obdrží </w:t>
      </w:r>
      <w:r w:rsidR="003C3121" w:rsidRPr="003C3121">
        <w:t>1 stejnopis</w:t>
      </w:r>
      <w:r w:rsidRPr="003C3121">
        <w:t>.</w:t>
      </w:r>
    </w:p>
    <w:p w:rsidR="009B22B4" w:rsidRPr="003C3121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3C3121">
        <w:t xml:space="preserve">Tato pojistná smlouva obsahuje </w:t>
      </w:r>
      <w:r w:rsidR="003C3121" w:rsidRPr="003C3121">
        <w:t>7</w:t>
      </w:r>
      <w:r w:rsidRPr="003C3121">
        <w:t xml:space="preserve"> stran a </w:t>
      </w:r>
      <w:r w:rsidR="003C3121" w:rsidRPr="003C3121">
        <w:t>1</w:t>
      </w:r>
      <w:r w:rsidRPr="003C3121">
        <w:t xml:space="preserve"> příloh</w:t>
      </w:r>
      <w:bookmarkEnd w:id="2"/>
      <w:r w:rsidR="003C3121" w:rsidRPr="003C3121">
        <w:t>u</w:t>
      </w:r>
      <w:r w:rsidRPr="003C3121">
        <w:t>. Její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9B22B4" w:rsidRPr="003C3121" w:rsidRDefault="009B22B4" w:rsidP="008F602E">
      <w:pPr>
        <w:spacing w:before="240"/>
      </w:pPr>
      <w:r w:rsidRPr="003C3121">
        <w:t>Výčet příloh:</w:t>
      </w:r>
      <w:r w:rsidRPr="003C3121">
        <w:tab/>
      </w:r>
    </w:p>
    <w:p w:rsidR="009D78C6" w:rsidRPr="00230928" w:rsidRDefault="009B22B4" w:rsidP="00230928">
      <w:r w:rsidRPr="003C3121">
        <w:t xml:space="preserve">příloha č. 1 </w:t>
      </w:r>
      <w:r w:rsidR="003C3121" w:rsidRPr="003C3121">
        <w:t>–</w:t>
      </w:r>
      <w:r w:rsidRPr="003C3121">
        <w:t xml:space="preserve"> </w:t>
      </w:r>
      <w:r w:rsidR="003C3121" w:rsidRPr="003C3121">
        <w:t>výpis z obchodního rejstříku pojištěných</w:t>
      </w:r>
    </w:p>
    <w:p w:rsidR="003C3121" w:rsidRPr="000969FB" w:rsidRDefault="003C3121" w:rsidP="003C3121">
      <w:pPr>
        <w:keepNext/>
        <w:keepLines/>
        <w:tabs>
          <w:tab w:val="left" w:pos="2694"/>
          <w:tab w:val="right" w:leader="dot" w:pos="5245"/>
          <w:tab w:val="left" w:pos="6946"/>
          <w:tab w:val="right" w:leader="dot" w:pos="9214"/>
        </w:tabs>
        <w:spacing w:before="1680"/>
      </w:pPr>
      <w:r w:rsidRPr="000969FB">
        <w:t>V</w:t>
      </w:r>
      <w:r>
        <w:t xml:space="preserve"> Praze </w:t>
      </w:r>
      <w:r w:rsidRPr="000969FB">
        <w:t xml:space="preserve">dne </w:t>
      </w:r>
      <w:r w:rsidR="004F6B9D">
        <w:t>4. 10</w:t>
      </w:r>
      <w:r>
        <w:t>. 2017</w:t>
      </w:r>
      <w:r w:rsidRPr="000969FB">
        <w:tab/>
      </w:r>
      <w:r w:rsidRPr="000969FB">
        <w:tab/>
      </w:r>
      <w:r w:rsidRPr="000969FB">
        <w:tab/>
      </w:r>
      <w:r w:rsidRPr="000969FB">
        <w:tab/>
      </w:r>
    </w:p>
    <w:p w:rsidR="003C3121" w:rsidRDefault="003C3121" w:rsidP="003C3121">
      <w:pPr>
        <w:keepNext/>
        <w:keepLines/>
        <w:tabs>
          <w:tab w:val="center" w:pos="3969"/>
          <w:tab w:val="center" w:pos="8080"/>
        </w:tabs>
      </w:pPr>
      <w:r w:rsidRPr="000969FB">
        <w:tab/>
      </w:r>
      <w:r w:rsidR="00FC5DA3">
        <w:t>XXXXXXX</w:t>
      </w:r>
      <w:r w:rsidRPr="000969FB">
        <w:tab/>
      </w:r>
      <w:r w:rsidR="00FC5DA3">
        <w:t>XXXXXXX</w:t>
      </w:r>
      <w:bookmarkStart w:id="3" w:name="_GoBack"/>
      <w:bookmarkEnd w:id="3"/>
    </w:p>
    <w:p w:rsidR="009D78C6" w:rsidRDefault="009D78C6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  <w:rPr>
          <w:highlight w:val="yellow"/>
        </w:rPr>
      </w:pPr>
    </w:p>
    <w:p w:rsidR="008F602E" w:rsidRPr="003C3121" w:rsidRDefault="008F602E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r w:rsidRPr="003C3121">
        <w:t xml:space="preserve">V </w:t>
      </w:r>
      <w:r w:rsidR="003C3121" w:rsidRPr="003C3121">
        <w:t>Praze</w:t>
      </w:r>
      <w:r w:rsidRPr="003C3121">
        <w:t xml:space="preserve"> </w:t>
      </w:r>
      <w:proofErr w:type="gramStart"/>
      <w:r w:rsidRPr="003C3121">
        <w:t>dne ............................</w:t>
      </w:r>
      <w:proofErr w:type="gramEnd"/>
      <w:r w:rsidRPr="003C3121">
        <w:tab/>
      </w:r>
      <w:r w:rsidRPr="003C3121">
        <w:tab/>
      </w:r>
    </w:p>
    <w:p w:rsidR="00820AB4" w:rsidRPr="00FA4C01" w:rsidRDefault="008F602E" w:rsidP="00230928">
      <w:pPr>
        <w:keepLines/>
        <w:tabs>
          <w:tab w:val="center" w:pos="4820"/>
          <w:tab w:val="center" w:pos="7938"/>
        </w:tabs>
        <w:spacing w:after="240"/>
      </w:pPr>
      <w:r w:rsidRPr="003C3121">
        <w:tab/>
      </w:r>
      <w:r w:rsidR="009B22B4" w:rsidRPr="003C3121">
        <w:t>za pojistníka</w:t>
      </w:r>
    </w:p>
    <w:sectPr w:rsidR="00820AB4" w:rsidRPr="00FA4C01" w:rsidSect="009B22B4">
      <w:footerReference w:type="defaul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4E" w:rsidRDefault="00AF134E" w:rsidP="00FF471C">
      <w:r>
        <w:separator/>
      </w:r>
    </w:p>
  </w:endnote>
  <w:endnote w:type="continuationSeparator" w:id="0">
    <w:p w:rsidR="00AF134E" w:rsidRDefault="00AF134E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1006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A55EC" w:rsidRPr="00877EFF" w:rsidRDefault="00DA55EC">
        <w:pPr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FC5DA3">
          <w:rPr>
            <w:noProof/>
            <w:sz w:val="18"/>
            <w:szCs w:val="18"/>
          </w:rPr>
          <w:t>7</w:t>
        </w:r>
        <w:r w:rsidRPr="00877EF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4E" w:rsidRDefault="00AF134E" w:rsidP="00FF471C">
      <w:r>
        <w:separator/>
      </w:r>
    </w:p>
  </w:footnote>
  <w:footnote w:type="continuationSeparator" w:id="0">
    <w:p w:rsidR="00AF134E" w:rsidRDefault="00AF134E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21EF"/>
    <w:multiLevelType w:val="hybridMultilevel"/>
    <w:tmpl w:val="7A48B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2">
    <w:nsid w:val="6DE94D5B"/>
    <w:multiLevelType w:val="hybridMultilevel"/>
    <w:tmpl w:val="0C44C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258FE"/>
    <w:multiLevelType w:val="hybridMultilevel"/>
    <w:tmpl w:val="3CB66E1C"/>
    <w:lvl w:ilvl="0" w:tplc="969C62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4"/>
  </w:num>
  <w:num w:numId="27">
    <w:abstractNumId w:val="14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214B8"/>
    <w:rsid w:val="000220ED"/>
    <w:rsid w:val="00024476"/>
    <w:rsid w:val="000400E7"/>
    <w:rsid w:val="00044839"/>
    <w:rsid w:val="000476E6"/>
    <w:rsid w:val="000505F9"/>
    <w:rsid w:val="000508EE"/>
    <w:rsid w:val="00050F2F"/>
    <w:rsid w:val="000512D2"/>
    <w:rsid w:val="00053062"/>
    <w:rsid w:val="00066D92"/>
    <w:rsid w:val="00070CE3"/>
    <w:rsid w:val="000723D1"/>
    <w:rsid w:val="0007248A"/>
    <w:rsid w:val="00073CF2"/>
    <w:rsid w:val="00080CF5"/>
    <w:rsid w:val="000824F1"/>
    <w:rsid w:val="00087A45"/>
    <w:rsid w:val="00090CCF"/>
    <w:rsid w:val="00092591"/>
    <w:rsid w:val="00093452"/>
    <w:rsid w:val="000969FB"/>
    <w:rsid w:val="00096C8B"/>
    <w:rsid w:val="00097838"/>
    <w:rsid w:val="000A0408"/>
    <w:rsid w:val="000A369E"/>
    <w:rsid w:val="000A4067"/>
    <w:rsid w:val="000A73AE"/>
    <w:rsid w:val="000B3B40"/>
    <w:rsid w:val="000C7550"/>
    <w:rsid w:val="000D0067"/>
    <w:rsid w:val="000D0856"/>
    <w:rsid w:val="000D2A28"/>
    <w:rsid w:val="000F3A50"/>
    <w:rsid w:val="000F4CDE"/>
    <w:rsid w:val="000F650D"/>
    <w:rsid w:val="00101FEA"/>
    <w:rsid w:val="00107106"/>
    <w:rsid w:val="0011033A"/>
    <w:rsid w:val="001160C6"/>
    <w:rsid w:val="00117B8C"/>
    <w:rsid w:val="00122398"/>
    <w:rsid w:val="00131D57"/>
    <w:rsid w:val="00133663"/>
    <w:rsid w:val="00135CAC"/>
    <w:rsid w:val="00142897"/>
    <w:rsid w:val="00142CDD"/>
    <w:rsid w:val="00150363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4BFD"/>
    <w:rsid w:val="001B6506"/>
    <w:rsid w:val="001C2AD6"/>
    <w:rsid w:val="001C517F"/>
    <w:rsid w:val="001D5138"/>
    <w:rsid w:val="001D5B57"/>
    <w:rsid w:val="001E6722"/>
    <w:rsid w:val="001F2AA2"/>
    <w:rsid w:val="001F64D0"/>
    <w:rsid w:val="001F7BD6"/>
    <w:rsid w:val="00204397"/>
    <w:rsid w:val="00204E38"/>
    <w:rsid w:val="00213B57"/>
    <w:rsid w:val="002155DD"/>
    <w:rsid w:val="002247BA"/>
    <w:rsid w:val="002267E8"/>
    <w:rsid w:val="00230928"/>
    <w:rsid w:val="0023465B"/>
    <w:rsid w:val="002361D4"/>
    <w:rsid w:val="0024467F"/>
    <w:rsid w:val="002465EE"/>
    <w:rsid w:val="00254175"/>
    <w:rsid w:val="00255904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47C0"/>
    <w:rsid w:val="002A5A97"/>
    <w:rsid w:val="002B4055"/>
    <w:rsid w:val="002B4072"/>
    <w:rsid w:val="002C7D2F"/>
    <w:rsid w:val="002D2C34"/>
    <w:rsid w:val="002D6EF7"/>
    <w:rsid w:val="002E6859"/>
    <w:rsid w:val="002E752C"/>
    <w:rsid w:val="002F085D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030"/>
    <w:rsid w:val="00340CD6"/>
    <w:rsid w:val="00343E2D"/>
    <w:rsid w:val="00346255"/>
    <w:rsid w:val="00346AB2"/>
    <w:rsid w:val="00354B2A"/>
    <w:rsid w:val="00363B97"/>
    <w:rsid w:val="00371F82"/>
    <w:rsid w:val="00373B1B"/>
    <w:rsid w:val="00375986"/>
    <w:rsid w:val="003925B1"/>
    <w:rsid w:val="003933D3"/>
    <w:rsid w:val="00394D0C"/>
    <w:rsid w:val="00395194"/>
    <w:rsid w:val="00397F8A"/>
    <w:rsid w:val="003A680A"/>
    <w:rsid w:val="003B0339"/>
    <w:rsid w:val="003C0442"/>
    <w:rsid w:val="003C3121"/>
    <w:rsid w:val="003C4C9E"/>
    <w:rsid w:val="003D1AF4"/>
    <w:rsid w:val="003E0CF5"/>
    <w:rsid w:val="003E5261"/>
    <w:rsid w:val="003E5536"/>
    <w:rsid w:val="003E7853"/>
    <w:rsid w:val="003E7EB8"/>
    <w:rsid w:val="003F4AF7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B7118"/>
    <w:rsid w:val="004D2453"/>
    <w:rsid w:val="004D7856"/>
    <w:rsid w:val="004D7CDC"/>
    <w:rsid w:val="004F17EE"/>
    <w:rsid w:val="004F1E5C"/>
    <w:rsid w:val="004F6B9D"/>
    <w:rsid w:val="00511C6E"/>
    <w:rsid w:val="005141DD"/>
    <w:rsid w:val="00516565"/>
    <w:rsid w:val="00521E2A"/>
    <w:rsid w:val="00521E53"/>
    <w:rsid w:val="005229B9"/>
    <w:rsid w:val="0053514D"/>
    <w:rsid w:val="00541E4F"/>
    <w:rsid w:val="00542AAC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28E9"/>
    <w:rsid w:val="0058331E"/>
    <w:rsid w:val="0058517B"/>
    <w:rsid w:val="0058612C"/>
    <w:rsid w:val="00590C73"/>
    <w:rsid w:val="0059142D"/>
    <w:rsid w:val="005A6882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F3154"/>
    <w:rsid w:val="00602109"/>
    <w:rsid w:val="00602988"/>
    <w:rsid w:val="00616482"/>
    <w:rsid w:val="00623E58"/>
    <w:rsid w:val="006303DD"/>
    <w:rsid w:val="00631371"/>
    <w:rsid w:val="0063247E"/>
    <w:rsid w:val="006352F6"/>
    <w:rsid w:val="006367EA"/>
    <w:rsid w:val="00640B01"/>
    <w:rsid w:val="006443B3"/>
    <w:rsid w:val="00647D3A"/>
    <w:rsid w:val="006543D2"/>
    <w:rsid w:val="006600BE"/>
    <w:rsid w:val="006718E4"/>
    <w:rsid w:val="00674013"/>
    <w:rsid w:val="00680F29"/>
    <w:rsid w:val="00681118"/>
    <w:rsid w:val="006851D7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C250B"/>
    <w:rsid w:val="006D3D06"/>
    <w:rsid w:val="006D70FC"/>
    <w:rsid w:val="006E12DD"/>
    <w:rsid w:val="006E5684"/>
    <w:rsid w:val="006F0E74"/>
    <w:rsid w:val="00705D2B"/>
    <w:rsid w:val="00711945"/>
    <w:rsid w:val="007222D4"/>
    <w:rsid w:val="0072347C"/>
    <w:rsid w:val="007270A8"/>
    <w:rsid w:val="00730694"/>
    <w:rsid w:val="0073198C"/>
    <w:rsid w:val="007322C2"/>
    <w:rsid w:val="0073684F"/>
    <w:rsid w:val="00741740"/>
    <w:rsid w:val="00741785"/>
    <w:rsid w:val="00746BC8"/>
    <w:rsid w:val="00757668"/>
    <w:rsid w:val="00765000"/>
    <w:rsid w:val="007732A6"/>
    <w:rsid w:val="00773E80"/>
    <w:rsid w:val="00773EB9"/>
    <w:rsid w:val="00775B6B"/>
    <w:rsid w:val="0077726A"/>
    <w:rsid w:val="00781027"/>
    <w:rsid w:val="00782181"/>
    <w:rsid w:val="007861A3"/>
    <w:rsid w:val="00794833"/>
    <w:rsid w:val="00794C61"/>
    <w:rsid w:val="007A457F"/>
    <w:rsid w:val="007A5F49"/>
    <w:rsid w:val="007A661E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52EA0"/>
    <w:rsid w:val="00861AAB"/>
    <w:rsid w:val="00862700"/>
    <w:rsid w:val="00873C2F"/>
    <w:rsid w:val="0087405A"/>
    <w:rsid w:val="008838CD"/>
    <w:rsid w:val="00886F29"/>
    <w:rsid w:val="00890ED9"/>
    <w:rsid w:val="008A2DAA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63FC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175E7"/>
    <w:rsid w:val="00920622"/>
    <w:rsid w:val="00923C73"/>
    <w:rsid w:val="00925605"/>
    <w:rsid w:val="00927C7B"/>
    <w:rsid w:val="00936528"/>
    <w:rsid w:val="0094214D"/>
    <w:rsid w:val="009421A5"/>
    <w:rsid w:val="0094395E"/>
    <w:rsid w:val="00945F3D"/>
    <w:rsid w:val="009470A2"/>
    <w:rsid w:val="009501FE"/>
    <w:rsid w:val="0095132D"/>
    <w:rsid w:val="00951F46"/>
    <w:rsid w:val="0095418B"/>
    <w:rsid w:val="009544C3"/>
    <w:rsid w:val="00981556"/>
    <w:rsid w:val="009837B9"/>
    <w:rsid w:val="00986E73"/>
    <w:rsid w:val="00992571"/>
    <w:rsid w:val="0099627C"/>
    <w:rsid w:val="009966F7"/>
    <w:rsid w:val="009A1676"/>
    <w:rsid w:val="009A680F"/>
    <w:rsid w:val="009B05C4"/>
    <w:rsid w:val="009B22B4"/>
    <w:rsid w:val="009B710D"/>
    <w:rsid w:val="009C0F40"/>
    <w:rsid w:val="009D07E4"/>
    <w:rsid w:val="009D3FA8"/>
    <w:rsid w:val="009D78C6"/>
    <w:rsid w:val="009E3A15"/>
    <w:rsid w:val="009E4D9D"/>
    <w:rsid w:val="009F518F"/>
    <w:rsid w:val="009F5BAA"/>
    <w:rsid w:val="009F7805"/>
    <w:rsid w:val="00A06F56"/>
    <w:rsid w:val="00A1079E"/>
    <w:rsid w:val="00A10FA1"/>
    <w:rsid w:val="00A13C43"/>
    <w:rsid w:val="00A1790F"/>
    <w:rsid w:val="00A32127"/>
    <w:rsid w:val="00A37936"/>
    <w:rsid w:val="00A37A59"/>
    <w:rsid w:val="00A37F76"/>
    <w:rsid w:val="00A50107"/>
    <w:rsid w:val="00A55AB8"/>
    <w:rsid w:val="00A570E9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737A"/>
    <w:rsid w:val="00AB10E8"/>
    <w:rsid w:val="00AB1243"/>
    <w:rsid w:val="00AE234C"/>
    <w:rsid w:val="00AE6E36"/>
    <w:rsid w:val="00AE7B11"/>
    <w:rsid w:val="00AF134E"/>
    <w:rsid w:val="00AF5EDE"/>
    <w:rsid w:val="00AF6720"/>
    <w:rsid w:val="00B01403"/>
    <w:rsid w:val="00B05CAC"/>
    <w:rsid w:val="00B0677C"/>
    <w:rsid w:val="00B12B36"/>
    <w:rsid w:val="00B12D70"/>
    <w:rsid w:val="00B140BF"/>
    <w:rsid w:val="00B17E38"/>
    <w:rsid w:val="00B204C3"/>
    <w:rsid w:val="00B22504"/>
    <w:rsid w:val="00B24018"/>
    <w:rsid w:val="00B2622D"/>
    <w:rsid w:val="00B27EF1"/>
    <w:rsid w:val="00B31BFF"/>
    <w:rsid w:val="00B328CB"/>
    <w:rsid w:val="00B3345F"/>
    <w:rsid w:val="00B4735A"/>
    <w:rsid w:val="00B5761C"/>
    <w:rsid w:val="00B60D74"/>
    <w:rsid w:val="00B60E4C"/>
    <w:rsid w:val="00B61638"/>
    <w:rsid w:val="00B631F4"/>
    <w:rsid w:val="00B7101A"/>
    <w:rsid w:val="00B760DA"/>
    <w:rsid w:val="00B77C7F"/>
    <w:rsid w:val="00B77F6A"/>
    <w:rsid w:val="00B90DE5"/>
    <w:rsid w:val="00BA4D04"/>
    <w:rsid w:val="00BB2A89"/>
    <w:rsid w:val="00BB6D8E"/>
    <w:rsid w:val="00BC0C92"/>
    <w:rsid w:val="00BC0FDF"/>
    <w:rsid w:val="00BD06B5"/>
    <w:rsid w:val="00BD3B20"/>
    <w:rsid w:val="00BE39D5"/>
    <w:rsid w:val="00BE4DE7"/>
    <w:rsid w:val="00BE6DF8"/>
    <w:rsid w:val="00BE7A66"/>
    <w:rsid w:val="00BF13C4"/>
    <w:rsid w:val="00C0786E"/>
    <w:rsid w:val="00C11D94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4CAA"/>
    <w:rsid w:val="00C4742F"/>
    <w:rsid w:val="00C51587"/>
    <w:rsid w:val="00C576C3"/>
    <w:rsid w:val="00C57992"/>
    <w:rsid w:val="00C603E3"/>
    <w:rsid w:val="00C70ADC"/>
    <w:rsid w:val="00C71DE4"/>
    <w:rsid w:val="00C74C65"/>
    <w:rsid w:val="00C765F6"/>
    <w:rsid w:val="00C80978"/>
    <w:rsid w:val="00C862EF"/>
    <w:rsid w:val="00C87335"/>
    <w:rsid w:val="00C93528"/>
    <w:rsid w:val="00C93BDD"/>
    <w:rsid w:val="00C94DE2"/>
    <w:rsid w:val="00CA4137"/>
    <w:rsid w:val="00CA7135"/>
    <w:rsid w:val="00CB0CD4"/>
    <w:rsid w:val="00CB0D2D"/>
    <w:rsid w:val="00CB4A53"/>
    <w:rsid w:val="00CB5FEE"/>
    <w:rsid w:val="00CC08FD"/>
    <w:rsid w:val="00CD1796"/>
    <w:rsid w:val="00CD5D6B"/>
    <w:rsid w:val="00CE07DF"/>
    <w:rsid w:val="00CE37C6"/>
    <w:rsid w:val="00CE58AF"/>
    <w:rsid w:val="00CF48C7"/>
    <w:rsid w:val="00D0308B"/>
    <w:rsid w:val="00D104A7"/>
    <w:rsid w:val="00D145AD"/>
    <w:rsid w:val="00D1768F"/>
    <w:rsid w:val="00D212AA"/>
    <w:rsid w:val="00D335D2"/>
    <w:rsid w:val="00D34EA0"/>
    <w:rsid w:val="00D36F62"/>
    <w:rsid w:val="00D44DD5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468"/>
    <w:rsid w:val="00D86F9E"/>
    <w:rsid w:val="00D91B8A"/>
    <w:rsid w:val="00D94E2A"/>
    <w:rsid w:val="00D96417"/>
    <w:rsid w:val="00D97E9D"/>
    <w:rsid w:val="00DA183D"/>
    <w:rsid w:val="00DA4C0A"/>
    <w:rsid w:val="00DA55EC"/>
    <w:rsid w:val="00DB0CAA"/>
    <w:rsid w:val="00DB239C"/>
    <w:rsid w:val="00DB3B70"/>
    <w:rsid w:val="00DB50B3"/>
    <w:rsid w:val="00DC698D"/>
    <w:rsid w:val="00DC75AA"/>
    <w:rsid w:val="00DD0659"/>
    <w:rsid w:val="00DD55C5"/>
    <w:rsid w:val="00DD6D73"/>
    <w:rsid w:val="00DE3558"/>
    <w:rsid w:val="00DF62A5"/>
    <w:rsid w:val="00E11C51"/>
    <w:rsid w:val="00E12ECF"/>
    <w:rsid w:val="00E17861"/>
    <w:rsid w:val="00E332A5"/>
    <w:rsid w:val="00E364FA"/>
    <w:rsid w:val="00E37124"/>
    <w:rsid w:val="00E41435"/>
    <w:rsid w:val="00E41460"/>
    <w:rsid w:val="00E41B52"/>
    <w:rsid w:val="00E41C14"/>
    <w:rsid w:val="00E41D35"/>
    <w:rsid w:val="00E47688"/>
    <w:rsid w:val="00E47AD4"/>
    <w:rsid w:val="00E53E3E"/>
    <w:rsid w:val="00E62DC1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37DA"/>
    <w:rsid w:val="00EA0B4C"/>
    <w:rsid w:val="00EA6FE7"/>
    <w:rsid w:val="00EB199D"/>
    <w:rsid w:val="00EB5475"/>
    <w:rsid w:val="00EB74B5"/>
    <w:rsid w:val="00EC38BC"/>
    <w:rsid w:val="00EC6A37"/>
    <w:rsid w:val="00ED3462"/>
    <w:rsid w:val="00ED73ED"/>
    <w:rsid w:val="00EE163F"/>
    <w:rsid w:val="00EE2B81"/>
    <w:rsid w:val="00EE7EB5"/>
    <w:rsid w:val="00EF2569"/>
    <w:rsid w:val="00EF52E7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577F6"/>
    <w:rsid w:val="00F6170F"/>
    <w:rsid w:val="00F61AC5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2377"/>
    <w:rsid w:val="00FA2C72"/>
    <w:rsid w:val="00FA47D0"/>
    <w:rsid w:val="00FA4C01"/>
    <w:rsid w:val="00FA4E84"/>
    <w:rsid w:val="00FA6CD9"/>
    <w:rsid w:val="00FB3710"/>
    <w:rsid w:val="00FB41A7"/>
    <w:rsid w:val="00FB7CF7"/>
    <w:rsid w:val="00FC1336"/>
    <w:rsid w:val="00FC4701"/>
    <w:rsid w:val="00FC5DA3"/>
    <w:rsid w:val="00FD17B7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A4C0A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4C0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A4C0A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4C0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datelna@koop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E3E3-B53A-44DB-A7D3-D83B630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2966</Words>
  <Characters>17503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Stárková Taťána</cp:lastModifiedBy>
  <cp:revision>2</cp:revision>
  <cp:lastPrinted>2017-08-03T12:55:00Z</cp:lastPrinted>
  <dcterms:created xsi:type="dcterms:W3CDTF">2018-01-04T14:23:00Z</dcterms:created>
  <dcterms:modified xsi:type="dcterms:W3CDTF">2018-01-04T14:23:00Z</dcterms:modified>
</cp:coreProperties>
</file>