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1486A" w14:textId="77777777" w:rsidR="00E07A15" w:rsidRPr="008963C3" w:rsidRDefault="00E07A15" w:rsidP="00E07A15">
      <w:pPr>
        <w:tabs>
          <w:tab w:val="left" w:pos="3828"/>
        </w:tabs>
        <w:spacing w:line="276" w:lineRule="auto"/>
        <w:rPr>
          <w:b/>
          <w:sz w:val="16"/>
          <w:szCs w:val="16"/>
        </w:rPr>
      </w:pPr>
      <w:bookmarkStart w:id="0" w:name="_GoBack"/>
      <w:bookmarkEnd w:id="0"/>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533"/>
      </w:tblGrid>
      <w:tr w:rsidR="00E07A15" w14:paraId="6E2E98AF" w14:textId="77777777" w:rsidTr="005A069E">
        <w:tc>
          <w:tcPr>
            <w:tcW w:w="6521" w:type="dxa"/>
          </w:tcPr>
          <w:p w14:paraId="0C13BBF7" w14:textId="77777777"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14:paraId="6C1EA1B5" w14:textId="4D0CE843" w:rsidR="00E07A15" w:rsidRDefault="00E07A15" w:rsidP="00814652">
            <w:pPr>
              <w:tabs>
                <w:tab w:val="left" w:pos="3828"/>
              </w:tabs>
              <w:spacing w:line="276" w:lineRule="auto"/>
              <w:rPr>
                <w:b/>
              </w:rPr>
            </w:pPr>
            <w:r>
              <w:rPr>
                <w:b/>
              </w:rPr>
              <w:t xml:space="preserve">  číslo:</w:t>
            </w:r>
            <w:r w:rsidR="00E40C90">
              <w:rPr>
                <w:b/>
              </w:rPr>
              <w:t xml:space="preserve"> MS1</w:t>
            </w:r>
            <w:r w:rsidR="00814652">
              <w:rPr>
                <w:b/>
              </w:rPr>
              <w:t>7</w:t>
            </w:r>
            <w:r w:rsidR="00E40C90">
              <w:rPr>
                <w:b/>
              </w:rPr>
              <w:t>010</w:t>
            </w:r>
            <w:r w:rsidR="00814652">
              <w:rPr>
                <w:b/>
              </w:rPr>
              <w:t>9</w:t>
            </w:r>
            <w:r w:rsidR="00E40C90">
              <w:rPr>
                <w:b/>
              </w:rPr>
              <w:t>-2</w:t>
            </w:r>
          </w:p>
        </w:tc>
      </w:tr>
    </w:tbl>
    <w:p w14:paraId="0CA45C33" w14:textId="77777777"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1124"/>
        <w:gridCol w:w="5480"/>
        <w:gridCol w:w="562"/>
        <w:gridCol w:w="2746"/>
      </w:tblGrid>
      <w:tr w:rsidR="00E07A15" w14:paraId="61B81BFB" w14:textId="77777777" w:rsidTr="005A069E">
        <w:trPr>
          <w:trHeight w:val="510"/>
        </w:trPr>
        <w:tc>
          <w:tcPr>
            <w:tcW w:w="1129" w:type="dxa"/>
            <w:shd w:val="clear" w:color="auto" w:fill="F2F2F2" w:themeFill="background1" w:themeFillShade="F2"/>
            <w:tcMar>
              <w:left w:w="142" w:type="dxa"/>
            </w:tcMar>
            <w:vAlign w:val="center"/>
          </w:tcPr>
          <w:p w14:paraId="1871D64A"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14:paraId="62368C7A" w14:textId="69A95710" w:rsidR="00E07A15" w:rsidRPr="006757FA" w:rsidRDefault="00E40C90" w:rsidP="005A069E">
            <w:pPr>
              <w:tabs>
                <w:tab w:val="left" w:pos="3828"/>
              </w:tabs>
              <w:spacing w:line="276" w:lineRule="auto"/>
              <w:rPr>
                <w:b/>
                <w:i/>
                <w:sz w:val="16"/>
                <w:szCs w:val="16"/>
              </w:rPr>
            </w:pPr>
            <w:r>
              <w:rPr>
                <w:b/>
                <w:sz w:val="16"/>
                <w:szCs w:val="16"/>
              </w:rPr>
              <w:t>Střední škola obchodní</w:t>
            </w:r>
            <w:r w:rsidR="00AA090F">
              <w:rPr>
                <w:b/>
                <w:sz w:val="16"/>
                <w:szCs w:val="16"/>
              </w:rPr>
              <w:t xml:space="preserve"> a Vyšší odborná škola, </w:t>
            </w:r>
            <w:r w:rsidR="00267883">
              <w:rPr>
                <w:b/>
                <w:sz w:val="16"/>
                <w:szCs w:val="16"/>
              </w:rPr>
              <w:t>České Budějovice, Husova 9</w:t>
            </w:r>
          </w:p>
        </w:tc>
      </w:tr>
      <w:tr w:rsidR="00E07A15" w14:paraId="1978CB9E" w14:textId="77777777" w:rsidTr="005A069E">
        <w:trPr>
          <w:trHeight w:val="510"/>
        </w:trPr>
        <w:tc>
          <w:tcPr>
            <w:tcW w:w="1129" w:type="dxa"/>
            <w:shd w:val="clear" w:color="auto" w:fill="F2F2F2" w:themeFill="background1" w:themeFillShade="F2"/>
            <w:tcMar>
              <w:left w:w="142" w:type="dxa"/>
            </w:tcMar>
            <w:vAlign w:val="center"/>
          </w:tcPr>
          <w:p w14:paraId="6F164918"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14:paraId="44FF008D" w14:textId="69917F6C" w:rsidR="00E07A15" w:rsidRPr="006757FA" w:rsidRDefault="00E40C90" w:rsidP="005A069E">
            <w:pPr>
              <w:tabs>
                <w:tab w:val="left" w:pos="3828"/>
              </w:tabs>
              <w:spacing w:line="276" w:lineRule="auto"/>
              <w:rPr>
                <w:b/>
                <w:i/>
                <w:sz w:val="16"/>
                <w:szCs w:val="16"/>
              </w:rPr>
            </w:pPr>
            <w:r>
              <w:rPr>
                <w:b/>
                <w:sz w:val="16"/>
                <w:szCs w:val="16"/>
              </w:rPr>
              <w:t>+420602595464</w:t>
            </w:r>
          </w:p>
        </w:tc>
        <w:tc>
          <w:tcPr>
            <w:tcW w:w="563" w:type="dxa"/>
            <w:shd w:val="clear" w:color="auto" w:fill="F2F2F2" w:themeFill="background1" w:themeFillShade="F2"/>
            <w:tcMar>
              <w:left w:w="142" w:type="dxa"/>
            </w:tcMar>
            <w:vAlign w:val="center"/>
          </w:tcPr>
          <w:p w14:paraId="05C4EB2E"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14:paraId="6E7F01E6" w14:textId="19D0F837" w:rsidR="00E07A15" w:rsidRPr="006757FA" w:rsidRDefault="00E40C90" w:rsidP="005A069E">
            <w:pPr>
              <w:tabs>
                <w:tab w:val="left" w:pos="3828"/>
              </w:tabs>
              <w:spacing w:line="276" w:lineRule="auto"/>
              <w:rPr>
                <w:b/>
                <w:i/>
                <w:sz w:val="16"/>
                <w:szCs w:val="16"/>
              </w:rPr>
            </w:pPr>
            <w:r>
              <w:rPr>
                <w:b/>
                <w:sz w:val="16"/>
                <w:szCs w:val="16"/>
              </w:rPr>
              <w:t xml:space="preserve">         00510874</w:t>
            </w:r>
          </w:p>
        </w:tc>
      </w:tr>
      <w:tr w:rsidR="00E07A15" w14:paraId="12385964" w14:textId="77777777" w:rsidTr="005A069E">
        <w:trPr>
          <w:trHeight w:val="510"/>
        </w:trPr>
        <w:tc>
          <w:tcPr>
            <w:tcW w:w="1129" w:type="dxa"/>
            <w:shd w:val="clear" w:color="auto" w:fill="F2F2F2" w:themeFill="background1" w:themeFillShade="F2"/>
            <w:tcMar>
              <w:left w:w="142" w:type="dxa"/>
            </w:tcMar>
            <w:vAlign w:val="center"/>
          </w:tcPr>
          <w:p w14:paraId="4A283800"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14:paraId="03F93C68" w14:textId="7EFDE42F" w:rsidR="00E07A15" w:rsidRPr="006757FA" w:rsidRDefault="00E40C90" w:rsidP="005A069E">
            <w:pPr>
              <w:tabs>
                <w:tab w:val="left" w:pos="3828"/>
              </w:tabs>
              <w:spacing w:line="276" w:lineRule="auto"/>
              <w:rPr>
                <w:b/>
                <w:i/>
                <w:sz w:val="16"/>
                <w:szCs w:val="16"/>
              </w:rPr>
            </w:pPr>
            <w:r>
              <w:rPr>
                <w:b/>
                <w:sz w:val="16"/>
                <w:szCs w:val="16"/>
              </w:rPr>
              <w:t>benyskova@sso.cz</w:t>
            </w:r>
          </w:p>
        </w:tc>
        <w:tc>
          <w:tcPr>
            <w:tcW w:w="563" w:type="dxa"/>
            <w:shd w:val="clear" w:color="auto" w:fill="F2F2F2" w:themeFill="background1" w:themeFillShade="F2"/>
            <w:tcMar>
              <w:left w:w="142" w:type="dxa"/>
            </w:tcMar>
            <w:vAlign w:val="center"/>
          </w:tcPr>
          <w:p w14:paraId="0B8F248C"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14:paraId="0D79BC45" w14:textId="77777777" w:rsidR="00E07A15" w:rsidRPr="006757FA" w:rsidRDefault="00E07A15" w:rsidP="005A069E">
            <w:pPr>
              <w:tabs>
                <w:tab w:val="left" w:pos="3828"/>
              </w:tabs>
              <w:spacing w:line="276" w:lineRule="auto"/>
              <w:rPr>
                <w:b/>
                <w:i/>
                <w:sz w:val="16"/>
                <w:szCs w:val="16"/>
              </w:rPr>
            </w:pPr>
          </w:p>
        </w:tc>
      </w:tr>
      <w:tr w:rsidR="00E07A15" w14:paraId="0AC86C06" w14:textId="77777777" w:rsidTr="005A069E">
        <w:trPr>
          <w:trHeight w:val="510"/>
        </w:trPr>
        <w:tc>
          <w:tcPr>
            <w:tcW w:w="1129" w:type="dxa"/>
            <w:shd w:val="clear" w:color="auto" w:fill="F2F2F2" w:themeFill="background1" w:themeFillShade="F2"/>
            <w:tcMar>
              <w:left w:w="142" w:type="dxa"/>
            </w:tcMar>
            <w:vAlign w:val="center"/>
          </w:tcPr>
          <w:p w14:paraId="16CA1F42"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14:paraId="631DD6DB" w14:textId="5F52CC85" w:rsidR="00E07A15" w:rsidRPr="006757FA" w:rsidRDefault="00E40C90" w:rsidP="005A069E">
            <w:pPr>
              <w:tabs>
                <w:tab w:val="left" w:pos="3828"/>
              </w:tabs>
              <w:spacing w:line="276" w:lineRule="auto"/>
              <w:rPr>
                <w:b/>
                <w:i/>
                <w:sz w:val="16"/>
                <w:szCs w:val="16"/>
              </w:rPr>
            </w:pPr>
            <w:r>
              <w:rPr>
                <w:b/>
                <w:sz w:val="16"/>
                <w:szCs w:val="16"/>
              </w:rPr>
              <w:t>Husova 9, České Budějovice 370 01</w:t>
            </w:r>
          </w:p>
        </w:tc>
      </w:tr>
    </w:tbl>
    <w:p w14:paraId="45E4DB33" w14:textId="77777777" w:rsidR="00E07A15" w:rsidRPr="00EE779E" w:rsidRDefault="00E07A15" w:rsidP="00E07A15">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firstRow="1" w:lastRow="0" w:firstColumn="1" w:lastColumn="0" w:noHBand="0" w:noVBand="1"/>
      </w:tblPr>
      <w:tblGrid>
        <w:gridCol w:w="1843"/>
        <w:gridCol w:w="567"/>
        <w:gridCol w:w="992"/>
        <w:gridCol w:w="851"/>
        <w:gridCol w:w="850"/>
        <w:gridCol w:w="520"/>
        <w:gridCol w:w="331"/>
        <w:gridCol w:w="236"/>
        <w:gridCol w:w="614"/>
        <w:gridCol w:w="3119"/>
      </w:tblGrid>
      <w:tr w:rsidR="00E07A15" w:rsidRPr="006B0EAB" w14:paraId="759E7607" w14:textId="77777777" w:rsidTr="005A069E">
        <w:trPr>
          <w:trHeight w:val="454"/>
        </w:trPr>
        <w:tc>
          <w:tcPr>
            <w:tcW w:w="1843" w:type="dxa"/>
            <w:shd w:val="clear" w:color="auto" w:fill="F2F2F2" w:themeFill="background1" w:themeFillShade="F2"/>
            <w:vAlign w:val="center"/>
          </w:tcPr>
          <w:p w14:paraId="77BA1621" w14:textId="77777777"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14:paraId="38EFF1B1" w14:textId="58035A3D" w:rsidR="00E07A15" w:rsidRPr="001759BD" w:rsidRDefault="00E07A15" w:rsidP="00E40C90">
            <w:pPr>
              <w:spacing w:line="276" w:lineRule="auto"/>
              <w:jc w:val="center"/>
              <w:rPr>
                <w:i/>
                <w:sz w:val="16"/>
                <w:szCs w:val="16"/>
              </w:rPr>
            </w:pPr>
            <w:r w:rsidRPr="001759BD">
              <w:rPr>
                <w:i/>
                <w:sz w:val="16"/>
                <w:szCs w:val="16"/>
              </w:rPr>
              <w:t xml:space="preserve">Reklamní kampaň   </w:t>
            </w:r>
            <w:r w:rsidR="00E40C90">
              <w:rPr>
                <w:i/>
                <w:sz w:val="20"/>
                <w:szCs w:val="20"/>
              </w:rPr>
              <w:fldChar w:fldCharType="begin">
                <w:ffData>
                  <w:name w:val="Check3"/>
                  <w:enabled/>
                  <w:calcOnExit w:val="0"/>
                  <w:checkBox>
                    <w:sizeAuto/>
                    <w:default w:val="1"/>
                  </w:checkBox>
                </w:ffData>
              </w:fldChar>
            </w:r>
            <w:bookmarkStart w:id="1" w:name="Check3"/>
            <w:r w:rsidR="00E40C90">
              <w:rPr>
                <w:i/>
                <w:sz w:val="20"/>
                <w:szCs w:val="20"/>
              </w:rPr>
              <w:instrText xml:space="preserve"> FORMCHECKBOX </w:instrText>
            </w:r>
            <w:r w:rsidR="00310809">
              <w:rPr>
                <w:i/>
                <w:sz w:val="20"/>
                <w:szCs w:val="20"/>
              </w:rPr>
            </w:r>
            <w:r w:rsidR="00310809">
              <w:rPr>
                <w:i/>
                <w:sz w:val="20"/>
                <w:szCs w:val="20"/>
              </w:rPr>
              <w:fldChar w:fldCharType="separate"/>
            </w:r>
            <w:r w:rsidR="00E40C90">
              <w:rPr>
                <w:i/>
                <w:sz w:val="20"/>
                <w:szCs w:val="20"/>
              </w:rPr>
              <w:fldChar w:fldCharType="end"/>
            </w:r>
            <w:bookmarkEnd w:id="1"/>
            <w:r w:rsidRPr="001759BD">
              <w:rPr>
                <w:i/>
                <w:sz w:val="20"/>
                <w:szCs w:val="20"/>
              </w:rPr>
              <w:t xml:space="preserve"> </w:t>
            </w:r>
          </w:p>
        </w:tc>
        <w:tc>
          <w:tcPr>
            <w:tcW w:w="3969" w:type="dxa"/>
            <w:gridSpan w:val="3"/>
            <w:vAlign w:val="center"/>
          </w:tcPr>
          <w:p w14:paraId="6817D6F5" w14:textId="77777777" w:rsidR="00E07A15" w:rsidRPr="001759BD" w:rsidRDefault="00E07A15" w:rsidP="005A069E">
            <w:pPr>
              <w:spacing w:line="276" w:lineRule="auto"/>
              <w:jc w:val="center"/>
              <w:rPr>
                <w:i/>
                <w:sz w:val="16"/>
                <w:szCs w:val="16"/>
              </w:rPr>
            </w:pPr>
            <w:r w:rsidRPr="001759BD">
              <w:rPr>
                <w:i/>
                <w:sz w:val="16"/>
                <w:szCs w:val="16"/>
              </w:rPr>
              <w:t xml:space="preserve">Sponzorská kampaň   </w:t>
            </w:r>
            <w:r w:rsidRPr="001759BD">
              <w:rPr>
                <w:i/>
                <w:sz w:val="20"/>
                <w:szCs w:val="20"/>
              </w:rPr>
              <w:fldChar w:fldCharType="begin">
                <w:ffData>
                  <w:name w:val="Check3"/>
                  <w:enabled/>
                  <w:calcOnExit w:val="0"/>
                  <w:checkBox>
                    <w:sizeAuto/>
                    <w:default w:val="0"/>
                  </w:checkBox>
                </w:ffData>
              </w:fldChar>
            </w:r>
            <w:r w:rsidRPr="001759BD">
              <w:rPr>
                <w:i/>
                <w:sz w:val="20"/>
                <w:szCs w:val="20"/>
              </w:rPr>
              <w:instrText xml:space="preserve"> FORMCHECKBOX </w:instrText>
            </w:r>
            <w:r w:rsidR="00310809">
              <w:rPr>
                <w:i/>
                <w:sz w:val="20"/>
                <w:szCs w:val="20"/>
              </w:rPr>
            </w:r>
            <w:r w:rsidR="00310809">
              <w:rPr>
                <w:i/>
                <w:sz w:val="20"/>
                <w:szCs w:val="20"/>
              </w:rPr>
              <w:fldChar w:fldCharType="separate"/>
            </w:r>
            <w:r w:rsidRPr="001759BD">
              <w:rPr>
                <w:i/>
                <w:sz w:val="20"/>
                <w:szCs w:val="20"/>
              </w:rPr>
              <w:fldChar w:fldCharType="end"/>
            </w:r>
            <w:r w:rsidRPr="001759BD">
              <w:rPr>
                <w:i/>
                <w:sz w:val="20"/>
                <w:szCs w:val="20"/>
              </w:rPr>
              <w:t xml:space="preserve"> </w:t>
            </w:r>
          </w:p>
        </w:tc>
      </w:tr>
      <w:tr w:rsidR="00E07A15" w:rsidRPr="006B0EAB" w14:paraId="28D03FBD" w14:textId="77777777" w:rsidTr="005A069E">
        <w:trPr>
          <w:trHeight w:val="454"/>
        </w:trPr>
        <w:tc>
          <w:tcPr>
            <w:tcW w:w="1843" w:type="dxa"/>
            <w:shd w:val="clear" w:color="auto" w:fill="F2F2F2" w:themeFill="background1" w:themeFillShade="F2"/>
            <w:vAlign w:val="center"/>
          </w:tcPr>
          <w:p w14:paraId="5B22E280" w14:textId="77777777"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14:paraId="6458415C" w14:textId="52249B74" w:rsidR="00E07A15" w:rsidRPr="006757FA" w:rsidRDefault="00E40C90" w:rsidP="005A069E">
            <w:pPr>
              <w:spacing w:line="276" w:lineRule="auto"/>
              <w:jc w:val="center"/>
              <w:rPr>
                <w:i/>
                <w:sz w:val="16"/>
                <w:szCs w:val="16"/>
              </w:rPr>
            </w:pPr>
            <w:r>
              <w:rPr>
                <w:i/>
                <w:sz w:val="16"/>
                <w:szCs w:val="16"/>
              </w:rPr>
              <w:t>Reklamní spot</w:t>
            </w:r>
          </w:p>
        </w:tc>
      </w:tr>
      <w:tr w:rsidR="00E07A15" w:rsidRPr="006B0EAB" w14:paraId="459D7DC8" w14:textId="77777777" w:rsidTr="005A069E">
        <w:trPr>
          <w:trHeight w:val="454"/>
        </w:trPr>
        <w:tc>
          <w:tcPr>
            <w:tcW w:w="1843" w:type="dxa"/>
            <w:shd w:val="clear" w:color="auto" w:fill="F2F2F2" w:themeFill="background1" w:themeFillShade="F2"/>
            <w:vAlign w:val="center"/>
          </w:tcPr>
          <w:p w14:paraId="5829FCEA" w14:textId="77777777"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14:paraId="5DD8933E" w14:textId="77777777" w:rsidR="00E07A15" w:rsidRPr="006757FA" w:rsidRDefault="00E07A15" w:rsidP="005A069E">
            <w:pPr>
              <w:spacing w:line="276" w:lineRule="auto"/>
              <w:jc w:val="right"/>
              <w:rPr>
                <w:i/>
                <w:sz w:val="16"/>
                <w:szCs w:val="16"/>
              </w:rPr>
            </w:pPr>
            <w:proofErr w:type="gramStart"/>
            <w:r w:rsidRPr="006757FA">
              <w:rPr>
                <w:i/>
                <w:sz w:val="16"/>
                <w:szCs w:val="16"/>
              </w:rPr>
              <w:t>od</w:t>
            </w:r>
            <w:proofErr w:type="gramEnd"/>
          </w:p>
        </w:tc>
        <w:tc>
          <w:tcPr>
            <w:tcW w:w="3213" w:type="dxa"/>
            <w:gridSpan w:val="4"/>
            <w:vAlign w:val="center"/>
          </w:tcPr>
          <w:p w14:paraId="5895A37D" w14:textId="79AECF76" w:rsidR="00E07A15" w:rsidRPr="006757FA" w:rsidRDefault="00E40C90" w:rsidP="00814652">
            <w:pPr>
              <w:spacing w:line="276" w:lineRule="auto"/>
              <w:jc w:val="center"/>
              <w:rPr>
                <w:i/>
                <w:sz w:val="16"/>
                <w:szCs w:val="16"/>
              </w:rPr>
            </w:pPr>
            <w:proofErr w:type="gramStart"/>
            <w:r>
              <w:rPr>
                <w:i/>
                <w:sz w:val="16"/>
                <w:szCs w:val="16"/>
              </w:rPr>
              <w:t>1.11.201</w:t>
            </w:r>
            <w:r w:rsidR="00814652">
              <w:rPr>
                <w:i/>
                <w:sz w:val="16"/>
                <w:szCs w:val="16"/>
              </w:rPr>
              <w:t>7</w:t>
            </w:r>
            <w:proofErr w:type="gramEnd"/>
          </w:p>
        </w:tc>
        <w:tc>
          <w:tcPr>
            <w:tcW w:w="567" w:type="dxa"/>
            <w:gridSpan w:val="2"/>
            <w:vAlign w:val="center"/>
          </w:tcPr>
          <w:p w14:paraId="7FADD6CF" w14:textId="77777777" w:rsidR="00E07A15" w:rsidRPr="006757FA" w:rsidRDefault="00E07A15" w:rsidP="005A069E">
            <w:pPr>
              <w:spacing w:line="276" w:lineRule="auto"/>
              <w:jc w:val="right"/>
              <w:rPr>
                <w:i/>
                <w:sz w:val="16"/>
                <w:szCs w:val="16"/>
              </w:rPr>
            </w:pPr>
            <w:proofErr w:type="gramStart"/>
            <w:r w:rsidRPr="006757FA">
              <w:rPr>
                <w:i/>
                <w:sz w:val="16"/>
                <w:szCs w:val="16"/>
              </w:rPr>
              <w:t>do</w:t>
            </w:r>
            <w:proofErr w:type="gramEnd"/>
          </w:p>
        </w:tc>
        <w:tc>
          <w:tcPr>
            <w:tcW w:w="3733" w:type="dxa"/>
            <w:gridSpan w:val="2"/>
            <w:vAlign w:val="center"/>
          </w:tcPr>
          <w:p w14:paraId="4B16D2B0" w14:textId="2B7130C4" w:rsidR="00E07A15" w:rsidRPr="006757FA" w:rsidRDefault="00814652" w:rsidP="00814652">
            <w:pPr>
              <w:spacing w:line="276" w:lineRule="auto"/>
              <w:jc w:val="center"/>
              <w:rPr>
                <w:i/>
                <w:sz w:val="16"/>
                <w:szCs w:val="16"/>
              </w:rPr>
            </w:pPr>
            <w:proofErr w:type="gramStart"/>
            <w:r>
              <w:rPr>
                <w:i/>
                <w:sz w:val="16"/>
                <w:szCs w:val="16"/>
              </w:rPr>
              <w:t>2</w:t>
            </w:r>
            <w:r w:rsidR="00E40C90">
              <w:rPr>
                <w:i/>
                <w:sz w:val="16"/>
                <w:szCs w:val="16"/>
              </w:rPr>
              <w:t>5.2.201</w:t>
            </w:r>
            <w:r>
              <w:rPr>
                <w:i/>
                <w:sz w:val="16"/>
                <w:szCs w:val="16"/>
              </w:rPr>
              <w:t>8</w:t>
            </w:r>
            <w:proofErr w:type="gramEnd"/>
          </w:p>
        </w:tc>
      </w:tr>
      <w:tr w:rsidR="00E07A15" w:rsidRPr="006B0EAB" w14:paraId="79205BF4" w14:textId="77777777" w:rsidTr="005A069E">
        <w:trPr>
          <w:trHeight w:val="454"/>
        </w:trPr>
        <w:tc>
          <w:tcPr>
            <w:tcW w:w="1843" w:type="dxa"/>
            <w:shd w:val="clear" w:color="auto" w:fill="F2F2F2" w:themeFill="background1" w:themeFillShade="F2"/>
            <w:vAlign w:val="center"/>
          </w:tcPr>
          <w:p w14:paraId="45EF4550" w14:textId="77777777" w:rsidR="00E07A15" w:rsidRPr="006757FA" w:rsidRDefault="00E07A15" w:rsidP="005A069E">
            <w:pPr>
              <w:spacing w:line="276" w:lineRule="auto"/>
              <w:jc w:val="right"/>
              <w:rPr>
                <w:i/>
                <w:sz w:val="16"/>
                <w:szCs w:val="16"/>
              </w:rPr>
            </w:pPr>
            <w:r>
              <w:rPr>
                <w:i/>
                <w:sz w:val="16"/>
                <w:szCs w:val="16"/>
              </w:rPr>
              <w:t>Dodání vlastního spotu</w:t>
            </w:r>
          </w:p>
        </w:tc>
        <w:tc>
          <w:tcPr>
            <w:tcW w:w="1559" w:type="dxa"/>
            <w:gridSpan w:val="2"/>
            <w:vAlign w:val="center"/>
          </w:tcPr>
          <w:p w14:paraId="0742D7DF" w14:textId="7C9B3B7C" w:rsidR="00E07A15" w:rsidRPr="006757FA" w:rsidRDefault="00E07A15" w:rsidP="00E40C90">
            <w:pPr>
              <w:spacing w:line="276" w:lineRule="auto"/>
              <w:jc w:val="center"/>
              <w:rPr>
                <w:i/>
                <w:sz w:val="16"/>
                <w:szCs w:val="16"/>
              </w:rPr>
            </w:pPr>
            <w:r w:rsidRPr="006757FA">
              <w:rPr>
                <w:i/>
                <w:sz w:val="16"/>
                <w:szCs w:val="16"/>
              </w:rPr>
              <w:fldChar w:fldCharType="begin">
                <w:ffData>
                  <w:name w:val="Check3"/>
                  <w:enabled/>
                  <w:calcOnExit w:val="0"/>
                  <w:checkBox>
                    <w:sizeAuto/>
                    <w:default w:val="0"/>
                  </w:checkBox>
                </w:ffData>
              </w:fldChar>
            </w:r>
            <w:r w:rsidRPr="006757FA">
              <w:rPr>
                <w:i/>
                <w:sz w:val="16"/>
                <w:szCs w:val="16"/>
              </w:rPr>
              <w:instrText xml:space="preserve"> FORMCHECKBOX </w:instrText>
            </w:r>
            <w:r w:rsidR="00310809">
              <w:rPr>
                <w:i/>
                <w:sz w:val="16"/>
                <w:szCs w:val="16"/>
              </w:rPr>
            </w:r>
            <w:r w:rsidR="00310809">
              <w:rPr>
                <w:i/>
                <w:sz w:val="16"/>
                <w:szCs w:val="16"/>
              </w:rPr>
              <w:fldChar w:fldCharType="separate"/>
            </w:r>
            <w:r w:rsidRPr="006757FA">
              <w:rPr>
                <w:i/>
                <w:sz w:val="16"/>
                <w:szCs w:val="16"/>
              </w:rPr>
              <w:fldChar w:fldCharType="end"/>
            </w:r>
            <w:r w:rsidRPr="006757FA">
              <w:rPr>
                <w:i/>
                <w:sz w:val="16"/>
                <w:szCs w:val="16"/>
              </w:rPr>
              <w:t xml:space="preserve"> ANO</w:t>
            </w:r>
            <w:r>
              <w:rPr>
                <w:i/>
                <w:sz w:val="16"/>
                <w:szCs w:val="16"/>
              </w:rPr>
              <w:t xml:space="preserve"> /  </w:t>
            </w:r>
            <w:r w:rsidR="00E40C90">
              <w:rPr>
                <w:i/>
                <w:sz w:val="16"/>
                <w:szCs w:val="16"/>
              </w:rPr>
              <w:fldChar w:fldCharType="begin">
                <w:ffData>
                  <w:name w:val=""/>
                  <w:enabled/>
                  <w:calcOnExit w:val="0"/>
                  <w:checkBox>
                    <w:sizeAuto/>
                    <w:default w:val="1"/>
                  </w:checkBox>
                </w:ffData>
              </w:fldChar>
            </w:r>
            <w:r w:rsidR="00E40C90">
              <w:rPr>
                <w:i/>
                <w:sz w:val="16"/>
                <w:szCs w:val="16"/>
              </w:rPr>
              <w:instrText xml:space="preserve"> FORMCHECKBOX </w:instrText>
            </w:r>
            <w:r w:rsidR="00310809">
              <w:rPr>
                <w:i/>
                <w:sz w:val="16"/>
                <w:szCs w:val="16"/>
              </w:rPr>
            </w:r>
            <w:r w:rsidR="00310809">
              <w:rPr>
                <w:i/>
                <w:sz w:val="16"/>
                <w:szCs w:val="16"/>
              </w:rPr>
              <w:fldChar w:fldCharType="separate"/>
            </w:r>
            <w:r w:rsidR="00E40C90">
              <w:rPr>
                <w:i/>
                <w:sz w:val="16"/>
                <w:szCs w:val="16"/>
              </w:rPr>
              <w:fldChar w:fldCharType="end"/>
            </w:r>
            <w:r>
              <w:rPr>
                <w:i/>
                <w:sz w:val="16"/>
                <w:szCs w:val="16"/>
              </w:rPr>
              <w:t xml:space="preserve"> NE</w:t>
            </w:r>
          </w:p>
        </w:tc>
        <w:tc>
          <w:tcPr>
            <w:tcW w:w="851" w:type="dxa"/>
            <w:shd w:val="clear" w:color="auto" w:fill="F2F2F2" w:themeFill="background1" w:themeFillShade="F2"/>
            <w:vAlign w:val="center"/>
          </w:tcPr>
          <w:p w14:paraId="2A603644" w14:textId="77777777" w:rsidR="00E07A15" w:rsidRPr="006757FA" w:rsidRDefault="00E07A15" w:rsidP="005A069E">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14:paraId="480EA7A5" w14:textId="6A45F87C" w:rsidR="00E07A15" w:rsidRPr="006757FA" w:rsidRDefault="00E40C90" w:rsidP="005A069E">
            <w:pPr>
              <w:spacing w:line="276" w:lineRule="auto"/>
              <w:rPr>
                <w:i/>
                <w:sz w:val="16"/>
                <w:szCs w:val="16"/>
              </w:rPr>
            </w:pPr>
            <w:r>
              <w:rPr>
                <w:i/>
                <w:sz w:val="16"/>
                <w:szCs w:val="16"/>
              </w:rPr>
              <w:t>20sec</w:t>
            </w:r>
          </w:p>
        </w:tc>
        <w:tc>
          <w:tcPr>
            <w:tcW w:w="1701" w:type="dxa"/>
            <w:gridSpan w:val="4"/>
            <w:shd w:val="clear" w:color="auto" w:fill="F2F2F2" w:themeFill="background1" w:themeFillShade="F2"/>
            <w:vAlign w:val="center"/>
          </w:tcPr>
          <w:p w14:paraId="75422FB8" w14:textId="77777777" w:rsidR="00E07A15" w:rsidRPr="006757FA" w:rsidRDefault="00E07A15" w:rsidP="005A069E">
            <w:pPr>
              <w:spacing w:line="276" w:lineRule="auto"/>
              <w:jc w:val="right"/>
              <w:rPr>
                <w:i/>
                <w:sz w:val="16"/>
                <w:szCs w:val="16"/>
              </w:rPr>
            </w:pPr>
            <w:r w:rsidRPr="006757FA">
              <w:rPr>
                <w:i/>
                <w:sz w:val="16"/>
                <w:szCs w:val="16"/>
              </w:rPr>
              <w:t>Počet vysílacích dnů</w:t>
            </w:r>
          </w:p>
        </w:tc>
        <w:tc>
          <w:tcPr>
            <w:tcW w:w="3119" w:type="dxa"/>
            <w:vAlign w:val="center"/>
          </w:tcPr>
          <w:p w14:paraId="072D8A54" w14:textId="0A0293C1" w:rsidR="00E07A15" w:rsidRPr="006757FA" w:rsidRDefault="00814652" w:rsidP="00814652">
            <w:pPr>
              <w:spacing w:line="276" w:lineRule="auto"/>
              <w:jc w:val="center"/>
              <w:rPr>
                <w:i/>
                <w:sz w:val="16"/>
                <w:szCs w:val="16"/>
              </w:rPr>
            </w:pPr>
            <w:r>
              <w:rPr>
                <w:i/>
                <w:sz w:val="16"/>
                <w:szCs w:val="16"/>
              </w:rPr>
              <w:t>36</w:t>
            </w:r>
          </w:p>
        </w:tc>
      </w:tr>
      <w:tr w:rsidR="00E07A15" w:rsidRPr="006B0EAB" w14:paraId="2ED6892D" w14:textId="77777777" w:rsidTr="005A069E">
        <w:trPr>
          <w:trHeight w:val="454"/>
        </w:trPr>
        <w:tc>
          <w:tcPr>
            <w:tcW w:w="1843" w:type="dxa"/>
            <w:shd w:val="clear" w:color="auto" w:fill="F2F2F2" w:themeFill="background1" w:themeFillShade="F2"/>
            <w:vAlign w:val="center"/>
          </w:tcPr>
          <w:p w14:paraId="69749C9E" w14:textId="77777777" w:rsidR="00E07A15" w:rsidRPr="006757FA" w:rsidRDefault="00E07A15" w:rsidP="005A069E">
            <w:pPr>
              <w:spacing w:line="276" w:lineRule="auto"/>
              <w:jc w:val="right"/>
              <w:rPr>
                <w:i/>
                <w:sz w:val="16"/>
                <w:szCs w:val="16"/>
              </w:rPr>
            </w:pPr>
            <w:r>
              <w:rPr>
                <w:i/>
                <w:sz w:val="16"/>
                <w:szCs w:val="16"/>
              </w:rPr>
              <w:t>Další specifikace</w:t>
            </w:r>
          </w:p>
        </w:tc>
        <w:tc>
          <w:tcPr>
            <w:tcW w:w="3260" w:type="dxa"/>
            <w:gridSpan w:val="4"/>
            <w:vAlign w:val="center"/>
          </w:tcPr>
          <w:p w14:paraId="39A958B4" w14:textId="77777777" w:rsidR="00E07A15" w:rsidRPr="006757FA" w:rsidRDefault="00E07A15" w:rsidP="005A069E">
            <w:pPr>
              <w:spacing w:line="276" w:lineRule="auto"/>
              <w:jc w:val="center"/>
              <w:rPr>
                <w:i/>
                <w:sz w:val="16"/>
                <w:szCs w:val="16"/>
              </w:rPr>
            </w:pPr>
          </w:p>
        </w:tc>
        <w:tc>
          <w:tcPr>
            <w:tcW w:w="1701" w:type="dxa"/>
            <w:gridSpan w:val="4"/>
            <w:shd w:val="clear" w:color="auto" w:fill="F2F2F2" w:themeFill="background1" w:themeFillShade="F2"/>
            <w:vAlign w:val="center"/>
          </w:tcPr>
          <w:p w14:paraId="30BCBC2C" w14:textId="77777777" w:rsidR="00E07A15" w:rsidRPr="00904D21" w:rsidRDefault="00E07A15" w:rsidP="005A069E">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14:paraId="538BA219" w14:textId="18799FBA" w:rsidR="00E07A15" w:rsidRPr="006757FA" w:rsidRDefault="00814652" w:rsidP="00814652">
            <w:pPr>
              <w:spacing w:line="276" w:lineRule="auto"/>
              <w:jc w:val="center"/>
              <w:rPr>
                <w:b/>
                <w:i/>
                <w:sz w:val="20"/>
                <w:szCs w:val="20"/>
              </w:rPr>
            </w:pPr>
            <w:r>
              <w:rPr>
                <w:b/>
                <w:i/>
                <w:sz w:val="20"/>
                <w:szCs w:val="20"/>
              </w:rPr>
              <w:t>85.536,-</w:t>
            </w:r>
          </w:p>
        </w:tc>
      </w:tr>
    </w:tbl>
    <w:p w14:paraId="775952FE" w14:textId="77777777" w:rsidR="00E07A15" w:rsidRPr="003F503A" w:rsidRDefault="00E07A15" w:rsidP="00E07A15">
      <w:pPr>
        <w:spacing w:line="276" w:lineRule="auto"/>
        <w:rPr>
          <w:i/>
          <w:sz w:val="6"/>
          <w:szCs w:val="6"/>
        </w:rPr>
      </w:pPr>
      <w:r>
        <w:rPr>
          <w:i/>
          <w:sz w:val="6"/>
          <w:szCs w:val="6"/>
        </w:rPr>
        <w:t>p</w:t>
      </w:r>
    </w:p>
    <w:p w14:paraId="38D1DDB3" w14:textId="68A47726"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v sekundách. </w:t>
      </w:r>
      <w:r w:rsidRPr="008963C3">
        <w:rPr>
          <w:i/>
          <w:sz w:val="16"/>
          <w:szCs w:val="16"/>
        </w:rPr>
        <w:t xml:space="preserve">Reklamní formát vysílání </w:t>
      </w:r>
      <w:r w:rsidR="00BE5B1D">
        <w:rPr>
          <w:i/>
          <w:sz w:val="16"/>
          <w:szCs w:val="16"/>
        </w:rPr>
        <w:t>JTV a.s.</w:t>
      </w:r>
      <w:r w:rsidRPr="008963C3">
        <w:rPr>
          <w:i/>
          <w:sz w:val="16"/>
          <w:szCs w:val="16"/>
        </w:rPr>
        <w:t xml:space="preserve"> je 1 hodinová smyčka, opakující se 24x denně. 1 den</w:t>
      </w:r>
      <w:r w:rsidR="00BE5B1D">
        <w:rPr>
          <w:i/>
          <w:sz w:val="16"/>
          <w:szCs w:val="16"/>
        </w:rPr>
        <w:t xml:space="preserve"> = premiérové vysílání v čase 1</w:t>
      </w:r>
      <w:r w:rsidR="00520DFD">
        <w:rPr>
          <w:i/>
          <w:sz w:val="16"/>
          <w:szCs w:val="16"/>
        </w:rPr>
        <w:t>7</w:t>
      </w:r>
      <w:r w:rsidR="00BE5B1D">
        <w:rPr>
          <w:i/>
          <w:sz w:val="16"/>
          <w:szCs w:val="16"/>
        </w:rPr>
        <w:t>:00 – 1</w:t>
      </w:r>
      <w:r w:rsidR="00520DFD">
        <w:rPr>
          <w:i/>
          <w:sz w:val="16"/>
          <w:szCs w:val="16"/>
        </w:rPr>
        <w:t>7</w:t>
      </w:r>
      <w:r w:rsidRPr="008963C3">
        <w:rPr>
          <w:i/>
          <w:sz w:val="16"/>
          <w:szCs w:val="16"/>
        </w:rPr>
        <w:t>:59 hod.</w:t>
      </w:r>
      <w:r w:rsidR="00BE5B1D">
        <w:rPr>
          <w:i/>
          <w:sz w:val="16"/>
          <w:szCs w:val="16"/>
        </w:rPr>
        <w:t xml:space="preserve"> (1x) a následně reprízování: 1</w:t>
      </w:r>
      <w:r w:rsidR="00520DFD">
        <w:rPr>
          <w:i/>
          <w:sz w:val="16"/>
          <w:szCs w:val="16"/>
        </w:rPr>
        <w:t>8</w:t>
      </w:r>
      <w:r w:rsidR="00BE5B1D">
        <w:rPr>
          <w:i/>
          <w:sz w:val="16"/>
          <w:szCs w:val="16"/>
        </w:rPr>
        <w:t>:00 – 1</w:t>
      </w:r>
      <w:r w:rsidR="00520DFD">
        <w:rPr>
          <w:i/>
          <w:sz w:val="16"/>
          <w:szCs w:val="16"/>
        </w:rPr>
        <w:t>6</w:t>
      </w:r>
      <w:r w:rsidRPr="008963C3">
        <w:rPr>
          <w:i/>
          <w:sz w:val="16"/>
          <w:szCs w:val="16"/>
        </w:rPr>
        <w:t>:59 hod. (23x).</w:t>
      </w:r>
    </w:p>
    <w:p w14:paraId="6632E694" w14:textId="77777777" w:rsidR="00E07A15" w:rsidRPr="008963C3" w:rsidRDefault="00E07A15" w:rsidP="00E07A15">
      <w:pPr>
        <w:pStyle w:val="Odstavecseseznamem"/>
        <w:spacing w:line="276" w:lineRule="auto"/>
        <w:ind w:left="0"/>
        <w:rPr>
          <w:sz w:val="16"/>
          <w:szCs w:val="16"/>
        </w:rPr>
      </w:pPr>
    </w:p>
    <w:p w14:paraId="49C4B1B4" w14:textId="77777777"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918"/>
      </w:tblGrid>
      <w:tr w:rsidR="00E07A15" w:rsidRPr="00340282" w14:paraId="436FBBAA" w14:textId="77777777" w:rsidTr="005A069E">
        <w:trPr>
          <w:trHeight w:val="1140"/>
        </w:trPr>
        <w:tc>
          <w:tcPr>
            <w:tcW w:w="9918" w:type="dxa"/>
            <w:tcMar>
              <w:left w:w="142" w:type="dxa"/>
            </w:tcMar>
          </w:tcPr>
          <w:p w14:paraId="19E21C7C" w14:textId="77777777" w:rsidR="00E07A15" w:rsidRPr="00340282" w:rsidRDefault="00E07A15" w:rsidP="005A069E">
            <w:pPr>
              <w:spacing w:line="276" w:lineRule="auto"/>
              <w:rPr>
                <w:sz w:val="16"/>
                <w:szCs w:val="16"/>
              </w:rPr>
            </w:pPr>
          </w:p>
          <w:p w14:paraId="126B8F93" w14:textId="7A8ABA2F" w:rsidR="00E07A15" w:rsidRPr="00340282" w:rsidRDefault="00E40C90" w:rsidP="00E40C90">
            <w:pPr>
              <w:spacing w:line="276" w:lineRule="auto"/>
              <w:rPr>
                <w:sz w:val="16"/>
                <w:szCs w:val="16"/>
              </w:rPr>
            </w:pPr>
            <w:r>
              <w:rPr>
                <w:sz w:val="16"/>
                <w:szCs w:val="16"/>
              </w:rPr>
              <w:t>Uplatněna sleva 10%</w:t>
            </w:r>
          </w:p>
        </w:tc>
      </w:tr>
    </w:tbl>
    <w:p w14:paraId="307F4A9E" w14:textId="77777777" w:rsidR="00E07A15" w:rsidRDefault="00E07A15" w:rsidP="00E07A15">
      <w:pPr>
        <w:spacing w:line="276" w:lineRule="auto"/>
        <w:rPr>
          <w:sz w:val="16"/>
          <w:szCs w:val="16"/>
        </w:rPr>
      </w:pPr>
    </w:p>
    <w:p w14:paraId="1E5E4B6B" w14:textId="77777777"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6"/>
        <w:gridCol w:w="2348"/>
        <w:gridCol w:w="1726"/>
        <w:gridCol w:w="866"/>
        <w:gridCol w:w="2301"/>
        <w:gridCol w:w="1805"/>
      </w:tblGrid>
      <w:tr w:rsidR="00E07A15" w:rsidRPr="00D61B8F" w14:paraId="2B49CB04" w14:textId="77777777" w:rsidTr="005A069E">
        <w:trPr>
          <w:trHeight w:val="454"/>
          <w:jc w:val="center"/>
        </w:trPr>
        <w:tc>
          <w:tcPr>
            <w:tcW w:w="866" w:type="dxa"/>
            <w:vAlign w:val="center"/>
          </w:tcPr>
          <w:p w14:paraId="22800E4E" w14:textId="77777777" w:rsidR="00E07A15" w:rsidRPr="00D61B8F" w:rsidRDefault="00E07A15" w:rsidP="005A069E">
            <w:pPr>
              <w:spacing w:line="276" w:lineRule="auto"/>
              <w:jc w:val="center"/>
              <w:rPr>
                <w:b/>
                <w:sz w:val="14"/>
                <w:szCs w:val="14"/>
              </w:rPr>
            </w:pPr>
            <w:r w:rsidRPr="00D61B8F">
              <w:rPr>
                <w:b/>
                <w:sz w:val="14"/>
                <w:szCs w:val="14"/>
              </w:rPr>
              <w:t>Fakturace</w:t>
            </w:r>
          </w:p>
        </w:tc>
        <w:tc>
          <w:tcPr>
            <w:tcW w:w="2390" w:type="dxa"/>
            <w:vAlign w:val="center"/>
          </w:tcPr>
          <w:p w14:paraId="25B19649" w14:textId="77777777"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14:paraId="28DF4118" w14:textId="77777777"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14:paraId="17D0EFA4" w14:textId="77777777" w:rsidR="00E07A15" w:rsidRPr="00D61B8F" w:rsidRDefault="00E07A15" w:rsidP="005A069E">
            <w:pPr>
              <w:spacing w:line="276" w:lineRule="auto"/>
              <w:jc w:val="center"/>
              <w:rPr>
                <w:b/>
                <w:sz w:val="14"/>
                <w:szCs w:val="14"/>
              </w:rPr>
            </w:pPr>
            <w:r w:rsidRPr="00D61B8F">
              <w:rPr>
                <w:b/>
                <w:sz w:val="14"/>
                <w:szCs w:val="14"/>
              </w:rPr>
              <w:t>Fakturace</w:t>
            </w:r>
          </w:p>
        </w:tc>
        <w:tc>
          <w:tcPr>
            <w:tcW w:w="2341" w:type="dxa"/>
            <w:vAlign w:val="center"/>
          </w:tcPr>
          <w:p w14:paraId="458629B7" w14:textId="77777777"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14:paraId="46FB21BB" w14:textId="77777777"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E07A15" w:rsidRPr="00903CBB" w14:paraId="4D9D4CDF" w14:textId="77777777" w:rsidTr="005A069E">
        <w:trPr>
          <w:trHeight w:val="454"/>
          <w:jc w:val="center"/>
        </w:trPr>
        <w:tc>
          <w:tcPr>
            <w:tcW w:w="866" w:type="dxa"/>
            <w:vAlign w:val="center"/>
          </w:tcPr>
          <w:p w14:paraId="48FE2840" w14:textId="77777777" w:rsidR="00E07A15" w:rsidRPr="00903CBB" w:rsidRDefault="00E07A15" w:rsidP="005A069E">
            <w:pPr>
              <w:spacing w:line="276" w:lineRule="auto"/>
              <w:jc w:val="center"/>
              <w:rPr>
                <w:sz w:val="14"/>
                <w:szCs w:val="14"/>
              </w:rPr>
            </w:pPr>
            <w:r w:rsidRPr="00903CBB">
              <w:rPr>
                <w:sz w:val="14"/>
                <w:szCs w:val="14"/>
              </w:rPr>
              <w:t>1.</w:t>
            </w:r>
          </w:p>
        </w:tc>
        <w:tc>
          <w:tcPr>
            <w:tcW w:w="2390" w:type="dxa"/>
            <w:vAlign w:val="center"/>
          </w:tcPr>
          <w:p w14:paraId="595B0A3F" w14:textId="074BBA88" w:rsidR="00E07A15" w:rsidRPr="00903CBB" w:rsidRDefault="00B803B9" w:rsidP="000C7599">
            <w:pPr>
              <w:spacing w:line="276" w:lineRule="auto"/>
              <w:jc w:val="center"/>
              <w:rPr>
                <w:sz w:val="14"/>
                <w:szCs w:val="14"/>
              </w:rPr>
            </w:pPr>
            <w:proofErr w:type="gramStart"/>
            <w:r>
              <w:rPr>
                <w:sz w:val="14"/>
                <w:szCs w:val="14"/>
              </w:rPr>
              <w:t>1.12.201</w:t>
            </w:r>
            <w:r w:rsidR="000C7599">
              <w:rPr>
                <w:sz w:val="14"/>
                <w:szCs w:val="14"/>
              </w:rPr>
              <w:t>7</w:t>
            </w:r>
            <w:proofErr w:type="gramEnd"/>
          </w:p>
        </w:tc>
        <w:tc>
          <w:tcPr>
            <w:tcW w:w="1754" w:type="dxa"/>
            <w:vAlign w:val="center"/>
          </w:tcPr>
          <w:p w14:paraId="14A4FB6A" w14:textId="759DB2EE" w:rsidR="00E07A15" w:rsidRPr="00903CBB" w:rsidRDefault="00814652" w:rsidP="005A069E">
            <w:pPr>
              <w:spacing w:line="276" w:lineRule="auto"/>
              <w:jc w:val="center"/>
              <w:rPr>
                <w:sz w:val="14"/>
                <w:szCs w:val="14"/>
              </w:rPr>
            </w:pPr>
            <w:r>
              <w:rPr>
                <w:sz w:val="14"/>
                <w:szCs w:val="14"/>
              </w:rPr>
              <w:t>42.768</w:t>
            </w:r>
            <w:r w:rsidR="00B803B9">
              <w:rPr>
                <w:sz w:val="14"/>
                <w:szCs w:val="14"/>
              </w:rPr>
              <w:t>,-</w:t>
            </w:r>
          </w:p>
        </w:tc>
        <w:tc>
          <w:tcPr>
            <w:tcW w:w="866" w:type="dxa"/>
            <w:vAlign w:val="center"/>
          </w:tcPr>
          <w:p w14:paraId="184DD3E6" w14:textId="77777777" w:rsidR="00E07A15" w:rsidRPr="00903CBB" w:rsidRDefault="00E07A15" w:rsidP="005A069E">
            <w:pPr>
              <w:spacing w:line="276" w:lineRule="auto"/>
              <w:jc w:val="center"/>
              <w:rPr>
                <w:sz w:val="14"/>
                <w:szCs w:val="14"/>
              </w:rPr>
            </w:pPr>
            <w:r w:rsidRPr="00903CBB">
              <w:rPr>
                <w:sz w:val="14"/>
                <w:szCs w:val="14"/>
              </w:rPr>
              <w:t>7.</w:t>
            </w:r>
          </w:p>
        </w:tc>
        <w:tc>
          <w:tcPr>
            <w:tcW w:w="2341" w:type="dxa"/>
            <w:vAlign w:val="center"/>
          </w:tcPr>
          <w:p w14:paraId="7CC6CF7B" w14:textId="77777777" w:rsidR="00E07A15" w:rsidRPr="00903CBB" w:rsidRDefault="00E07A15" w:rsidP="005A069E">
            <w:pPr>
              <w:spacing w:line="276" w:lineRule="auto"/>
              <w:jc w:val="center"/>
              <w:rPr>
                <w:sz w:val="14"/>
                <w:szCs w:val="14"/>
              </w:rPr>
            </w:pPr>
          </w:p>
        </w:tc>
        <w:tc>
          <w:tcPr>
            <w:tcW w:w="1837" w:type="dxa"/>
            <w:vAlign w:val="center"/>
          </w:tcPr>
          <w:p w14:paraId="721292F9" w14:textId="77777777" w:rsidR="00E07A15" w:rsidRPr="00903CBB" w:rsidRDefault="00E07A15" w:rsidP="005A069E">
            <w:pPr>
              <w:spacing w:line="276" w:lineRule="auto"/>
              <w:jc w:val="center"/>
              <w:rPr>
                <w:sz w:val="14"/>
                <w:szCs w:val="14"/>
              </w:rPr>
            </w:pPr>
          </w:p>
        </w:tc>
      </w:tr>
      <w:tr w:rsidR="00E07A15" w:rsidRPr="00903CBB" w14:paraId="34233A93" w14:textId="77777777" w:rsidTr="005A069E">
        <w:trPr>
          <w:trHeight w:val="454"/>
          <w:jc w:val="center"/>
        </w:trPr>
        <w:tc>
          <w:tcPr>
            <w:tcW w:w="866" w:type="dxa"/>
            <w:vAlign w:val="center"/>
          </w:tcPr>
          <w:p w14:paraId="269AEEF0" w14:textId="77777777" w:rsidR="00E07A15" w:rsidRPr="00903CBB" w:rsidRDefault="00E07A15" w:rsidP="005A069E">
            <w:pPr>
              <w:spacing w:line="276" w:lineRule="auto"/>
              <w:jc w:val="center"/>
              <w:rPr>
                <w:sz w:val="14"/>
                <w:szCs w:val="14"/>
              </w:rPr>
            </w:pPr>
            <w:r w:rsidRPr="00903CBB">
              <w:rPr>
                <w:sz w:val="14"/>
                <w:szCs w:val="14"/>
              </w:rPr>
              <w:t>2.</w:t>
            </w:r>
          </w:p>
        </w:tc>
        <w:tc>
          <w:tcPr>
            <w:tcW w:w="2390" w:type="dxa"/>
            <w:vAlign w:val="center"/>
          </w:tcPr>
          <w:p w14:paraId="20CD448E" w14:textId="49AF89BA" w:rsidR="00E07A15" w:rsidRPr="00903CBB" w:rsidRDefault="00B803B9" w:rsidP="000C7599">
            <w:pPr>
              <w:spacing w:line="276" w:lineRule="auto"/>
              <w:jc w:val="center"/>
              <w:rPr>
                <w:sz w:val="14"/>
                <w:szCs w:val="14"/>
              </w:rPr>
            </w:pPr>
            <w:proofErr w:type="gramStart"/>
            <w:r>
              <w:rPr>
                <w:sz w:val="14"/>
                <w:szCs w:val="14"/>
              </w:rPr>
              <w:t>15.2.201</w:t>
            </w:r>
            <w:r w:rsidR="000C7599">
              <w:rPr>
                <w:sz w:val="14"/>
                <w:szCs w:val="14"/>
              </w:rPr>
              <w:t>8</w:t>
            </w:r>
            <w:proofErr w:type="gramEnd"/>
          </w:p>
        </w:tc>
        <w:tc>
          <w:tcPr>
            <w:tcW w:w="1754" w:type="dxa"/>
            <w:vAlign w:val="center"/>
          </w:tcPr>
          <w:p w14:paraId="7DCBCD7B" w14:textId="6134C03C" w:rsidR="00E07A15" w:rsidRPr="00903CBB" w:rsidRDefault="00814652" w:rsidP="005A069E">
            <w:pPr>
              <w:spacing w:line="276" w:lineRule="auto"/>
              <w:jc w:val="center"/>
              <w:rPr>
                <w:sz w:val="14"/>
                <w:szCs w:val="14"/>
              </w:rPr>
            </w:pPr>
            <w:r>
              <w:rPr>
                <w:sz w:val="14"/>
                <w:szCs w:val="14"/>
              </w:rPr>
              <w:t>42.768</w:t>
            </w:r>
            <w:r w:rsidR="00B803B9">
              <w:rPr>
                <w:sz w:val="14"/>
                <w:szCs w:val="14"/>
              </w:rPr>
              <w:t>,-</w:t>
            </w:r>
          </w:p>
        </w:tc>
        <w:tc>
          <w:tcPr>
            <w:tcW w:w="866" w:type="dxa"/>
            <w:vAlign w:val="center"/>
          </w:tcPr>
          <w:p w14:paraId="0E96D5FB" w14:textId="77777777" w:rsidR="00E07A15" w:rsidRPr="00903CBB" w:rsidRDefault="00E07A15" w:rsidP="005A069E">
            <w:pPr>
              <w:spacing w:line="276" w:lineRule="auto"/>
              <w:jc w:val="center"/>
              <w:rPr>
                <w:sz w:val="14"/>
                <w:szCs w:val="14"/>
              </w:rPr>
            </w:pPr>
            <w:r w:rsidRPr="00903CBB">
              <w:rPr>
                <w:sz w:val="14"/>
                <w:szCs w:val="14"/>
              </w:rPr>
              <w:t>8.</w:t>
            </w:r>
          </w:p>
        </w:tc>
        <w:tc>
          <w:tcPr>
            <w:tcW w:w="2341" w:type="dxa"/>
            <w:vAlign w:val="center"/>
          </w:tcPr>
          <w:p w14:paraId="4B9BC00C" w14:textId="77777777" w:rsidR="00E07A15" w:rsidRPr="00903CBB" w:rsidRDefault="00E07A15" w:rsidP="005A069E">
            <w:pPr>
              <w:spacing w:line="276" w:lineRule="auto"/>
              <w:jc w:val="center"/>
              <w:rPr>
                <w:sz w:val="14"/>
                <w:szCs w:val="14"/>
              </w:rPr>
            </w:pPr>
          </w:p>
        </w:tc>
        <w:tc>
          <w:tcPr>
            <w:tcW w:w="1837" w:type="dxa"/>
            <w:vAlign w:val="center"/>
          </w:tcPr>
          <w:p w14:paraId="3123593D" w14:textId="77777777" w:rsidR="00E07A15" w:rsidRPr="00903CBB" w:rsidRDefault="00E07A15" w:rsidP="005A069E">
            <w:pPr>
              <w:spacing w:line="276" w:lineRule="auto"/>
              <w:jc w:val="center"/>
              <w:rPr>
                <w:sz w:val="14"/>
                <w:szCs w:val="14"/>
              </w:rPr>
            </w:pPr>
          </w:p>
        </w:tc>
      </w:tr>
      <w:tr w:rsidR="00E07A15" w:rsidRPr="00903CBB" w14:paraId="717CC779" w14:textId="77777777" w:rsidTr="005A069E">
        <w:trPr>
          <w:trHeight w:val="454"/>
          <w:jc w:val="center"/>
        </w:trPr>
        <w:tc>
          <w:tcPr>
            <w:tcW w:w="866" w:type="dxa"/>
            <w:vAlign w:val="center"/>
          </w:tcPr>
          <w:p w14:paraId="468AE2D5" w14:textId="77777777" w:rsidR="00E07A15" w:rsidRPr="00903CBB" w:rsidRDefault="00E07A15" w:rsidP="005A069E">
            <w:pPr>
              <w:spacing w:line="276" w:lineRule="auto"/>
              <w:jc w:val="center"/>
              <w:rPr>
                <w:sz w:val="14"/>
                <w:szCs w:val="14"/>
              </w:rPr>
            </w:pPr>
            <w:r w:rsidRPr="00903CBB">
              <w:rPr>
                <w:sz w:val="14"/>
                <w:szCs w:val="14"/>
              </w:rPr>
              <w:t>3.</w:t>
            </w:r>
          </w:p>
        </w:tc>
        <w:tc>
          <w:tcPr>
            <w:tcW w:w="2390" w:type="dxa"/>
            <w:vAlign w:val="center"/>
          </w:tcPr>
          <w:p w14:paraId="592CDF84" w14:textId="77777777" w:rsidR="00E07A15" w:rsidRPr="00903CBB" w:rsidRDefault="00E07A15" w:rsidP="005A069E">
            <w:pPr>
              <w:spacing w:line="276" w:lineRule="auto"/>
              <w:jc w:val="center"/>
              <w:rPr>
                <w:sz w:val="14"/>
                <w:szCs w:val="14"/>
              </w:rPr>
            </w:pPr>
          </w:p>
        </w:tc>
        <w:tc>
          <w:tcPr>
            <w:tcW w:w="1754" w:type="dxa"/>
            <w:vAlign w:val="center"/>
          </w:tcPr>
          <w:p w14:paraId="2987B880" w14:textId="77777777" w:rsidR="00E07A15" w:rsidRPr="00903CBB" w:rsidRDefault="00E07A15" w:rsidP="005A069E">
            <w:pPr>
              <w:spacing w:line="276" w:lineRule="auto"/>
              <w:jc w:val="center"/>
              <w:rPr>
                <w:sz w:val="14"/>
                <w:szCs w:val="14"/>
              </w:rPr>
            </w:pPr>
          </w:p>
        </w:tc>
        <w:tc>
          <w:tcPr>
            <w:tcW w:w="866" w:type="dxa"/>
            <w:vAlign w:val="center"/>
          </w:tcPr>
          <w:p w14:paraId="56BDCF67" w14:textId="77777777" w:rsidR="00E07A15" w:rsidRPr="00903CBB" w:rsidRDefault="00E07A15" w:rsidP="005A069E">
            <w:pPr>
              <w:spacing w:line="276" w:lineRule="auto"/>
              <w:jc w:val="center"/>
              <w:rPr>
                <w:sz w:val="14"/>
                <w:szCs w:val="14"/>
              </w:rPr>
            </w:pPr>
            <w:r w:rsidRPr="00903CBB">
              <w:rPr>
                <w:sz w:val="14"/>
                <w:szCs w:val="14"/>
              </w:rPr>
              <w:t>9.</w:t>
            </w:r>
          </w:p>
        </w:tc>
        <w:tc>
          <w:tcPr>
            <w:tcW w:w="2341" w:type="dxa"/>
            <w:vAlign w:val="center"/>
          </w:tcPr>
          <w:p w14:paraId="4ACA9881" w14:textId="77777777" w:rsidR="00E07A15" w:rsidRPr="00903CBB" w:rsidRDefault="00E07A15" w:rsidP="005A069E">
            <w:pPr>
              <w:spacing w:line="276" w:lineRule="auto"/>
              <w:jc w:val="center"/>
              <w:rPr>
                <w:sz w:val="14"/>
                <w:szCs w:val="14"/>
              </w:rPr>
            </w:pPr>
          </w:p>
        </w:tc>
        <w:tc>
          <w:tcPr>
            <w:tcW w:w="1837" w:type="dxa"/>
            <w:vAlign w:val="center"/>
          </w:tcPr>
          <w:p w14:paraId="594970E4" w14:textId="77777777" w:rsidR="00E07A15" w:rsidRPr="00903CBB" w:rsidRDefault="00E07A15" w:rsidP="005A069E">
            <w:pPr>
              <w:spacing w:line="276" w:lineRule="auto"/>
              <w:jc w:val="center"/>
              <w:rPr>
                <w:sz w:val="14"/>
                <w:szCs w:val="14"/>
              </w:rPr>
            </w:pPr>
          </w:p>
        </w:tc>
      </w:tr>
      <w:tr w:rsidR="00E07A15" w:rsidRPr="00903CBB" w14:paraId="3E30930A" w14:textId="77777777" w:rsidTr="005A069E">
        <w:trPr>
          <w:trHeight w:val="454"/>
          <w:jc w:val="center"/>
        </w:trPr>
        <w:tc>
          <w:tcPr>
            <w:tcW w:w="866" w:type="dxa"/>
            <w:vAlign w:val="center"/>
          </w:tcPr>
          <w:p w14:paraId="5AFD5555" w14:textId="77777777" w:rsidR="00E07A15" w:rsidRPr="00903CBB" w:rsidRDefault="00E07A15" w:rsidP="005A069E">
            <w:pPr>
              <w:spacing w:line="276" w:lineRule="auto"/>
              <w:jc w:val="center"/>
              <w:rPr>
                <w:sz w:val="14"/>
                <w:szCs w:val="14"/>
              </w:rPr>
            </w:pPr>
            <w:r w:rsidRPr="00903CBB">
              <w:rPr>
                <w:sz w:val="14"/>
                <w:szCs w:val="14"/>
              </w:rPr>
              <w:t>4.</w:t>
            </w:r>
          </w:p>
        </w:tc>
        <w:tc>
          <w:tcPr>
            <w:tcW w:w="2390" w:type="dxa"/>
            <w:vAlign w:val="center"/>
          </w:tcPr>
          <w:p w14:paraId="43BF78C4" w14:textId="77777777" w:rsidR="00E07A15" w:rsidRPr="00903CBB" w:rsidRDefault="00E07A15" w:rsidP="005A069E">
            <w:pPr>
              <w:spacing w:line="276" w:lineRule="auto"/>
              <w:jc w:val="center"/>
              <w:rPr>
                <w:sz w:val="14"/>
                <w:szCs w:val="14"/>
              </w:rPr>
            </w:pPr>
          </w:p>
        </w:tc>
        <w:tc>
          <w:tcPr>
            <w:tcW w:w="1754" w:type="dxa"/>
            <w:vAlign w:val="center"/>
          </w:tcPr>
          <w:p w14:paraId="2388DDB5" w14:textId="77777777" w:rsidR="00E07A15" w:rsidRPr="00903CBB" w:rsidRDefault="00E07A15" w:rsidP="005A069E">
            <w:pPr>
              <w:spacing w:line="276" w:lineRule="auto"/>
              <w:jc w:val="center"/>
              <w:rPr>
                <w:sz w:val="14"/>
                <w:szCs w:val="14"/>
              </w:rPr>
            </w:pPr>
          </w:p>
        </w:tc>
        <w:tc>
          <w:tcPr>
            <w:tcW w:w="866" w:type="dxa"/>
            <w:vAlign w:val="center"/>
          </w:tcPr>
          <w:p w14:paraId="54AE2ED0" w14:textId="77777777" w:rsidR="00E07A15" w:rsidRPr="00903CBB" w:rsidRDefault="00E07A15" w:rsidP="005A069E">
            <w:pPr>
              <w:spacing w:line="276" w:lineRule="auto"/>
              <w:jc w:val="center"/>
              <w:rPr>
                <w:sz w:val="14"/>
                <w:szCs w:val="14"/>
              </w:rPr>
            </w:pPr>
            <w:r w:rsidRPr="00903CBB">
              <w:rPr>
                <w:sz w:val="14"/>
                <w:szCs w:val="14"/>
              </w:rPr>
              <w:t>10.</w:t>
            </w:r>
          </w:p>
        </w:tc>
        <w:tc>
          <w:tcPr>
            <w:tcW w:w="2341" w:type="dxa"/>
            <w:vAlign w:val="center"/>
          </w:tcPr>
          <w:p w14:paraId="3946B509" w14:textId="77777777" w:rsidR="00E07A15" w:rsidRPr="00903CBB" w:rsidRDefault="00E07A15" w:rsidP="005A069E">
            <w:pPr>
              <w:spacing w:line="276" w:lineRule="auto"/>
              <w:jc w:val="center"/>
              <w:rPr>
                <w:sz w:val="14"/>
                <w:szCs w:val="14"/>
              </w:rPr>
            </w:pPr>
          </w:p>
        </w:tc>
        <w:tc>
          <w:tcPr>
            <w:tcW w:w="1837" w:type="dxa"/>
            <w:vAlign w:val="center"/>
          </w:tcPr>
          <w:p w14:paraId="689BDB15" w14:textId="77777777" w:rsidR="00E07A15" w:rsidRPr="00903CBB" w:rsidRDefault="00E07A15" w:rsidP="005A069E">
            <w:pPr>
              <w:spacing w:line="276" w:lineRule="auto"/>
              <w:jc w:val="center"/>
              <w:rPr>
                <w:sz w:val="14"/>
                <w:szCs w:val="14"/>
              </w:rPr>
            </w:pPr>
          </w:p>
        </w:tc>
      </w:tr>
      <w:tr w:rsidR="00E07A15" w:rsidRPr="00903CBB" w14:paraId="49EB69C3" w14:textId="77777777" w:rsidTr="005A069E">
        <w:trPr>
          <w:trHeight w:val="454"/>
          <w:jc w:val="center"/>
        </w:trPr>
        <w:tc>
          <w:tcPr>
            <w:tcW w:w="866" w:type="dxa"/>
            <w:vAlign w:val="center"/>
          </w:tcPr>
          <w:p w14:paraId="6885BB60" w14:textId="77777777" w:rsidR="00E07A15" w:rsidRPr="00903CBB" w:rsidRDefault="00E07A15" w:rsidP="005A069E">
            <w:pPr>
              <w:spacing w:line="276" w:lineRule="auto"/>
              <w:jc w:val="center"/>
              <w:rPr>
                <w:sz w:val="14"/>
                <w:szCs w:val="14"/>
              </w:rPr>
            </w:pPr>
            <w:r w:rsidRPr="00903CBB">
              <w:rPr>
                <w:sz w:val="14"/>
                <w:szCs w:val="14"/>
              </w:rPr>
              <w:t>5.</w:t>
            </w:r>
          </w:p>
        </w:tc>
        <w:tc>
          <w:tcPr>
            <w:tcW w:w="2390" w:type="dxa"/>
            <w:vAlign w:val="center"/>
          </w:tcPr>
          <w:p w14:paraId="6D723C6C" w14:textId="77777777" w:rsidR="00E07A15" w:rsidRPr="00903CBB" w:rsidRDefault="00E07A15" w:rsidP="005A069E">
            <w:pPr>
              <w:spacing w:line="276" w:lineRule="auto"/>
              <w:jc w:val="center"/>
              <w:rPr>
                <w:sz w:val="14"/>
                <w:szCs w:val="14"/>
              </w:rPr>
            </w:pPr>
          </w:p>
        </w:tc>
        <w:tc>
          <w:tcPr>
            <w:tcW w:w="1754" w:type="dxa"/>
            <w:vAlign w:val="center"/>
          </w:tcPr>
          <w:p w14:paraId="5284E050" w14:textId="77777777" w:rsidR="00E07A15" w:rsidRPr="00903CBB" w:rsidRDefault="00E07A15" w:rsidP="005A069E">
            <w:pPr>
              <w:spacing w:line="276" w:lineRule="auto"/>
              <w:jc w:val="center"/>
              <w:rPr>
                <w:sz w:val="14"/>
                <w:szCs w:val="14"/>
              </w:rPr>
            </w:pPr>
          </w:p>
        </w:tc>
        <w:tc>
          <w:tcPr>
            <w:tcW w:w="866" w:type="dxa"/>
            <w:vAlign w:val="center"/>
          </w:tcPr>
          <w:p w14:paraId="4E9E3840" w14:textId="77777777" w:rsidR="00E07A15" w:rsidRPr="00903CBB" w:rsidRDefault="00E07A15" w:rsidP="005A069E">
            <w:pPr>
              <w:spacing w:line="276" w:lineRule="auto"/>
              <w:jc w:val="center"/>
              <w:rPr>
                <w:sz w:val="14"/>
                <w:szCs w:val="14"/>
              </w:rPr>
            </w:pPr>
            <w:r w:rsidRPr="00903CBB">
              <w:rPr>
                <w:sz w:val="14"/>
                <w:szCs w:val="14"/>
              </w:rPr>
              <w:t>11.</w:t>
            </w:r>
          </w:p>
        </w:tc>
        <w:tc>
          <w:tcPr>
            <w:tcW w:w="2341" w:type="dxa"/>
            <w:vAlign w:val="center"/>
          </w:tcPr>
          <w:p w14:paraId="26E0CB44" w14:textId="77777777" w:rsidR="00E07A15" w:rsidRPr="00903CBB" w:rsidRDefault="00E07A15" w:rsidP="005A069E">
            <w:pPr>
              <w:spacing w:line="276" w:lineRule="auto"/>
              <w:jc w:val="center"/>
              <w:rPr>
                <w:sz w:val="14"/>
                <w:szCs w:val="14"/>
              </w:rPr>
            </w:pPr>
          </w:p>
        </w:tc>
        <w:tc>
          <w:tcPr>
            <w:tcW w:w="1837" w:type="dxa"/>
            <w:vAlign w:val="center"/>
          </w:tcPr>
          <w:p w14:paraId="18E2A548" w14:textId="77777777" w:rsidR="00E07A15" w:rsidRPr="00903CBB" w:rsidRDefault="00E07A15" w:rsidP="005A069E">
            <w:pPr>
              <w:spacing w:line="276" w:lineRule="auto"/>
              <w:jc w:val="center"/>
              <w:rPr>
                <w:sz w:val="14"/>
                <w:szCs w:val="14"/>
              </w:rPr>
            </w:pPr>
          </w:p>
        </w:tc>
      </w:tr>
      <w:tr w:rsidR="00E07A15" w:rsidRPr="00903CBB" w14:paraId="456956B1" w14:textId="77777777" w:rsidTr="005A069E">
        <w:trPr>
          <w:trHeight w:val="454"/>
          <w:jc w:val="center"/>
        </w:trPr>
        <w:tc>
          <w:tcPr>
            <w:tcW w:w="866" w:type="dxa"/>
            <w:vAlign w:val="center"/>
          </w:tcPr>
          <w:p w14:paraId="674536ED" w14:textId="77777777" w:rsidR="00E07A15" w:rsidRPr="00903CBB" w:rsidRDefault="00E07A15" w:rsidP="005A069E">
            <w:pPr>
              <w:spacing w:line="276" w:lineRule="auto"/>
              <w:jc w:val="center"/>
              <w:rPr>
                <w:sz w:val="14"/>
                <w:szCs w:val="14"/>
              </w:rPr>
            </w:pPr>
            <w:r w:rsidRPr="00903CBB">
              <w:rPr>
                <w:sz w:val="14"/>
                <w:szCs w:val="14"/>
              </w:rPr>
              <w:t>6.</w:t>
            </w:r>
          </w:p>
        </w:tc>
        <w:tc>
          <w:tcPr>
            <w:tcW w:w="2390" w:type="dxa"/>
            <w:vAlign w:val="center"/>
          </w:tcPr>
          <w:p w14:paraId="6559212D" w14:textId="77777777" w:rsidR="00E07A15" w:rsidRPr="00903CBB" w:rsidRDefault="00E07A15" w:rsidP="005A069E">
            <w:pPr>
              <w:spacing w:line="276" w:lineRule="auto"/>
              <w:jc w:val="center"/>
              <w:rPr>
                <w:sz w:val="14"/>
                <w:szCs w:val="14"/>
              </w:rPr>
            </w:pPr>
          </w:p>
        </w:tc>
        <w:tc>
          <w:tcPr>
            <w:tcW w:w="1754" w:type="dxa"/>
            <w:vAlign w:val="center"/>
          </w:tcPr>
          <w:p w14:paraId="275A9796" w14:textId="77777777" w:rsidR="00E07A15" w:rsidRPr="00903CBB" w:rsidRDefault="00E07A15" w:rsidP="005A069E">
            <w:pPr>
              <w:spacing w:line="276" w:lineRule="auto"/>
              <w:jc w:val="center"/>
              <w:rPr>
                <w:sz w:val="14"/>
                <w:szCs w:val="14"/>
              </w:rPr>
            </w:pPr>
          </w:p>
        </w:tc>
        <w:tc>
          <w:tcPr>
            <w:tcW w:w="866" w:type="dxa"/>
            <w:vAlign w:val="center"/>
          </w:tcPr>
          <w:p w14:paraId="59761FF8" w14:textId="77777777" w:rsidR="00E07A15" w:rsidRPr="00903CBB" w:rsidRDefault="00E07A15" w:rsidP="005A069E">
            <w:pPr>
              <w:spacing w:line="276" w:lineRule="auto"/>
              <w:jc w:val="center"/>
              <w:rPr>
                <w:sz w:val="14"/>
                <w:szCs w:val="14"/>
              </w:rPr>
            </w:pPr>
            <w:r w:rsidRPr="00903CBB">
              <w:rPr>
                <w:sz w:val="14"/>
                <w:szCs w:val="14"/>
              </w:rPr>
              <w:t>12.</w:t>
            </w:r>
          </w:p>
        </w:tc>
        <w:tc>
          <w:tcPr>
            <w:tcW w:w="2341" w:type="dxa"/>
            <w:vAlign w:val="center"/>
          </w:tcPr>
          <w:p w14:paraId="23B55C11" w14:textId="77777777" w:rsidR="00E07A15" w:rsidRPr="00903CBB" w:rsidRDefault="00E07A15" w:rsidP="005A069E">
            <w:pPr>
              <w:spacing w:line="276" w:lineRule="auto"/>
              <w:jc w:val="center"/>
              <w:rPr>
                <w:sz w:val="14"/>
                <w:szCs w:val="14"/>
              </w:rPr>
            </w:pPr>
          </w:p>
        </w:tc>
        <w:tc>
          <w:tcPr>
            <w:tcW w:w="1837" w:type="dxa"/>
            <w:vAlign w:val="center"/>
          </w:tcPr>
          <w:p w14:paraId="7F99AC06" w14:textId="77777777" w:rsidR="00E07A15" w:rsidRPr="00903CBB" w:rsidRDefault="00E07A15" w:rsidP="005A069E">
            <w:pPr>
              <w:spacing w:line="276" w:lineRule="auto"/>
              <w:jc w:val="center"/>
              <w:rPr>
                <w:sz w:val="14"/>
                <w:szCs w:val="14"/>
              </w:rPr>
            </w:pPr>
          </w:p>
        </w:tc>
      </w:tr>
    </w:tbl>
    <w:p w14:paraId="752FAF85" w14:textId="77777777" w:rsidR="00E07A15" w:rsidRDefault="00E07A15" w:rsidP="00E07A15">
      <w:pPr>
        <w:jc w:val="both"/>
        <w:rPr>
          <w:i/>
          <w:color w:val="000000" w:themeColor="text1"/>
          <w:sz w:val="16"/>
          <w:szCs w:val="16"/>
        </w:rPr>
      </w:pPr>
    </w:p>
    <w:p w14:paraId="416D7EBF" w14:textId="4D0BEF24" w:rsidR="00E07A15" w:rsidRPr="00844FF5" w:rsidRDefault="00E07A15" w:rsidP="00E07A15">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14:paraId="20A441ED" w14:textId="77777777"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06"/>
      </w:tblGrid>
      <w:tr w:rsidR="00E07A15" w:rsidRPr="00340282" w14:paraId="16510F09" w14:textId="77777777" w:rsidTr="005A069E">
        <w:trPr>
          <w:trHeight w:val="371"/>
        </w:trPr>
        <w:tc>
          <w:tcPr>
            <w:tcW w:w="5015" w:type="dxa"/>
            <w:tcMar>
              <w:left w:w="130" w:type="dxa"/>
            </w:tcMar>
            <w:vAlign w:val="center"/>
          </w:tcPr>
          <w:p w14:paraId="5881E116" w14:textId="2ACE3E5A" w:rsidR="00E07A15" w:rsidRPr="00D820BF" w:rsidRDefault="00E07A15" w:rsidP="00814652">
            <w:pPr>
              <w:spacing w:line="276" w:lineRule="auto"/>
              <w:ind w:right="-1"/>
              <w:rPr>
                <w:rFonts w:cs="Arial"/>
                <w:sz w:val="16"/>
                <w:szCs w:val="16"/>
              </w:rPr>
            </w:pPr>
            <w:r w:rsidRPr="00D820BF">
              <w:rPr>
                <w:sz w:val="16"/>
                <w:szCs w:val="16"/>
              </w:rPr>
              <w:t>Za dodavatele dne:</w:t>
            </w:r>
            <w:r w:rsidR="00B803B9">
              <w:rPr>
                <w:sz w:val="16"/>
                <w:szCs w:val="16"/>
              </w:rPr>
              <w:t xml:space="preserve"> </w:t>
            </w:r>
            <w:proofErr w:type="gramStart"/>
            <w:r w:rsidR="00814652">
              <w:rPr>
                <w:sz w:val="16"/>
                <w:szCs w:val="16"/>
              </w:rPr>
              <w:t>6</w:t>
            </w:r>
            <w:r w:rsidR="00B803B9">
              <w:rPr>
                <w:sz w:val="16"/>
                <w:szCs w:val="16"/>
              </w:rPr>
              <w:t>.10.201</w:t>
            </w:r>
            <w:r w:rsidR="00814652">
              <w:rPr>
                <w:sz w:val="16"/>
                <w:szCs w:val="16"/>
              </w:rPr>
              <w:t>7</w:t>
            </w:r>
            <w:proofErr w:type="gramEnd"/>
          </w:p>
        </w:tc>
        <w:tc>
          <w:tcPr>
            <w:tcW w:w="5015" w:type="dxa"/>
            <w:tcMar>
              <w:left w:w="119" w:type="dxa"/>
            </w:tcMar>
            <w:vAlign w:val="center"/>
          </w:tcPr>
          <w:p w14:paraId="09A4E77B" w14:textId="4A774324" w:rsidR="00E07A15" w:rsidRPr="00340282" w:rsidRDefault="00E07A15" w:rsidP="00814652">
            <w:pPr>
              <w:spacing w:line="276" w:lineRule="auto"/>
              <w:ind w:right="-1"/>
              <w:rPr>
                <w:rFonts w:cs="Arial"/>
                <w:sz w:val="16"/>
                <w:szCs w:val="16"/>
              </w:rPr>
            </w:pPr>
            <w:r w:rsidRPr="00D820BF">
              <w:rPr>
                <w:sz w:val="16"/>
                <w:szCs w:val="16"/>
              </w:rPr>
              <w:t>Za odběratele dne:</w:t>
            </w:r>
            <w:r w:rsidR="00814652">
              <w:rPr>
                <w:sz w:val="16"/>
                <w:szCs w:val="16"/>
              </w:rPr>
              <w:t xml:space="preserve"> </w:t>
            </w:r>
            <w:proofErr w:type="gramStart"/>
            <w:r w:rsidR="00814652">
              <w:rPr>
                <w:sz w:val="16"/>
                <w:szCs w:val="16"/>
              </w:rPr>
              <w:t>6</w:t>
            </w:r>
            <w:r w:rsidR="00B803B9">
              <w:rPr>
                <w:sz w:val="16"/>
                <w:szCs w:val="16"/>
              </w:rPr>
              <w:t>.10.201</w:t>
            </w:r>
            <w:r w:rsidR="00814652">
              <w:rPr>
                <w:sz w:val="16"/>
                <w:szCs w:val="16"/>
              </w:rPr>
              <w:t>7</w:t>
            </w:r>
            <w:proofErr w:type="gramEnd"/>
          </w:p>
        </w:tc>
      </w:tr>
      <w:tr w:rsidR="00E07A15" w:rsidRPr="00340282" w14:paraId="2108E55D" w14:textId="77777777" w:rsidTr="005A069E">
        <w:trPr>
          <w:trHeight w:val="419"/>
        </w:trPr>
        <w:tc>
          <w:tcPr>
            <w:tcW w:w="5015" w:type="dxa"/>
            <w:tcMar>
              <w:left w:w="130" w:type="dxa"/>
            </w:tcMar>
            <w:vAlign w:val="center"/>
          </w:tcPr>
          <w:p w14:paraId="3EBA8C55" w14:textId="77777777" w:rsidR="00E07A15" w:rsidRDefault="00E07A15" w:rsidP="005A069E">
            <w:pPr>
              <w:spacing w:line="276" w:lineRule="auto"/>
              <w:ind w:right="-1"/>
              <w:rPr>
                <w:rFonts w:cs="Arial"/>
                <w:sz w:val="16"/>
                <w:szCs w:val="16"/>
              </w:rPr>
            </w:pPr>
          </w:p>
          <w:p w14:paraId="15A67E56" w14:textId="77777777" w:rsidR="00E07A15" w:rsidRDefault="00E07A15" w:rsidP="005A069E">
            <w:pPr>
              <w:spacing w:line="276" w:lineRule="auto"/>
              <w:ind w:right="-1"/>
              <w:rPr>
                <w:rFonts w:cs="Arial"/>
                <w:sz w:val="16"/>
                <w:szCs w:val="16"/>
              </w:rPr>
            </w:pPr>
          </w:p>
          <w:p w14:paraId="2F495A79" w14:textId="77777777" w:rsidR="00E07A15" w:rsidRPr="00340282" w:rsidRDefault="00E07A15" w:rsidP="005A069E">
            <w:pPr>
              <w:spacing w:line="276" w:lineRule="auto"/>
              <w:ind w:right="-1"/>
              <w:rPr>
                <w:rFonts w:cs="Arial"/>
                <w:sz w:val="16"/>
                <w:szCs w:val="16"/>
              </w:rPr>
            </w:pPr>
          </w:p>
          <w:p w14:paraId="2C209466" w14:textId="77777777" w:rsidR="00E07A15" w:rsidRPr="00340282" w:rsidRDefault="00E07A15" w:rsidP="005A069E">
            <w:pPr>
              <w:spacing w:line="276" w:lineRule="auto"/>
              <w:ind w:right="-1"/>
              <w:rPr>
                <w:rFonts w:cs="Arial"/>
                <w:sz w:val="16"/>
                <w:szCs w:val="16"/>
              </w:rPr>
            </w:pPr>
            <w:r w:rsidRPr="00340282">
              <w:rPr>
                <w:rFonts w:cs="Arial"/>
                <w:sz w:val="16"/>
                <w:szCs w:val="16"/>
              </w:rPr>
              <w:t>...........................................................................................................</w:t>
            </w:r>
          </w:p>
        </w:tc>
        <w:tc>
          <w:tcPr>
            <w:tcW w:w="5015" w:type="dxa"/>
            <w:vAlign w:val="center"/>
          </w:tcPr>
          <w:p w14:paraId="78E9C89F" w14:textId="77777777" w:rsidR="00E07A15" w:rsidRDefault="00E07A15" w:rsidP="005A069E">
            <w:pPr>
              <w:spacing w:line="276" w:lineRule="auto"/>
              <w:ind w:right="-1"/>
              <w:rPr>
                <w:rFonts w:cs="Arial"/>
                <w:sz w:val="16"/>
                <w:szCs w:val="16"/>
              </w:rPr>
            </w:pPr>
          </w:p>
          <w:p w14:paraId="3BC2651D" w14:textId="77777777" w:rsidR="00E07A15" w:rsidRDefault="00E07A15" w:rsidP="005A069E">
            <w:pPr>
              <w:spacing w:line="276" w:lineRule="auto"/>
              <w:ind w:right="-1"/>
              <w:rPr>
                <w:rFonts w:cs="Arial"/>
                <w:sz w:val="16"/>
                <w:szCs w:val="16"/>
              </w:rPr>
            </w:pPr>
          </w:p>
          <w:p w14:paraId="2BADCC00" w14:textId="77777777" w:rsidR="00E07A15" w:rsidRPr="00340282" w:rsidRDefault="00E07A15" w:rsidP="005A069E">
            <w:pPr>
              <w:spacing w:line="276" w:lineRule="auto"/>
              <w:ind w:right="-1"/>
              <w:rPr>
                <w:rFonts w:cs="Arial"/>
                <w:sz w:val="16"/>
                <w:szCs w:val="16"/>
              </w:rPr>
            </w:pPr>
          </w:p>
          <w:p w14:paraId="4577D3E6" w14:textId="77777777" w:rsidR="00E07A15" w:rsidRPr="00340282" w:rsidRDefault="00E07A15" w:rsidP="005A069E">
            <w:pPr>
              <w:spacing w:line="276" w:lineRule="auto"/>
              <w:ind w:right="-1"/>
              <w:rPr>
                <w:rFonts w:cs="Arial"/>
                <w:sz w:val="16"/>
                <w:szCs w:val="16"/>
              </w:rPr>
            </w:pPr>
            <w:r w:rsidRPr="00340282">
              <w:rPr>
                <w:rFonts w:cs="Arial"/>
                <w:sz w:val="16"/>
                <w:szCs w:val="16"/>
              </w:rPr>
              <w:t>...........................................................................................................</w:t>
            </w:r>
          </w:p>
        </w:tc>
      </w:tr>
      <w:tr w:rsidR="00E07A15" w:rsidRPr="00340282" w14:paraId="1B8A1E2A" w14:textId="77777777" w:rsidTr="005A069E">
        <w:tc>
          <w:tcPr>
            <w:tcW w:w="5015" w:type="dxa"/>
            <w:tcMar>
              <w:left w:w="130" w:type="dxa"/>
            </w:tcMar>
            <w:vAlign w:val="center"/>
          </w:tcPr>
          <w:p w14:paraId="6D53ED36" w14:textId="55BCC6DA" w:rsidR="00E07A15" w:rsidRPr="00340282" w:rsidRDefault="00E07A15" w:rsidP="005A069E">
            <w:pPr>
              <w:spacing w:line="276" w:lineRule="auto"/>
              <w:ind w:right="-1"/>
              <w:rPr>
                <w:rFonts w:cs="Arial"/>
                <w:i/>
                <w:sz w:val="16"/>
                <w:szCs w:val="16"/>
              </w:rPr>
            </w:pPr>
            <w:r>
              <w:rPr>
                <w:rFonts w:cs="Arial"/>
                <w:i/>
                <w:sz w:val="16"/>
                <w:szCs w:val="16"/>
              </w:rPr>
              <w:t xml:space="preserve">JMÉNO A </w:t>
            </w:r>
            <w:proofErr w:type="spellStart"/>
            <w:r>
              <w:rPr>
                <w:rFonts w:cs="Arial"/>
                <w:i/>
                <w:sz w:val="16"/>
                <w:szCs w:val="16"/>
              </w:rPr>
              <w:t>PŘÍJMENÍ:</w:t>
            </w:r>
            <w:r w:rsidR="00B803B9">
              <w:rPr>
                <w:rFonts w:cs="Arial"/>
                <w:i/>
                <w:sz w:val="16"/>
                <w:szCs w:val="16"/>
              </w:rPr>
              <w:t>Marcela</w:t>
            </w:r>
            <w:proofErr w:type="spellEnd"/>
            <w:r w:rsidR="00B803B9">
              <w:rPr>
                <w:rFonts w:cs="Arial"/>
                <w:i/>
                <w:sz w:val="16"/>
                <w:szCs w:val="16"/>
              </w:rPr>
              <w:t xml:space="preserve"> Bajtová</w:t>
            </w:r>
          </w:p>
          <w:p w14:paraId="47C014F2" w14:textId="0DA3889E" w:rsidR="00E07A15" w:rsidRPr="00340282" w:rsidRDefault="00B803B9" w:rsidP="005A069E">
            <w:pPr>
              <w:spacing w:line="276" w:lineRule="auto"/>
              <w:ind w:right="-1"/>
              <w:rPr>
                <w:rFonts w:cs="Arial"/>
                <w:sz w:val="16"/>
                <w:szCs w:val="16"/>
              </w:rPr>
            </w:pPr>
            <w:r>
              <w:rPr>
                <w:rFonts w:cs="Arial"/>
                <w:i/>
                <w:sz w:val="16"/>
                <w:szCs w:val="16"/>
              </w:rPr>
              <w:t>Funkce: mediální specialista</w:t>
            </w:r>
          </w:p>
        </w:tc>
        <w:tc>
          <w:tcPr>
            <w:tcW w:w="5015" w:type="dxa"/>
            <w:tcMar>
              <w:left w:w="130" w:type="dxa"/>
            </w:tcMar>
            <w:vAlign w:val="center"/>
          </w:tcPr>
          <w:p w14:paraId="375FB280" w14:textId="77777777" w:rsidR="00B803B9" w:rsidRPr="00AA7DD4" w:rsidRDefault="00E07A15" w:rsidP="00B803B9">
            <w:pPr>
              <w:spacing w:line="276" w:lineRule="auto"/>
              <w:ind w:right="-1"/>
              <w:rPr>
                <w:rFonts w:cs="Arial"/>
                <w:i/>
                <w:sz w:val="16"/>
                <w:szCs w:val="16"/>
              </w:rPr>
            </w:pPr>
            <w:r>
              <w:rPr>
                <w:rFonts w:cs="Arial"/>
                <w:i/>
                <w:sz w:val="16"/>
                <w:szCs w:val="16"/>
              </w:rPr>
              <w:t>JMÉNO A PŘÍJMENÍ:</w:t>
            </w:r>
            <w:r w:rsidR="00B803B9">
              <w:rPr>
                <w:rFonts w:cs="Arial"/>
                <w:i/>
                <w:sz w:val="16"/>
                <w:szCs w:val="16"/>
              </w:rPr>
              <w:t xml:space="preserve"> Mgr. Jarmila </w:t>
            </w:r>
            <w:proofErr w:type="spellStart"/>
            <w:r w:rsidR="00B803B9">
              <w:rPr>
                <w:rFonts w:cs="Arial"/>
                <w:i/>
                <w:sz w:val="16"/>
                <w:szCs w:val="16"/>
              </w:rPr>
              <w:t>Benýšková</w:t>
            </w:r>
            <w:proofErr w:type="spellEnd"/>
          </w:p>
          <w:p w14:paraId="5824EC4D" w14:textId="6D4FB69C" w:rsidR="00E07A15" w:rsidRPr="00340282" w:rsidRDefault="00E07A15" w:rsidP="005A069E">
            <w:pPr>
              <w:spacing w:line="276" w:lineRule="auto"/>
              <w:ind w:right="-1"/>
              <w:rPr>
                <w:rFonts w:cs="Arial"/>
                <w:sz w:val="16"/>
                <w:szCs w:val="16"/>
              </w:rPr>
            </w:pPr>
            <w:r>
              <w:rPr>
                <w:rFonts w:cs="Arial"/>
                <w:i/>
                <w:sz w:val="16"/>
                <w:szCs w:val="16"/>
              </w:rPr>
              <w:t>Funkce:</w:t>
            </w:r>
            <w:r w:rsidR="00B803B9">
              <w:rPr>
                <w:rFonts w:cs="Arial"/>
                <w:i/>
                <w:sz w:val="16"/>
                <w:szCs w:val="16"/>
              </w:rPr>
              <w:t xml:space="preserve"> ředitelka školy</w:t>
            </w:r>
          </w:p>
        </w:tc>
      </w:tr>
    </w:tbl>
    <w:p w14:paraId="1CB40315" w14:textId="77777777"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14:paraId="21F25305" w14:textId="53DF56D9"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14:paraId="68679C3D" w14:textId="77777777" w:rsidR="005B64C2" w:rsidRPr="00D06997" w:rsidRDefault="005B64C2" w:rsidP="00A72F2C">
      <w:pPr>
        <w:rPr>
          <w:rFonts w:ascii="Cambria" w:hAnsi="Cambria"/>
          <w:sz w:val="6"/>
          <w:szCs w:val="6"/>
        </w:rPr>
      </w:pPr>
    </w:p>
    <w:p w14:paraId="69E1BD8E"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w:t>
      </w:r>
    </w:p>
    <w:p w14:paraId="1431D1EC" w14:textId="04DE5028"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vysílání TV spotů na </w:t>
      </w:r>
      <w:r w:rsidR="00830A9C">
        <w:rPr>
          <w:rFonts w:ascii="Cambria" w:hAnsi="Cambria"/>
          <w:sz w:val="15"/>
          <w:szCs w:val="15"/>
        </w:rPr>
        <w:t>J</w:t>
      </w:r>
      <w:r w:rsidRPr="00D06997">
        <w:rPr>
          <w:rFonts w:ascii="Cambria" w:hAnsi="Cambria"/>
          <w:sz w:val="15"/>
          <w:szCs w:val="15"/>
        </w:rPr>
        <w:t xml:space="preserve">TV nebo formou výroby TV spotů. Není-li uvedeno jinak, vztahují se ustanovení týkající se TV spotů i na sponzorské vzkazy a prezentační filmy. Není-li uvedeno jinak, vztahují se ustanovení týkající se vysílání TV spotů i na sponzorské kampaně a propagace produktu </w:t>
      </w:r>
      <w:r w:rsidR="00E01578">
        <w:rPr>
          <w:rFonts w:ascii="Cambria" w:hAnsi="Cambria"/>
          <w:sz w:val="15"/>
          <w:szCs w:val="15"/>
        </w:rPr>
        <w:br/>
      </w:r>
      <w:r w:rsidRPr="00D06997">
        <w:rPr>
          <w:rFonts w:ascii="Cambria" w:hAnsi="Cambria"/>
          <w:sz w:val="15"/>
          <w:szCs w:val="15"/>
        </w:rPr>
        <w:t>ve vysílání.</w:t>
      </w:r>
    </w:p>
    <w:p w14:paraId="564EFC56" w14:textId="77777777"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14:paraId="42697603" w14:textId="77777777" w:rsidR="00A72F2C" w:rsidRPr="00A72F2C" w:rsidRDefault="00A72F2C" w:rsidP="00A72F2C">
      <w:pPr>
        <w:jc w:val="center"/>
        <w:rPr>
          <w:rFonts w:ascii="Cambria" w:hAnsi="Cambria"/>
          <w:b/>
          <w:sz w:val="6"/>
          <w:szCs w:val="6"/>
        </w:rPr>
      </w:pPr>
    </w:p>
    <w:p w14:paraId="5EF1AC01" w14:textId="31C735D8" w:rsidR="005B64C2" w:rsidRPr="00D06997" w:rsidRDefault="005B64C2" w:rsidP="00A72F2C">
      <w:pPr>
        <w:jc w:val="center"/>
        <w:rPr>
          <w:rFonts w:ascii="Cambria" w:hAnsi="Cambria"/>
          <w:b/>
          <w:sz w:val="15"/>
          <w:szCs w:val="15"/>
        </w:rPr>
      </w:pPr>
      <w:r w:rsidRPr="00D06997">
        <w:rPr>
          <w:rFonts w:ascii="Cambria" w:hAnsi="Cambria"/>
          <w:b/>
          <w:sz w:val="15"/>
          <w:szCs w:val="15"/>
        </w:rPr>
        <w:t>II.</w:t>
      </w:r>
    </w:p>
    <w:p w14:paraId="78608D95" w14:textId="7AA19E30"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14:paraId="2B248A8F" w14:textId="77777777"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V případě prodlení odběratele s úhradou sjednané ceny, nebo její části, je odběratel povinen hradit úrok z prodlení ve výši 0,01% z dlužné částky za každý započatý den prodlení.</w:t>
      </w:r>
    </w:p>
    <w:p w14:paraId="33E46C7D" w14:textId="77777777" w:rsidR="005B64C2" w:rsidRPr="00D06997" w:rsidRDefault="005B64C2" w:rsidP="00A72F2C">
      <w:pPr>
        <w:jc w:val="center"/>
        <w:rPr>
          <w:rFonts w:ascii="Cambria" w:hAnsi="Cambria"/>
          <w:b/>
          <w:sz w:val="6"/>
          <w:szCs w:val="6"/>
        </w:rPr>
      </w:pPr>
    </w:p>
    <w:p w14:paraId="5D22B766"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III.</w:t>
      </w:r>
    </w:p>
    <w:p w14:paraId="17E2A28B" w14:textId="12A58931"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14:paraId="6C8263D8"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14:paraId="613D3BE5" w14:textId="232BD8B9"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Dodavatel je povinen umožnit odběrateli konzultaci konceptu TV spotu a předvedení jeho finální podoby ke schválení, pokud o to odběratel projeví zájem </w:t>
      </w:r>
      <w:r>
        <w:rPr>
          <w:rFonts w:ascii="Cambria" w:hAnsi="Cambria"/>
          <w:sz w:val="15"/>
          <w:szCs w:val="15"/>
        </w:rPr>
        <w:br/>
      </w:r>
      <w:r w:rsidRPr="00D06997">
        <w:rPr>
          <w:rFonts w:ascii="Cambria" w:hAnsi="Cambria"/>
          <w:sz w:val="15"/>
          <w:szCs w:val="15"/>
        </w:rPr>
        <w:t xml:space="preserve">a poskytne k tomu nezbytnou součinnost. Neprojeví-li odběratel bez zbytečného prodlení zájem o konzultaci TV spotu, považuje se za schválený v dodavatelem realizované podobě. </w:t>
      </w:r>
    </w:p>
    <w:p w14:paraId="052FA5B9" w14:textId="2C5B6C0F"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14:paraId="0FF56268"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použije pro odvysílání výhradně TV spot schválený odběratelem, nebo TV spot, který se považuje v souladu s těmito VOP za schválený.</w:t>
      </w:r>
    </w:p>
    <w:p w14:paraId="53CCEC19" w14:textId="48AC8436"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Odběratel poskytne dodavateli patřičnou součinnost zejména při přípravě podkladů a tvorbě koncepce TV spotu, stanovení termínů pro jejich natáčení včetně náhradních a určení osoby pověřené k zastupování odběratele. Neposkytne-li odběratel dostatečnou součinnost či bude nutno provádět dodatečné úpravy na základě dodatečných požadavků odběratele, zavazuje se odběratel uhradit vzniklé vícenáklady.</w:t>
      </w:r>
    </w:p>
    <w:p w14:paraId="778A5D63"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Za věcnou správnost dodaných textových, grafických či obrazových podkladů pro výrobu TV spotu odpovídá odběratel.</w:t>
      </w:r>
    </w:p>
    <w:p w14:paraId="122D84CC" w14:textId="2542992F"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 případě, že odběratel nevyjádří písemně veškeré výhrady k vyrobenému TV spotu nejpozději 24 hodin před odvysíláním, ačkoliv se měl možnost k jeho obsahu vyjádřit, nebo nejpozději do 24 hodin po jeho prvním odvysílání, pokud neměl možnost se k jeho obsahu před odvysíláním vyjádřit, považuje se TV spot za schválený bez výhrad.</w:t>
      </w:r>
    </w:p>
    <w:p w14:paraId="774C33E3"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Odběratel je oprávněn v souladu s ustanovením §1992 občanského zákoníku jednostranně zrušit smlouvu, jejímž předmětem je výroba TV spotu, pokud zároveň uhradí dodavateli odstupné. Odstupné činí před zahájením výroby TV spotu 5% z dohodnuté celkové ceny bez DPH. Po zahájení výroby TV spotu činí odstupné částku odpovídající dodavatelem sdělené výši již vynaložených nákladů na výrobu TV spotu, avšak vždy minimálně 15% z dohodnuté celkové ceny bez DPH.</w:t>
      </w:r>
    </w:p>
    <w:p w14:paraId="416F8AFE" w14:textId="77777777" w:rsidR="005B64C2" w:rsidRPr="00D06997" w:rsidRDefault="005B64C2" w:rsidP="00A72F2C">
      <w:pPr>
        <w:tabs>
          <w:tab w:val="left" w:pos="426"/>
        </w:tabs>
        <w:ind w:hanging="284"/>
        <w:jc w:val="both"/>
        <w:rPr>
          <w:rFonts w:ascii="Cambria" w:hAnsi="Cambria" w:cs="Arial"/>
          <w:sz w:val="6"/>
          <w:szCs w:val="6"/>
        </w:rPr>
      </w:pPr>
    </w:p>
    <w:p w14:paraId="6F34121B"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IV.</w:t>
      </w:r>
    </w:p>
    <w:p w14:paraId="3BA77BDD"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14:paraId="2347900C" w14:textId="132D9C42"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Dodavatel je oprávněn odmítnout TV spot vyrobený jinou osobou, pokud tento nesplňuje technické a kvalitativní parametry dodavatele, příp. je v rozporu 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a odběratel neprodleně nesjedná nápravu. Odběratel prohlašuje, že jím dodaný TV spot </w:t>
      </w:r>
      <w:r w:rsidR="00E01578">
        <w:rPr>
          <w:rFonts w:ascii="Cambria" w:hAnsi="Cambria"/>
          <w:sz w:val="15"/>
          <w:szCs w:val="15"/>
        </w:rPr>
        <w:br/>
      </w:r>
      <w:r w:rsidRPr="00D06997">
        <w:rPr>
          <w:rFonts w:ascii="Cambria" w:hAnsi="Cambria"/>
          <w:sz w:val="15"/>
          <w:szCs w:val="15"/>
        </w:rPr>
        <w:t xml:space="preserve">či jím dodaný materiál pro výrobu TV spotu dodavatelem dle objednávky odběratele získal v souladu s autorským zákonem a občanským zákoníkem od autorů, výkonných umělců, výrobců zvukových, obrazových a zvukově obrazových záznamů a že získal od zúčastněných osob oprávnění k výkonu práva užití děl, výkonů, zvukových a zvukově obrazových záznamů, jakož i všech osobnostních práv, a to v takovém rozsahu, že dodavatel je oprávněn odvysílat dodaný TV spot, aniž by byl povinen uzavírat s těmito osobami zvláštní smlouvy a aniž by mu vůči nim vznikaly jakékoliv jiné závazky. Odběratel také výslovně prohlašuje, že veškeré případné honoráře a odměny vlastníků či držitelů práv v souvislosti s odběratelem dodaným TV spotem byly řádně vypořádány. Ukáže-li se toto prohlášení jako nepravdivé je dodavatel oprávněn uplatnit smluvní pokutu ve výši 100% dohodnuté dosud neuhrazené ceny včetně DPH </w:t>
      </w:r>
      <w:r w:rsidR="00E01578">
        <w:rPr>
          <w:rFonts w:ascii="Cambria" w:hAnsi="Cambria"/>
          <w:sz w:val="15"/>
          <w:szCs w:val="15"/>
        </w:rPr>
        <w:br/>
      </w:r>
      <w:r w:rsidRPr="00D06997">
        <w:rPr>
          <w:rFonts w:ascii="Cambria" w:hAnsi="Cambria"/>
          <w:sz w:val="15"/>
          <w:szCs w:val="15"/>
        </w:rPr>
        <w:t xml:space="preserve">za odvysílání TV spotů a od smlouvy odstoupit. Tím není dotčena odpovědnost odběratele za škodu, kterou tím dodavateli způsobí včetně náhrady škody </w:t>
      </w:r>
      <w:r w:rsidR="00E01578">
        <w:rPr>
          <w:rFonts w:ascii="Cambria" w:hAnsi="Cambria"/>
          <w:sz w:val="15"/>
          <w:szCs w:val="15"/>
        </w:rPr>
        <w:br/>
      </w:r>
      <w:r w:rsidRPr="00D06997">
        <w:rPr>
          <w:rFonts w:ascii="Cambria" w:hAnsi="Cambria"/>
          <w:sz w:val="15"/>
          <w:szCs w:val="15"/>
        </w:rPr>
        <w:t>za porušení dobrého jména dodavatele a nákladů právního zastoupení dodavatele v případě soudních sporů či správních řízení vedených proti dodavateli.</w:t>
      </w:r>
    </w:p>
    <w:p w14:paraId="0B6DF022" w14:textId="77777777" w:rsidR="005B64C2" w:rsidRPr="00D06997" w:rsidRDefault="005B64C2" w:rsidP="00A72F2C">
      <w:pPr>
        <w:widowControl w:val="0"/>
        <w:ind w:hanging="284"/>
        <w:jc w:val="both"/>
        <w:rPr>
          <w:rFonts w:ascii="Cambria" w:hAnsi="Cambria" w:cs="Arial"/>
          <w:sz w:val="6"/>
          <w:szCs w:val="6"/>
          <w:highlight w:val="yellow"/>
        </w:rPr>
      </w:pPr>
    </w:p>
    <w:p w14:paraId="13A1FEAD"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w:t>
      </w:r>
    </w:p>
    <w:p w14:paraId="48B400C6"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14:paraId="3C8E822C" w14:textId="65D12BE6"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14:paraId="4224AE72" w14:textId="16D14F5F"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V případě neodvysílání TV spotu dle dohodnutého </w:t>
      </w:r>
      <w:proofErr w:type="spellStart"/>
      <w:r w:rsidRPr="00D06997">
        <w:rPr>
          <w:rFonts w:ascii="Cambria" w:hAnsi="Cambria"/>
          <w:sz w:val="15"/>
          <w:szCs w:val="15"/>
        </w:rPr>
        <w:t>mediaplánu</w:t>
      </w:r>
      <w:proofErr w:type="spellEnd"/>
      <w:r w:rsidRPr="00D06997">
        <w:rPr>
          <w:rFonts w:ascii="Cambria" w:hAnsi="Cambria"/>
          <w:sz w:val="15"/>
          <w:szCs w:val="15"/>
        </w:rPr>
        <w:t xml:space="preserve">, např. z důvodu mimořádných programových změn, bude dodavatel odběratele informovat </w:t>
      </w:r>
      <w:r>
        <w:rPr>
          <w:rFonts w:ascii="Cambria" w:hAnsi="Cambria"/>
          <w:sz w:val="15"/>
          <w:szCs w:val="15"/>
        </w:rPr>
        <w:br/>
      </w:r>
      <w:r w:rsidRPr="00D06997">
        <w:rPr>
          <w:rFonts w:ascii="Cambria" w:hAnsi="Cambria"/>
          <w:sz w:val="15"/>
          <w:szCs w:val="15"/>
        </w:rPr>
        <w:t xml:space="preserve">o tomto bez zbytečného prodlení a dohodne s ním náhradní termín odvysílání. Tyto změny, jsou-li řádně dodavatelem odůvodněny, nejsou považovány </w:t>
      </w:r>
      <w:r>
        <w:rPr>
          <w:rFonts w:ascii="Cambria" w:hAnsi="Cambria"/>
          <w:sz w:val="15"/>
          <w:szCs w:val="15"/>
        </w:rPr>
        <w:br/>
      </w:r>
      <w:r w:rsidRPr="00D06997">
        <w:rPr>
          <w:rFonts w:ascii="Cambria" w:hAnsi="Cambria"/>
          <w:sz w:val="15"/>
          <w:szCs w:val="15"/>
        </w:rPr>
        <w:t>za porušení smlouvy.</w:t>
      </w:r>
    </w:p>
    <w:p w14:paraId="14452ACD" w14:textId="77777777"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Dodavatel zašle odběrateli zpravidla nejpozději 1 den před prvním vysíláním TV spotu e-mailem </w:t>
      </w:r>
      <w:proofErr w:type="spellStart"/>
      <w:r w:rsidRPr="00D06997">
        <w:rPr>
          <w:rFonts w:ascii="Cambria" w:hAnsi="Cambria"/>
          <w:sz w:val="15"/>
          <w:szCs w:val="15"/>
        </w:rPr>
        <w:t>mediaplán</w:t>
      </w:r>
      <w:proofErr w:type="spellEnd"/>
      <w:r w:rsidRPr="00D06997">
        <w:rPr>
          <w:rFonts w:ascii="Cambria" w:hAnsi="Cambria"/>
          <w:sz w:val="15"/>
          <w:szCs w:val="15"/>
        </w:rPr>
        <w:t xml:space="preserve"> specifikující konkrétní dny vysílání v rámci období plnění. Nebude-li to z objektivních důvodů možné, je dodavatel oprávněn zaslat </w:t>
      </w:r>
      <w:proofErr w:type="spellStart"/>
      <w:r w:rsidRPr="00D06997">
        <w:rPr>
          <w:rFonts w:ascii="Cambria" w:hAnsi="Cambria"/>
          <w:sz w:val="15"/>
          <w:szCs w:val="15"/>
        </w:rPr>
        <w:t>mediaplán</w:t>
      </w:r>
      <w:proofErr w:type="spellEnd"/>
      <w:r w:rsidRPr="00D06997">
        <w:rPr>
          <w:rFonts w:ascii="Cambria" w:hAnsi="Cambria"/>
          <w:sz w:val="15"/>
          <w:szCs w:val="15"/>
        </w:rPr>
        <w:t xml:space="preserve"> i později. </w:t>
      </w:r>
    </w:p>
    <w:p w14:paraId="3C87B6B7" w14:textId="77777777"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Požaduje-li odběratel změnit vysílací časy, je tuto žádost povinen písemně předložit dodavateli minimálně 48 hodin před plánovaným odvysíláním TV spotu, příp. bezodkladně po doručení </w:t>
      </w:r>
      <w:proofErr w:type="spellStart"/>
      <w:r w:rsidRPr="00D06997">
        <w:rPr>
          <w:rFonts w:ascii="Cambria" w:hAnsi="Cambria"/>
          <w:sz w:val="15"/>
          <w:szCs w:val="15"/>
        </w:rPr>
        <w:t>mediaplánu</w:t>
      </w:r>
      <w:proofErr w:type="spellEnd"/>
      <w:r w:rsidRPr="00D06997">
        <w:rPr>
          <w:rFonts w:ascii="Cambria" w:hAnsi="Cambria"/>
          <w:sz w:val="15"/>
          <w:szCs w:val="15"/>
        </w:rPr>
        <w:t>, je-li doručen později, přičemž dodavatel není povinen návrhu vyhovět, zejména z programových důvodů. V odůvodněných případech může dodavatel vyhovět i žádosti předložené méně než 48 hodin před plánovaným odvysíláním TV spotu.</w:t>
      </w:r>
    </w:p>
    <w:p w14:paraId="3D7965D2" w14:textId="34461FAF"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21 až 1 kalendářní den před počátkem dohodnutého období plnění, pokud zároveň uhradí dodavateli odstupné. Odstupné činí při zrušení smlouvy (i) </w:t>
      </w:r>
      <w:r w:rsidR="00E01578">
        <w:rPr>
          <w:rFonts w:ascii="Cambria" w:hAnsi="Cambria"/>
          <w:sz w:val="15"/>
          <w:szCs w:val="15"/>
        </w:rPr>
        <w:br/>
      </w:r>
      <w:r w:rsidRPr="00D06997">
        <w:rPr>
          <w:rFonts w:ascii="Cambria" w:hAnsi="Cambria"/>
          <w:sz w:val="15"/>
          <w:szCs w:val="15"/>
        </w:rPr>
        <w:t>21. až 14. dnů před počátkem dohodnutého období plnění 30%, (</w:t>
      </w:r>
      <w:proofErr w:type="spellStart"/>
      <w:r w:rsidRPr="00D06997">
        <w:rPr>
          <w:rFonts w:ascii="Cambria" w:hAnsi="Cambria"/>
          <w:sz w:val="15"/>
          <w:szCs w:val="15"/>
        </w:rPr>
        <w:t>ii</w:t>
      </w:r>
      <w:proofErr w:type="spellEnd"/>
      <w:r w:rsidRPr="00D06997">
        <w:rPr>
          <w:rFonts w:ascii="Cambria" w:hAnsi="Cambria"/>
          <w:sz w:val="15"/>
          <w:szCs w:val="15"/>
        </w:rPr>
        <w:t>) 13. až 7. dnů před počátkem dohodnutého období plnění 60%, (</w:t>
      </w:r>
      <w:proofErr w:type="spellStart"/>
      <w:r w:rsidRPr="00D06997">
        <w:rPr>
          <w:rFonts w:ascii="Cambria" w:hAnsi="Cambria"/>
          <w:sz w:val="15"/>
          <w:szCs w:val="15"/>
        </w:rPr>
        <w:t>iii</w:t>
      </w:r>
      <w:proofErr w:type="spellEnd"/>
      <w:r w:rsidRPr="00D06997">
        <w:rPr>
          <w:rFonts w:ascii="Cambria" w:hAnsi="Cambria"/>
          <w:sz w:val="15"/>
          <w:szCs w:val="15"/>
        </w:rPr>
        <w:t>) 6. až 1. den před počátkem dohodnutého období plnění 90%, z dohodnuté celkové ceny bez DPH. Odstupné se neúčtuje, je-li písemné zrušení objednávky doručeno dodavateli nejpozději 22 kalendářních dnů před počátkem dohodnutého období plnění. V případě vzniku zákonné povinnosti hradit DPH z odstupného, bude odstupné počítáno z dohodnuté ceny včetně DPH.</w:t>
      </w:r>
    </w:p>
    <w:p w14:paraId="7543ECDF" w14:textId="77777777" w:rsidR="005B64C2" w:rsidRPr="00D06997" w:rsidRDefault="005B64C2" w:rsidP="00A72F2C">
      <w:pPr>
        <w:tabs>
          <w:tab w:val="left" w:pos="426"/>
        </w:tabs>
        <w:ind w:hanging="284"/>
        <w:jc w:val="both"/>
        <w:rPr>
          <w:rFonts w:ascii="Cambria" w:hAnsi="Cambria" w:cs="Arial"/>
          <w:sz w:val="6"/>
          <w:szCs w:val="6"/>
        </w:rPr>
      </w:pPr>
    </w:p>
    <w:p w14:paraId="49E32112"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VI.</w:t>
      </w:r>
    </w:p>
    <w:p w14:paraId="29788555" w14:textId="29CAEB12"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Prodlení s jakoukoli platbou se považuje za podstatné porušení smlouvy. V případě, že je odběratel v prodlení s úhradou sjednané ceny nebo její části více než 14 dnů, má dodavatel právo i bez předchozího upozornění odběratele (i) ukončit vysílání nebo výrobu TV spotu, (</w:t>
      </w:r>
      <w:proofErr w:type="spellStart"/>
      <w:r w:rsidRPr="00D06997">
        <w:rPr>
          <w:rFonts w:ascii="Cambria" w:hAnsi="Cambria"/>
          <w:sz w:val="15"/>
          <w:szCs w:val="15"/>
        </w:rPr>
        <w:t>ii</w:t>
      </w:r>
      <w:proofErr w:type="spellEnd"/>
      <w:r w:rsidRPr="00D06997">
        <w:rPr>
          <w:rFonts w:ascii="Cambria" w:hAnsi="Cambria"/>
          <w:sz w:val="15"/>
          <w:szCs w:val="15"/>
        </w:rPr>
        <w:t xml:space="preserve">) uplatnit smluvní pokutu ve výši </w:t>
      </w:r>
      <w:r w:rsidR="00E01578">
        <w:rPr>
          <w:rFonts w:ascii="Cambria" w:hAnsi="Cambria"/>
          <w:sz w:val="15"/>
          <w:szCs w:val="15"/>
        </w:rPr>
        <w:br/>
      </w:r>
      <w:r w:rsidRPr="00D06997">
        <w:rPr>
          <w:rFonts w:ascii="Cambria" w:hAnsi="Cambria"/>
          <w:sz w:val="15"/>
          <w:szCs w:val="15"/>
        </w:rPr>
        <w:t>30% z dohodnuté celkové ceny bez DPH, (</w:t>
      </w:r>
      <w:proofErr w:type="spellStart"/>
      <w:r w:rsidRPr="00D06997">
        <w:rPr>
          <w:rFonts w:ascii="Cambria" w:hAnsi="Cambria"/>
          <w:sz w:val="15"/>
          <w:szCs w:val="15"/>
        </w:rPr>
        <w:t>iii</w:t>
      </w:r>
      <w:proofErr w:type="spellEnd"/>
      <w:r w:rsidRPr="00D06997">
        <w:rPr>
          <w:rFonts w:ascii="Cambria" w:hAnsi="Cambria"/>
          <w:sz w:val="15"/>
          <w:szCs w:val="15"/>
        </w:rPr>
        <w:t>) odstoupit od smlouvy.</w:t>
      </w:r>
    </w:p>
    <w:p w14:paraId="0F9FE6E6" w14:textId="77777777"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14:paraId="0469B0F1" w14:textId="77777777"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v elektronické podobě prostřednictvím e-mailu. Zároveň již nebude dostávat faktury v papírové podobě.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14:paraId="09B50FF8" w14:textId="489BD64C"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1A5152">
        <w:rPr>
          <w:rFonts w:ascii="Cambria" w:hAnsi="Cambria"/>
          <w:sz w:val="15"/>
          <w:szCs w:val="15"/>
        </w:rPr>
        <w:t> Českých Budějovicích</w:t>
      </w:r>
      <w:r w:rsidRPr="00D06997">
        <w:rPr>
          <w:rFonts w:ascii="Cambria" w:hAnsi="Cambria"/>
          <w:sz w:val="15"/>
          <w:szCs w:val="15"/>
        </w:rPr>
        <w:t>, jako soudem místně příslušným.</w:t>
      </w:r>
    </w:p>
    <w:p w14:paraId="23488164" w14:textId="77777777" w:rsidR="0002272B" w:rsidRPr="00E01578" w:rsidRDefault="0002272B" w:rsidP="0002272B">
      <w:pPr>
        <w:pStyle w:val="Odstavecseseznamem"/>
        <w:ind w:left="0"/>
        <w:jc w:val="both"/>
        <w:rPr>
          <w:rFonts w:ascii="Cambria" w:hAnsi="Cambria"/>
          <w:sz w:val="15"/>
          <w:szCs w:val="15"/>
        </w:rPr>
      </w:pPr>
    </w:p>
    <w:p w14:paraId="1071BD91" w14:textId="1E960275"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r w:rsidR="00E01578">
        <w:rPr>
          <w:rFonts w:ascii="Cambria" w:hAnsi="Cambria" w:cs="Arial"/>
          <w:i/>
          <w:sz w:val="12"/>
          <w:szCs w:val="12"/>
        </w:rPr>
        <w:t xml:space="preserve"> </w:t>
      </w:r>
    </w:p>
    <w:p w14:paraId="747A7B27" w14:textId="43270971"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sidR="001A5152">
        <w:rPr>
          <w:rFonts w:ascii="Cambria" w:hAnsi="Cambria" w:cs="Arial"/>
          <w:i/>
          <w:sz w:val="12"/>
          <w:szCs w:val="12"/>
        </w:rPr>
        <w:t xml:space="preserve"> Alois Valtr, </w:t>
      </w:r>
      <w:r w:rsidR="00BE5B1D">
        <w:rPr>
          <w:rFonts w:ascii="Cambria" w:hAnsi="Cambria" w:cs="Arial"/>
          <w:i/>
          <w:sz w:val="12"/>
          <w:szCs w:val="12"/>
        </w:rPr>
        <w:t xml:space="preserve">člen </w:t>
      </w:r>
      <w:r w:rsidR="001A5152">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95ABB" w14:textId="77777777" w:rsidR="00310809" w:rsidRDefault="00310809" w:rsidP="00380EFF">
      <w:r>
        <w:separator/>
      </w:r>
    </w:p>
  </w:endnote>
  <w:endnote w:type="continuationSeparator" w:id="0">
    <w:p w14:paraId="6AADB97D" w14:textId="77777777" w:rsidR="00310809" w:rsidRDefault="00310809" w:rsidP="0038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5C25" w14:textId="20AEC550" w:rsidR="00300245" w:rsidRPr="0002272B" w:rsidRDefault="00300245" w:rsidP="00D820BF">
    <w:pPr>
      <w:pStyle w:val="Zpat"/>
      <w:jc w:val="center"/>
      <w:rPr>
        <w:rStyle w:val="slostrnky"/>
        <w:sz w:val="14"/>
        <w:szCs w:val="14"/>
      </w:rPr>
    </w:pPr>
    <w:r w:rsidRPr="0002272B">
      <w:rPr>
        <w:rStyle w:val="slostrnky"/>
        <w:sz w:val="14"/>
        <w:szCs w:val="14"/>
      </w:rPr>
      <w:fldChar w:fldCharType="begin"/>
    </w:r>
    <w:r w:rsidRPr="0002272B">
      <w:rPr>
        <w:rStyle w:val="slostrnky"/>
        <w:sz w:val="14"/>
        <w:szCs w:val="14"/>
      </w:rPr>
      <w:instrText xml:space="preserve"> PAGE </w:instrText>
    </w:r>
    <w:r w:rsidRPr="0002272B">
      <w:rPr>
        <w:rStyle w:val="slostrnky"/>
        <w:sz w:val="14"/>
        <w:szCs w:val="14"/>
      </w:rPr>
      <w:fldChar w:fldCharType="separate"/>
    </w:r>
    <w:r w:rsidR="008D57A9">
      <w:rPr>
        <w:rStyle w:val="slostrnky"/>
        <w:noProof/>
        <w:sz w:val="14"/>
        <w:szCs w:val="14"/>
      </w:rPr>
      <w:t>2</w:t>
    </w:r>
    <w:r w:rsidRPr="0002272B">
      <w:rPr>
        <w:rStyle w:val="slostrnky"/>
        <w:sz w:val="14"/>
        <w:szCs w:val="14"/>
      </w:rPr>
      <w:fldChar w:fldCharType="end"/>
    </w:r>
    <w:r w:rsidRPr="0002272B">
      <w:rPr>
        <w:rStyle w:val="slostrnky"/>
        <w:sz w:val="14"/>
        <w:szCs w:val="14"/>
      </w:rPr>
      <w:t>/2</w:t>
    </w:r>
  </w:p>
  <w:p w14:paraId="0C6E2FCD" w14:textId="7E7701D0"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694A2" w14:textId="77777777" w:rsidR="00310809" w:rsidRDefault="00310809" w:rsidP="00380EFF">
      <w:r>
        <w:separator/>
      </w:r>
    </w:p>
  </w:footnote>
  <w:footnote w:type="continuationSeparator" w:id="0">
    <w:p w14:paraId="5DA8C35D" w14:textId="77777777" w:rsidR="00310809" w:rsidRDefault="00310809" w:rsidP="0038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3CB0" w14:textId="77777777"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14:anchorId="68D123CC" wp14:editId="3A572BA4">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cx2="http://schemas.microsoft.com/office/drawing/2015/10/21/chartex"/>
                    </a:ext>
                  </a:extLst>
                </pic:spPr>
              </pic:pic>
            </a:graphicData>
          </a:graphic>
          <wp14:sizeRelH relativeFrom="margin">
            <wp14:pctWidth>0</wp14:pctWidth>
          </wp14:sizeRelH>
        </wp:anchor>
      </w:drawing>
    </w:r>
  </w:p>
  <w:p w14:paraId="31B422B3" w14:textId="6C269D31"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BE5B1D">
      <w:rPr>
        <w:b/>
        <w:i/>
        <w:sz w:val="16"/>
        <w:szCs w:val="16"/>
        <w:lang w:val="de-DE"/>
      </w:rPr>
      <w:t xml:space="preserve">JTV </w:t>
    </w:r>
    <w:r>
      <w:rPr>
        <w:b/>
        <w:i/>
        <w:sz w:val="16"/>
        <w:szCs w:val="16"/>
        <w:lang w:val="de-DE"/>
      </w:rPr>
      <w:t>a. s</w:t>
    </w:r>
    <w:r w:rsidRPr="00CF2441">
      <w:rPr>
        <w:b/>
        <w:i/>
        <w:sz w:val="16"/>
        <w:szCs w:val="16"/>
        <w:lang w:val="de-DE"/>
      </w:rPr>
      <w:t xml:space="preserve">., </w:t>
    </w:r>
    <w:proofErr w:type="spellStart"/>
    <w:r w:rsidRPr="000D644F">
      <w:rPr>
        <w:b/>
        <w:i/>
        <w:sz w:val="16"/>
        <w:szCs w:val="16"/>
        <w:lang w:val="de-DE"/>
      </w:rPr>
      <w:t>Křižíkova</w:t>
    </w:r>
    <w:proofErr w:type="spellEnd"/>
    <w:r w:rsidRPr="000D644F">
      <w:rPr>
        <w:b/>
        <w:i/>
        <w:sz w:val="16"/>
        <w:szCs w:val="16"/>
        <w:lang w:val="de-DE"/>
      </w:rPr>
      <w:t xml:space="preserve"> 1696, 370 01 </w:t>
    </w:r>
    <w:proofErr w:type="spellStart"/>
    <w:r w:rsidRPr="000D644F">
      <w:rPr>
        <w:b/>
        <w:i/>
        <w:sz w:val="16"/>
        <w:szCs w:val="16"/>
        <w:lang w:val="de-DE"/>
      </w:rPr>
      <w:t>České</w:t>
    </w:r>
    <w:proofErr w:type="spellEnd"/>
    <w:r w:rsidRPr="000D644F">
      <w:rPr>
        <w:b/>
        <w:i/>
        <w:sz w:val="16"/>
        <w:szCs w:val="16"/>
        <w:lang w:val="de-DE"/>
      </w:rPr>
      <w:t xml:space="preserve"> </w:t>
    </w:r>
    <w:proofErr w:type="spellStart"/>
    <w:r w:rsidRPr="000D644F">
      <w:rPr>
        <w:b/>
        <w:i/>
        <w:sz w:val="16"/>
        <w:szCs w:val="16"/>
        <w:lang w:val="de-DE"/>
      </w:rPr>
      <w:t>Budějovice</w:t>
    </w:r>
    <w:proofErr w:type="spellEnd"/>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14:paraId="66A4031E" w14:textId="77777777" w:rsidR="00830A9C" w:rsidRDefault="00830A9C" w:rsidP="00830A9C">
    <w:pPr>
      <w:spacing w:line="276" w:lineRule="auto"/>
      <w:ind w:left="1701"/>
      <w:rPr>
        <w:i/>
        <w:sz w:val="16"/>
        <w:szCs w:val="16"/>
      </w:rPr>
    </w:pPr>
    <w:r w:rsidRPr="008D57A9">
      <w:rPr>
        <w:i/>
        <w:sz w:val="16"/>
        <w:szCs w:val="16"/>
        <w:highlight w:val="black"/>
      </w:rPr>
      <w:t xml:space="preserve">účet: </w:t>
    </w:r>
    <w:r w:rsidRPr="008D57A9">
      <w:rPr>
        <w:i/>
        <w:sz w:val="16"/>
        <w:szCs w:val="16"/>
        <w:highlight w:val="black"/>
        <w:lang w:val="de-DE"/>
      </w:rPr>
      <w:t>255592626/0300</w:t>
    </w:r>
    <w:r w:rsidRPr="008D57A9">
      <w:rPr>
        <w:i/>
        <w:sz w:val="16"/>
        <w:szCs w:val="16"/>
        <w:highlight w:val="black"/>
      </w:rPr>
      <w:t>; e-mail: fakturace@jihoceskatelevize.cz; zapsána v OR u KS v Č. Budějovicích, oddíl B, vložka 786.</w:t>
    </w:r>
  </w:p>
  <w:p w14:paraId="3D188AC9" w14:textId="77777777"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14:paraId="0771EAE3" w14:textId="5F130B30" w:rsidR="00300245" w:rsidRPr="00830A9C" w:rsidRDefault="00300245" w:rsidP="00830A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7F"/>
    <w:rsid w:val="0002272B"/>
    <w:rsid w:val="00037E1E"/>
    <w:rsid w:val="00040B3D"/>
    <w:rsid w:val="00044DEB"/>
    <w:rsid w:val="00057F1C"/>
    <w:rsid w:val="000A0E0E"/>
    <w:rsid w:val="000A101A"/>
    <w:rsid w:val="000B6A7F"/>
    <w:rsid w:val="000C1929"/>
    <w:rsid w:val="000C43C3"/>
    <w:rsid w:val="000C4F91"/>
    <w:rsid w:val="000C7599"/>
    <w:rsid w:val="000D1B41"/>
    <w:rsid w:val="001027DC"/>
    <w:rsid w:val="00121588"/>
    <w:rsid w:val="00121954"/>
    <w:rsid w:val="00133874"/>
    <w:rsid w:val="00136EB6"/>
    <w:rsid w:val="00156493"/>
    <w:rsid w:val="00165C7D"/>
    <w:rsid w:val="001759BD"/>
    <w:rsid w:val="001A5152"/>
    <w:rsid w:val="001A58D8"/>
    <w:rsid w:val="001B7066"/>
    <w:rsid w:val="001C791B"/>
    <w:rsid w:val="001D7DC6"/>
    <w:rsid w:val="002003DC"/>
    <w:rsid w:val="00212AEC"/>
    <w:rsid w:val="00234262"/>
    <w:rsid w:val="002348E8"/>
    <w:rsid w:val="00252055"/>
    <w:rsid w:val="00267883"/>
    <w:rsid w:val="00267900"/>
    <w:rsid w:val="0029165D"/>
    <w:rsid w:val="002C06DE"/>
    <w:rsid w:val="002C557D"/>
    <w:rsid w:val="002D7726"/>
    <w:rsid w:val="00300245"/>
    <w:rsid w:val="0030056B"/>
    <w:rsid w:val="0030289D"/>
    <w:rsid w:val="00310809"/>
    <w:rsid w:val="00312BBC"/>
    <w:rsid w:val="0031645E"/>
    <w:rsid w:val="00330B7E"/>
    <w:rsid w:val="003372D6"/>
    <w:rsid w:val="00340282"/>
    <w:rsid w:val="003455F9"/>
    <w:rsid w:val="00380EFF"/>
    <w:rsid w:val="00382229"/>
    <w:rsid w:val="003919FE"/>
    <w:rsid w:val="003A4DB8"/>
    <w:rsid w:val="003E29E6"/>
    <w:rsid w:val="003E6133"/>
    <w:rsid w:val="003F503A"/>
    <w:rsid w:val="003F5504"/>
    <w:rsid w:val="00416A73"/>
    <w:rsid w:val="00423CF1"/>
    <w:rsid w:val="00430C46"/>
    <w:rsid w:val="00432056"/>
    <w:rsid w:val="0044509A"/>
    <w:rsid w:val="0045420B"/>
    <w:rsid w:val="0045482C"/>
    <w:rsid w:val="00454AF3"/>
    <w:rsid w:val="0048364E"/>
    <w:rsid w:val="00485FF6"/>
    <w:rsid w:val="00497F9E"/>
    <w:rsid w:val="004E35D1"/>
    <w:rsid w:val="004F3D9C"/>
    <w:rsid w:val="004F7100"/>
    <w:rsid w:val="005063DD"/>
    <w:rsid w:val="00520DFD"/>
    <w:rsid w:val="00523230"/>
    <w:rsid w:val="00527315"/>
    <w:rsid w:val="00534FB3"/>
    <w:rsid w:val="0055422A"/>
    <w:rsid w:val="005621DB"/>
    <w:rsid w:val="00576452"/>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57FA"/>
    <w:rsid w:val="00682BCE"/>
    <w:rsid w:val="00682F55"/>
    <w:rsid w:val="00692408"/>
    <w:rsid w:val="00696438"/>
    <w:rsid w:val="006B0EAB"/>
    <w:rsid w:val="006B245C"/>
    <w:rsid w:val="006C6C4C"/>
    <w:rsid w:val="006D6EEE"/>
    <w:rsid w:val="006E25B1"/>
    <w:rsid w:val="006F133D"/>
    <w:rsid w:val="00707461"/>
    <w:rsid w:val="0073093A"/>
    <w:rsid w:val="00750826"/>
    <w:rsid w:val="00752D0B"/>
    <w:rsid w:val="00760581"/>
    <w:rsid w:val="00762A6A"/>
    <w:rsid w:val="00781EB5"/>
    <w:rsid w:val="00784251"/>
    <w:rsid w:val="00791B63"/>
    <w:rsid w:val="007C5390"/>
    <w:rsid w:val="00803238"/>
    <w:rsid w:val="00814652"/>
    <w:rsid w:val="00830A9C"/>
    <w:rsid w:val="00834439"/>
    <w:rsid w:val="0083549A"/>
    <w:rsid w:val="00846748"/>
    <w:rsid w:val="00856C11"/>
    <w:rsid w:val="00865C95"/>
    <w:rsid w:val="008A3716"/>
    <w:rsid w:val="008B125C"/>
    <w:rsid w:val="008B19C8"/>
    <w:rsid w:val="008D25A8"/>
    <w:rsid w:val="008D57A9"/>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090F"/>
    <w:rsid w:val="00AA7DCF"/>
    <w:rsid w:val="00AB7606"/>
    <w:rsid w:val="00AC4850"/>
    <w:rsid w:val="00AD486F"/>
    <w:rsid w:val="00B16948"/>
    <w:rsid w:val="00B222C6"/>
    <w:rsid w:val="00B44F23"/>
    <w:rsid w:val="00B469EB"/>
    <w:rsid w:val="00B60767"/>
    <w:rsid w:val="00B76B69"/>
    <w:rsid w:val="00B803B9"/>
    <w:rsid w:val="00BB4428"/>
    <w:rsid w:val="00BD415C"/>
    <w:rsid w:val="00BD67B6"/>
    <w:rsid w:val="00BE35EB"/>
    <w:rsid w:val="00BE5B1D"/>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854C5"/>
    <w:rsid w:val="00DB1B49"/>
    <w:rsid w:val="00DD2DD7"/>
    <w:rsid w:val="00DE52FC"/>
    <w:rsid w:val="00E01578"/>
    <w:rsid w:val="00E01A71"/>
    <w:rsid w:val="00E03A87"/>
    <w:rsid w:val="00E07A15"/>
    <w:rsid w:val="00E14A39"/>
    <w:rsid w:val="00E272EF"/>
    <w:rsid w:val="00E40C90"/>
    <w:rsid w:val="00E548C7"/>
    <w:rsid w:val="00E61644"/>
    <w:rsid w:val="00E7094A"/>
    <w:rsid w:val="00E84CC7"/>
    <w:rsid w:val="00EB043F"/>
    <w:rsid w:val="00EC0003"/>
    <w:rsid w:val="00EC0A5B"/>
    <w:rsid w:val="00EE779E"/>
    <w:rsid w:val="00EF0963"/>
    <w:rsid w:val="00F06333"/>
    <w:rsid w:val="00F54CAC"/>
    <w:rsid w:val="00F85BCB"/>
    <w:rsid w:val="00FA7693"/>
    <w:rsid w:val="00FB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3F56CA"/>
  <w14:defaultImageDpi w14:val="300"/>
  <w15:docId w15:val="{98FBBA67-B65D-49CA-8805-F26A170B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CFC4C-6467-4809-8356-79EA95D8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8751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Nový</dc:creator>
  <cp:keywords/>
  <dc:description/>
  <cp:lastModifiedBy>Arnošt Máče</cp:lastModifiedBy>
  <cp:revision>4</cp:revision>
  <cp:lastPrinted>2017-10-11T08:30:00Z</cp:lastPrinted>
  <dcterms:created xsi:type="dcterms:W3CDTF">2018-01-08T09:13:00Z</dcterms:created>
  <dcterms:modified xsi:type="dcterms:W3CDTF">2018-01-08T09:41:00Z</dcterms:modified>
</cp:coreProperties>
</file>