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782" w:y="14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ZAJIŠTĚNÍ LYŽAŘSKÉHO VÝCVIKOVÉHO KURZU - LVK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 xml:space="preserve">Poskytovatel: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Hotel Energetik***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 xml:space="preserve">Se sídlem: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Americká 459/27, Praha 2, 120 00 </w:t>
      </w:r>
      <w:r>
        <w:rPr>
          <w:rStyle w:val="CharStyle6"/>
        </w:rPr>
        <w:t xml:space="preserve">IČO: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25282069 </w:t>
      </w:r>
      <w:r>
        <w:rPr>
          <w:rStyle w:val="CharStyle6"/>
        </w:rPr>
        <w:t xml:space="preserve">Zastoupení: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Selvas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a.s.</w:t>
      </w:r>
    </w:p>
    <w:p>
      <w:pPr>
        <w:pStyle w:val="Style2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</w:t>
      </w:r>
    </w:p>
    <w:p>
      <w:pPr>
        <w:pStyle w:val="Style2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Telefon: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276"/>
        <w:ind w:left="0" w:right="0" w:firstLine="0"/>
      </w:pPr>
      <w:r>
        <w:rPr>
          <w:rStyle w:val="CharStyle6"/>
        </w:rPr>
        <w:t xml:space="preserve">Email: </w:t>
      </w:r>
      <w:r>
        <w:fldChar w:fldCharType="begin"/>
      </w:r>
      <w:r>
        <w:rPr/>
        <w:instrText> HYPERLINK "mailto:rezervace@energetikpec.cz"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rezervace@energetikpec.cz</w:t>
      </w:r>
      <w:r>
        <w:fldChar w:fldCharType="end"/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rStyle w:val="CharStyle6"/>
        </w:rPr>
        <w:t xml:space="preserve">Účastník: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a MŠ Emy Destinnové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rStyle w:val="CharStyle6"/>
        </w:rPr>
        <w:t xml:space="preserve">Se sídlem: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nám.Svobody 3/930, 160 00, Praha 6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rStyle w:val="CharStyle6"/>
        </w:rPr>
        <w:t xml:space="preserve">IČO: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48133892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rStyle w:val="CharStyle6"/>
        </w:rPr>
        <w:t xml:space="preserve">Zastoupení: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Marek Hluhuček</w:t>
      </w:r>
    </w:p>
    <w:p>
      <w:pPr>
        <w:pStyle w:val="Style2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Telefon: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296" w:line="264" w:lineRule="exact"/>
        <w:ind w:left="0" w:right="0" w:firstLine="0"/>
      </w:pPr>
      <w:r>
        <w:rPr>
          <w:rStyle w:val="CharStyle6"/>
        </w:rPr>
        <w:t xml:space="preserve">Email: </w:t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rStyle w:val="CharStyle7"/>
        </w:rPr>
        <w:t>info@zsemydestinnove.cz</w:t>
      </w:r>
      <w:r>
        <w:fldChar w:fldCharType="end"/>
      </w:r>
    </w:p>
    <w:p>
      <w:pPr>
        <w:pStyle w:val="Style8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smlouvu o zajištění LVK</w:t>
      </w:r>
      <w:bookmarkEnd w:id="0"/>
    </w:p>
    <w:p>
      <w:pPr>
        <w:pStyle w:val="Style8"/>
        <w:numPr>
          <w:ilvl w:val="0"/>
          <w:numId w:val="1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Úvodní ustanovení</w:t>
      </w:r>
      <w:bookmarkEnd w:id="1"/>
    </w:p>
    <w:p>
      <w:pPr>
        <w:pStyle w:val="Style4"/>
        <w:numPr>
          <w:ilvl w:val="0"/>
          <w:numId w:val="3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smluvních vztahuje zabezpečení podmínek pobytu žáků školy a pedagogického dozoru (dále jen účastníků LVK) v místě Pec pod Sněžkou 56, hotel Energetik***.</w:t>
      </w:r>
    </w:p>
    <w:p>
      <w:pPr>
        <w:pStyle w:val="Style4"/>
        <w:numPr>
          <w:ilvl w:val="0"/>
          <w:numId w:val="3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Poskytovatel zabezpečuje ubytovací a stravovací služby účastníkům pobytu, případně zajistí další služby. Dále zajistí, aby hygienické požadavky odpovídaly hygienickým normám kladeným příslušnými předpisy. Objekt je zabezpečen z hlediska požární ochrany.</w:t>
      </w:r>
    </w:p>
    <w:p>
      <w:pPr>
        <w:pStyle w:val="Style2"/>
        <w:numPr>
          <w:ilvl w:val="0"/>
          <w:numId w:val="1"/>
        </w:numPr>
        <w:framePr w:w="8693" w:h="12755" w:hRule="exact" w:wrap="none" w:vAnchor="page" w:hAnchor="page" w:x="1782" w:y="2030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Pobyt: Hotel Energetik***, Pec pod Sněžkou 56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Termín: 24.02 2018 - 03.03.2018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Počet osob: cca 90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Příjezd: Autobusové nádraží v Peci pod Sněžkou dne 24.02.2018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Odjezd: Z Hotelu Energetik*** dne 03.03.2018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Stravování: Plná penze včetně pitného režimu, stravovací režim začíná večeří a končí obědem.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Cena: 505 Kč vč. DPH na osobu a den, cena zahrnuje ubytování, stravu 3x denně a pitný režim, odvoz zavazadel na hotel a zpět. Učitelský doprovod ( 4 osoby) má slevu 100%.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 objektu: Hotel Energetik***, Hnědý vrch 56, Pec pod Sněžkou, 542 21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Záloha: Záloha ve výši 25.000 Kč bude splatná do 01.12.2017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Doplatek: Dle skutečnosti fakturovat bezhotovostně, splatný do 5 pracovních dní po uskutečnění LVK.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Další ujednání: Odvoz zavazadel je zajištěn výhradně z autobusového nádraží v Peci pod Sněžkou a jeho cena je zahrnuta v ceně pobytu. Totéž platí i pro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cestu zpět po ukončení pobytu.</w:t>
      </w:r>
    </w:p>
    <w:p>
      <w:pPr>
        <w:pStyle w:val="Style4"/>
        <w:numPr>
          <w:ilvl w:val="0"/>
          <w:numId w:val="5"/>
        </w:numPr>
        <w:framePr w:w="8693" w:h="12755" w:hRule="exact" w:wrap="none" w:vAnchor="page" w:hAnchor="page" w:x="1782" w:y="2030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Podmínky pobytu:</w:t>
      </w:r>
    </w:p>
    <w:p>
      <w:pPr>
        <w:pStyle w:val="Style4"/>
        <w:numPr>
          <w:ilvl w:val="0"/>
          <w:numId w:val="7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1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Provozovatel rekr. zařízení odpovídá za dodržení podmínek smlouvy, zajištění provozních místností a jejich úklid.</w:t>
      </w:r>
    </w:p>
    <w:p>
      <w:pPr>
        <w:pStyle w:val="Style4"/>
        <w:numPr>
          <w:ilvl w:val="0"/>
          <w:numId w:val="7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Provozovatel poskytuje ubytování ve dvou až sedmilůžkových pokojích.</w:t>
      </w:r>
    </w:p>
    <w:p>
      <w:pPr>
        <w:pStyle w:val="Style4"/>
        <w:framePr w:w="8693" w:h="12755" w:hRule="exact" w:wrap="none" w:vAnchor="page" w:hAnchor="page" w:x="1782" w:y="203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Všechny pokoje jsou vybaveny vlastním sociálním zařízením. Z kapacitních důvodů provozovatel standardně neposkytuje jednolůžkové pokoje.</w:t>
      </w:r>
    </w:p>
    <w:p>
      <w:pPr>
        <w:pStyle w:val="Style4"/>
        <w:numPr>
          <w:ilvl w:val="0"/>
          <w:numId w:val="7"/>
        </w:numPr>
        <w:framePr w:w="8693" w:h="12755" w:hRule="exact" w:wrap="none" w:vAnchor="page" w:hAnchor="page" w:x="1782" w:y="2030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Účastník pobytu zabezpečuje po stránce organizační, zdravotní a pedagogické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8693" w:h="5885" w:hRule="exact" w:wrap="none" w:vAnchor="page" w:hAnchor="page" w:x="1782" w:y="145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9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pobyt skupiny osob, za které je odpovědný. Je povinen dodržovat ubytovací řád hotelu.</w:t>
      </w:r>
    </w:p>
    <w:p>
      <w:pPr>
        <w:pStyle w:val="Style2"/>
        <w:numPr>
          <w:ilvl w:val="0"/>
          <w:numId w:val="1"/>
        </w:numPr>
        <w:framePr w:w="8693" w:h="5885" w:hRule="exact" w:wrap="none" w:vAnchor="page" w:hAnchor="page" w:x="1782" w:y="1450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Všeobecná ustanovení</w:t>
      </w:r>
    </w:p>
    <w:p>
      <w:pPr>
        <w:pStyle w:val="Style4"/>
        <w:framePr w:w="8693" w:h="5885" w:hRule="exact" w:wrap="none" w:vAnchor="page" w:hAnchor="page" w:x="1782" w:y="145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1) Případné škody se řeší v souladu s Občanským zákoníkem.</w:t>
      </w:r>
    </w:p>
    <w:p>
      <w:pPr>
        <w:pStyle w:val="Style2"/>
        <w:numPr>
          <w:ilvl w:val="0"/>
          <w:numId w:val="1"/>
        </w:numPr>
        <w:framePr w:w="8693" w:h="5885" w:hRule="exact" w:wrap="none" w:vAnchor="page" w:hAnchor="page" w:x="1782" w:y="1450"/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</w:p>
    <w:p>
      <w:pPr>
        <w:pStyle w:val="Style4"/>
        <w:numPr>
          <w:ilvl w:val="0"/>
          <w:numId w:val="9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lze změnit pouze písemnou formou se souhlasem obou stran.</w:t>
      </w:r>
    </w:p>
    <w:p>
      <w:pPr>
        <w:pStyle w:val="Style4"/>
        <w:numPr>
          <w:ilvl w:val="0"/>
          <w:numId w:val="9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Stornovací podmínky:</w:t>
      </w:r>
    </w:p>
    <w:p>
      <w:pPr>
        <w:pStyle w:val="Style4"/>
        <w:numPr>
          <w:ilvl w:val="0"/>
          <w:numId w:val="11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Bude-li pobyt zrušen „Účastníkem" ve lhůtě od 100 dní před nástupem do 14 dní přednástupem, uhradí „Účastník" „Poskytovateli" 50 </w:t>
      </w:r>
      <w:r>
        <w:rPr>
          <w:rStyle w:val="CharStyle10"/>
        </w:rPr>
        <w:t>%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z ceny pobytu.</w:t>
      </w:r>
    </w:p>
    <w:p>
      <w:pPr>
        <w:pStyle w:val="Style4"/>
        <w:numPr>
          <w:ilvl w:val="0"/>
          <w:numId w:val="11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Bude-li pobyt zrušen „Účastníkem" ve lhůtě od 14 dní před nástupem do 7 dní přednástupem, uhradí „Účastník" „Poskytovateli" 75 % z ceny pobytu.</w:t>
      </w:r>
    </w:p>
    <w:p>
      <w:pPr>
        <w:pStyle w:val="Style4"/>
        <w:numPr>
          <w:ilvl w:val="0"/>
          <w:numId w:val="11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Bude-li pobyt zrušen „Účastníkem" ve lhůtě 7 dní před nástupem a kratší, uhradí „Účastník" „Poskytovateli" 85 % z ceny pobytu.</w:t>
      </w:r>
    </w:p>
    <w:p>
      <w:pPr>
        <w:pStyle w:val="Style4"/>
        <w:numPr>
          <w:ilvl w:val="0"/>
          <w:numId w:val="11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9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Bude-li pobyt zrušen „Poskytovatelem" po podpisu smlouvy a uhrazení zálohové faktury „Účastníkem", zavazuje se „Poskytovatel" vrátit „Účastníkovi" celou proplacenou částku dle vystavené zálohové faktury a to neprodleně.</w:t>
      </w:r>
    </w:p>
    <w:p>
      <w:pPr>
        <w:pStyle w:val="Style4"/>
        <w:numPr>
          <w:ilvl w:val="0"/>
          <w:numId w:val="11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9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Bude-li pobyt zrušen „Poskytovatelem" po podpisu smlouvy v období, kdy ještě nebude zálohová faktura „Účastníkem" uhrazena, nebude její uhrazení na „Účastníkovi" „Poskytovatel" vyžadovat.</w:t>
      </w:r>
    </w:p>
    <w:p>
      <w:pPr>
        <w:pStyle w:val="Style4"/>
        <w:numPr>
          <w:ilvl w:val="0"/>
          <w:numId w:val="9"/>
        </w:numPr>
        <w:framePr w:w="8693" w:h="5885" w:hRule="exact" w:wrap="none" w:vAnchor="page" w:hAnchor="page" w:x="1782" w:y="1450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Smlouvaje vyhotovena ve 2 stejnopisech, přičemž po podepsání smlouvy obdrží jedenstejnopis „Poskytovatel" a „Účastník" rovněž jeden stejnopis.</w:t>
      </w:r>
    </w:p>
    <w:p>
      <w:pPr>
        <w:pStyle w:val="Style4"/>
        <w:numPr>
          <w:ilvl w:val="0"/>
          <w:numId w:val="9"/>
        </w:numPr>
        <w:framePr w:w="8693" w:h="5885" w:hRule="exact" w:wrap="none" w:vAnchor="page" w:hAnchor="page" w:x="1782" w:y="1450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nabývá platnosti po jejím oboustranném podepsání.</w:t>
      </w:r>
    </w:p>
    <w:p>
      <w:pPr>
        <w:pStyle w:val="Style4"/>
        <w:framePr w:w="8693" w:h="1103" w:hRule="exact" w:wrap="none" w:vAnchor="page" w:hAnchor="page" w:x="1782" w:y="8892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9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David Petráš</w:t>
      </w:r>
    </w:p>
    <w:p>
      <w:pPr>
        <w:pStyle w:val="Style11"/>
        <w:framePr w:w="8693" w:h="1103" w:hRule="exact" w:wrap="none" w:vAnchor="page" w:hAnchor="page" w:x="1782" w:y="88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pStyle w:val="Style4"/>
        <w:framePr w:w="8693" w:h="1103" w:hRule="exact" w:wrap="none" w:vAnchor="page" w:hAnchor="page" w:x="1782" w:y="8892"/>
        <w:tabs>
          <w:tab w:leader="none" w:pos="53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poskytovatele</w:t>
        <w:tab/>
        <w:t>za účastníka</w:t>
      </w:r>
    </w:p>
    <w:p>
      <w:pPr>
        <w:pStyle w:val="Style4"/>
        <w:framePr w:w="8693" w:h="1103" w:hRule="exact" w:wrap="none" w:vAnchor="page" w:hAnchor="page" w:x="1782" w:y="8892"/>
        <w:tabs>
          <w:tab w:leader="none" w:pos="4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Pec pod Sněžkou dne: 04.01.2018</w:t>
        <w:tab/>
        <w:t>ZŠ a MŠ Emy Destinnové dne 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">
    <w:name w:val="Body text (2) + Bold"/>
    <w:basedOn w:val="CharStyle5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0">
    <w:name w:val="Body text (2) + Lucida Bright,10 pt,Bold,Italic"/>
    <w:basedOn w:val="CharStyle5"/>
    <w:rPr>
      <w:lang w:val="cs-CZ" w:eastAsia="cs-CZ" w:bidi="cs-CZ"/>
      <w:b/>
      <w:bCs/>
      <w:i/>
      <w:iCs/>
      <w:sz w:val="20"/>
      <w:szCs w:val="20"/>
      <w:rFonts w:ascii="Lucida Bright" w:eastAsia="Lucida Bright" w:hAnsi="Lucida Bright" w:cs="Lucida Bright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9"/>
      <w:szCs w:val="9"/>
      <w:rFonts w:ascii="Rockwell Condensed" w:eastAsia="Rockwell Condensed" w:hAnsi="Rockwell Condensed" w:cs="Rockwell Condensed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after="2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280" w:line="25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280" w:after="2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11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Rockwell Condensed" w:eastAsia="Rockwell Condensed" w:hAnsi="Rockwell Condensed" w:cs="Rockwell Condense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