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7" w:rsidRPr="00CF51C2" w:rsidRDefault="00D51427" w:rsidP="00CF51C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F51C2">
        <w:rPr>
          <w:b/>
          <w:bCs/>
          <w:sz w:val="36"/>
          <w:szCs w:val="36"/>
        </w:rPr>
        <w:t>Smlouva o dodávce tepelné energie</w:t>
      </w:r>
    </w:p>
    <w:p w:rsidR="00D51427" w:rsidRPr="004D0E31" w:rsidRDefault="00D51427" w:rsidP="00CF51C2">
      <w:pPr>
        <w:jc w:val="center"/>
        <w:rPr>
          <w:b/>
          <w:bCs/>
          <w:sz w:val="28"/>
          <w:szCs w:val="28"/>
        </w:rPr>
      </w:pPr>
      <w:r w:rsidRPr="004D0E31">
        <w:rPr>
          <w:b/>
          <w:bCs/>
          <w:sz w:val="28"/>
          <w:szCs w:val="28"/>
        </w:rPr>
        <w:t>č.1/2017</w:t>
      </w:r>
    </w:p>
    <w:p w:rsidR="00D51427" w:rsidRDefault="00D51427" w:rsidP="00CF51C2">
      <w:pPr>
        <w:spacing w:before="120" w:line="23" w:lineRule="atLeast"/>
        <w:ind w:right="260"/>
        <w:jc w:val="center"/>
      </w:pPr>
      <w:r w:rsidRPr="00A04DA3">
        <w:t>podle § 76 odst. 3 zákona č. 458/2000 Sb., (dále jen „energetický zákon“)</w:t>
      </w:r>
    </w:p>
    <w:p w:rsidR="00D51427" w:rsidRDefault="00D51427" w:rsidP="00CF51C2">
      <w:pPr>
        <w:spacing w:before="120" w:line="23" w:lineRule="atLeast"/>
        <w:ind w:right="260"/>
        <w:jc w:val="center"/>
      </w:pPr>
    </w:p>
    <w:p w:rsidR="00D51427" w:rsidRPr="00A04DA3" w:rsidRDefault="00D51427" w:rsidP="00CF51C2">
      <w:pPr>
        <w:spacing w:before="120" w:line="23" w:lineRule="atLeast"/>
        <w:ind w:right="260"/>
        <w:jc w:val="center"/>
      </w:pPr>
    </w:p>
    <w:p w:rsidR="00D51427" w:rsidRPr="00A04DA3" w:rsidRDefault="00D51427" w:rsidP="00715885">
      <w:pPr>
        <w:pStyle w:val="Heading2"/>
      </w:pPr>
      <w:r w:rsidRPr="00A04DA3">
        <w:t>Smluvní strany</w:t>
      </w:r>
    </w:p>
    <w:p w:rsidR="00D51427" w:rsidRPr="00A04DA3" w:rsidRDefault="00D51427" w:rsidP="009E6DBF">
      <w:pPr>
        <w:numPr>
          <w:ilvl w:val="0"/>
          <w:numId w:val="1"/>
        </w:numPr>
        <w:tabs>
          <w:tab w:val="left" w:pos="284"/>
        </w:tabs>
        <w:spacing w:before="120" w:line="23" w:lineRule="atLeast"/>
      </w:pPr>
      <w:r>
        <w:rPr>
          <w:b/>
          <w:bCs/>
        </w:rPr>
        <w:t>Správa sportovišť Kopřivnice, příspěvková organizace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>se sídlem:</w:t>
      </w:r>
      <w:r w:rsidRPr="00A04DA3">
        <w:tab/>
      </w:r>
      <w:r w:rsidRPr="00A04DA3">
        <w:tab/>
        <w:t xml:space="preserve">Kopřivnice, </w:t>
      </w:r>
      <w:r>
        <w:t>Masarykovo nám. 540</w:t>
      </w:r>
      <w:r w:rsidRPr="00A04DA3">
        <w:t>, PSČ 742 21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>zastoupená:</w:t>
      </w:r>
      <w:r w:rsidRPr="00A04DA3">
        <w:tab/>
        <w:t xml:space="preserve">Ing. </w:t>
      </w:r>
      <w:r>
        <w:t>Milanem Gilarem, ředitelem</w:t>
      </w:r>
    </w:p>
    <w:p w:rsidR="00D51427" w:rsidRDefault="00D51427" w:rsidP="00B3682B">
      <w:pPr>
        <w:spacing w:before="60" w:line="23" w:lineRule="atLeast"/>
        <w:ind w:left="284" w:right="-34"/>
      </w:pPr>
      <w:r w:rsidRPr="00A04DA3">
        <w:t>držitel licence k podnikání ve smyslu energetického zákona, skupina 32 – rozvod tepelné energie, číslo udělené licence 320</w:t>
      </w:r>
      <w:r>
        <w:t>101168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>IČ:</w:t>
      </w:r>
      <w:r w:rsidRPr="00A04DA3">
        <w:tab/>
      </w:r>
      <w:r>
        <w:t>62331078</w:t>
      </w:r>
      <w:r w:rsidRPr="00A04DA3">
        <w:tab/>
      </w:r>
      <w:r w:rsidRPr="00A04DA3">
        <w:tab/>
        <w:t>DIČ:</w:t>
      </w:r>
      <w:r w:rsidRPr="00A04DA3">
        <w:tab/>
        <w:t xml:space="preserve">CZ </w:t>
      </w:r>
      <w:r>
        <w:t>62331078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>bankovní spojení:</w:t>
      </w:r>
      <w:r w:rsidRPr="00A04DA3">
        <w:tab/>
        <w:t xml:space="preserve">Česká spořitelna a.s. 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 xml:space="preserve">č. účtu:  </w:t>
      </w:r>
      <w:r>
        <w:tab/>
      </w:r>
      <w:r>
        <w:tab/>
      </w:r>
      <w:r>
        <w:tab/>
      </w:r>
      <w:r w:rsidRPr="00A04DA3">
        <w:t>17</w:t>
      </w:r>
      <w:r>
        <w:t>68246369</w:t>
      </w:r>
      <w:r w:rsidRPr="00A04DA3">
        <w:t xml:space="preserve"> / 0800</w:t>
      </w:r>
    </w:p>
    <w:p w:rsidR="00D51427" w:rsidRPr="00A04DA3" w:rsidRDefault="00D51427" w:rsidP="00B3682B">
      <w:pPr>
        <w:spacing w:before="60" w:line="23" w:lineRule="atLeast"/>
        <w:ind w:left="284" w:right="-34"/>
      </w:pPr>
      <w:r w:rsidRPr="00A04DA3">
        <w:t>telefonní spojení:</w:t>
      </w:r>
      <w:r w:rsidRPr="00A04DA3">
        <w:tab/>
      </w:r>
      <w:r>
        <w:tab/>
      </w:r>
      <w:r w:rsidRPr="00A04DA3">
        <w:t>+420 556</w:t>
      </w:r>
      <w:r>
        <w:t> 821 225</w:t>
      </w:r>
    </w:p>
    <w:p w:rsidR="00D51427" w:rsidRPr="003D0F14" w:rsidRDefault="00D51427" w:rsidP="00B3682B">
      <w:pPr>
        <w:spacing w:before="60" w:line="23" w:lineRule="atLeast"/>
        <w:ind w:left="284" w:right="-34"/>
        <w:rPr>
          <w:bCs/>
        </w:rPr>
      </w:pPr>
      <w:r w:rsidRPr="003D0F14">
        <w:rPr>
          <w:bCs/>
        </w:rPr>
        <w:t>E-mail:</w:t>
      </w:r>
      <w:r w:rsidRPr="003D0F14">
        <w:rPr>
          <w:bCs/>
        </w:rPr>
        <w:tab/>
        <w:t>zimak@koprivnice.org</w:t>
      </w:r>
      <w:r w:rsidRPr="003D0F14">
        <w:rPr>
          <w:bCs/>
        </w:rPr>
        <w:tab/>
      </w:r>
    </w:p>
    <w:p w:rsidR="00D51427" w:rsidRPr="00E876DB" w:rsidRDefault="00D51427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„dodavatel“)</w:t>
      </w:r>
    </w:p>
    <w:p w:rsidR="00D51427" w:rsidRDefault="00D51427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51427" w:rsidRDefault="00D51427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51427" w:rsidRDefault="00D51427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D51427" w:rsidRPr="00A04DA3" w:rsidRDefault="00D51427" w:rsidP="00851B86">
      <w:pPr>
        <w:tabs>
          <w:tab w:val="left" w:pos="284"/>
        </w:tabs>
        <w:spacing w:before="120" w:line="23" w:lineRule="atLeast"/>
        <w:rPr>
          <w:b/>
          <w:bCs/>
        </w:rPr>
      </w:pPr>
      <w:r>
        <w:rPr>
          <w:b/>
          <w:bCs/>
          <w:noProof/>
        </w:rPr>
        <w:t>2.</w:t>
      </w:r>
      <w:r w:rsidRPr="004C54D1">
        <w:rPr>
          <w:b/>
          <w:bCs/>
          <w:noProof/>
        </w:rPr>
        <w:t>Středisko sociálních služeb města Kopřivnice, příspěvková organizace</w:t>
      </w:r>
    </w:p>
    <w:p w:rsidR="00D51427" w:rsidRPr="00CF51C2" w:rsidRDefault="00D51427" w:rsidP="009F66D4">
      <w:pPr>
        <w:spacing w:before="120" w:line="23" w:lineRule="atLeast"/>
        <w:ind w:right="700" w:firstLine="284"/>
      </w:pPr>
      <w:r w:rsidRPr="00CF51C2">
        <w:t xml:space="preserve">se sídlem: </w:t>
      </w:r>
      <w:r w:rsidRPr="00CF51C2">
        <w:tab/>
      </w:r>
      <w:r w:rsidRPr="004C54D1">
        <w:rPr>
          <w:noProof/>
        </w:rPr>
        <w:t>Česká 320</w:t>
      </w:r>
      <w:r w:rsidRPr="00CF51C2">
        <w:t xml:space="preserve">, </w:t>
      </w:r>
      <w:r w:rsidRPr="004C54D1">
        <w:rPr>
          <w:noProof/>
        </w:rPr>
        <w:t>Kopřivnice</w:t>
      </w:r>
      <w:r w:rsidRPr="00CF51C2">
        <w:t xml:space="preserve">, </w:t>
      </w:r>
      <w:r w:rsidRPr="004C54D1">
        <w:rPr>
          <w:noProof/>
        </w:rPr>
        <w:t>742 21</w:t>
      </w:r>
    </w:p>
    <w:p w:rsidR="00D51427" w:rsidRPr="00CF51C2" w:rsidRDefault="00D51427" w:rsidP="009F66D4">
      <w:pPr>
        <w:spacing w:before="120" w:line="23" w:lineRule="atLeast"/>
        <w:ind w:right="700" w:firstLine="284"/>
      </w:pPr>
      <w:r w:rsidRPr="00CF51C2">
        <w:t xml:space="preserve">zastoupená: </w:t>
      </w:r>
      <w:r w:rsidRPr="00CF51C2">
        <w:tab/>
      </w:r>
      <w:r w:rsidRPr="004C54D1">
        <w:rPr>
          <w:noProof/>
        </w:rPr>
        <w:t>Ing. Eva Mündleinová</w:t>
      </w:r>
      <w:r w:rsidRPr="00CF51C2">
        <w:t xml:space="preserve">, </w:t>
      </w:r>
      <w:r w:rsidRPr="004C54D1">
        <w:rPr>
          <w:noProof/>
        </w:rPr>
        <w:t>ředitelka</w:t>
      </w:r>
    </w:p>
    <w:p w:rsidR="00D51427" w:rsidRPr="00CF51C2" w:rsidRDefault="00D51427" w:rsidP="00537F8F">
      <w:pPr>
        <w:spacing w:before="120" w:line="23" w:lineRule="atLeast"/>
        <w:ind w:left="284" w:right="700"/>
      </w:pPr>
      <w:r>
        <w:t>zřízená zastupitelstvem města Kopřivnice</w:t>
      </w:r>
      <w:r w:rsidRPr="00CF51C2">
        <w:t>.</w:t>
      </w:r>
    </w:p>
    <w:p w:rsidR="00D51427" w:rsidRPr="00CF51C2" w:rsidRDefault="00D51427" w:rsidP="00EB62BE">
      <w:pPr>
        <w:spacing w:before="120" w:line="23" w:lineRule="atLeast"/>
        <w:ind w:right="700" w:firstLine="284"/>
      </w:pPr>
      <w:r w:rsidRPr="00CF51C2">
        <w:t>IČ:</w:t>
      </w:r>
      <w:r w:rsidRPr="00CF51C2">
        <w:tab/>
      </w:r>
      <w:r w:rsidRPr="004C54D1">
        <w:rPr>
          <w:noProof/>
        </w:rPr>
        <w:t>60798891</w:t>
      </w:r>
      <w:r w:rsidRPr="00CF51C2">
        <w:tab/>
      </w:r>
      <w:r w:rsidRPr="00CF51C2">
        <w:tab/>
        <w:t>DIČ:</w:t>
      </w:r>
      <w:r w:rsidRPr="00CF51C2">
        <w:tab/>
      </w:r>
      <w:r>
        <w:t>CZ 60798891</w:t>
      </w:r>
    </w:p>
    <w:p w:rsidR="00D51427" w:rsidRPr="00CF51C2" w:rsidRDefault="00D51427" w:rsidP="00EB62BE">
      <w:pPr>
        <w:spacing w:before="120" w:line="23" w:lineRule="atLeast"/>
        <w:ind w:right="700" w:firstLine="284"/>
      </w:pPr>
      <w:r w:rsidRPr="00CF51C2">
        <w:t>bankovní spojení:</w:t>
      </w:r>
      <w:r w:rsidRPr="00CF51C2">
        <w:tab/>
      </w:r>
      <w:r w:rsidRPr="004C54D1">
        <w:rPr>
          <w:noProof/>
        </w:rPr>
        <w:t>Komerční banka, a.s.</w:t>
      </w:r>
      <w:r>
        <w:t xml:space="preserve">  </w:t>
      </w:r>
      <w:r w:rsidRPr="00CF51C2">
        <w:t xml:space="preserve">č. účtu: </w:t>
      </w:r>
      <w:r w:rsidRPr="004C54D1">
        <w:rPr>
          <w:noProof/>
        </w:rPr>
        <w:t>9522130217 / 0100</w:t>
      </w:r>
    </w:p>
    <w:p w:rsidR="00D51427" w:rsidRPr="00CF51C2" w:rsidRDefault="00D51427" w:rsidP="00EB62BE">
      <w:pPr>
        <w:spacing w:before="120" w:line="23" w:lineRule="atLeast"/>
        <w:ind w:right="700" w:firstLine="284"/>
      </w:pPr>
      <w:r w:rsidRPr="00CF51C2">
        <w:t>telefonní spojení:</w:t>
      </w:r>
      <w:r w:rsidRPr="00CF51C2">
        <w:tab/>
      </w:r>
      <w:r>
        <w:tab/>
      </w:r>
      <w:r w:rsidRPr="004C54D1">
        <w:rPr>
          <w:noProof/>
        </w:rPr>
        <w:t>556 821 283,  556 802 305 ústř.</w:t>
      </w:r>
    </w:p>
    <w:p w:rsidR="00D51427" w:rsidRPr="00CF51C2" w:rsidRDefault="00D51427" w:rsidP="00EB62BE">
      <w:pPr>
        <w:spacing w:before="120" w:line="23" w:lineRule="atLeast"/>
        <w:ind w:right="700" w:firstLine="284"/>
      </w:pPr>
      <w:r w:rsidRPr="00CF51C2">
        <w:t>E-mail:</w:t>
      </w:r>
      <w:r w:rsidRPr="00CF51C2">
        <w:tab/>
      </w:r>
      <w:r w:rsidRPr="00CF51C2">
        <w:tab/>
      </w:r>
      <w:r>
        <w:tab/>
      </w:r>
      <w:r w:rsidRPr="00CF51C2">
        <w:t xml:space="preserve"> </w:t>
      </w:r>
      <w:r>
        <w:t>reditel@sssmk.cz</w:t>
      </w:r>
      <w:r w:rsidRPr="00CF51C2">
        <w:tab/>
      </w:r>
      <w:r w:rsidRPr="00CF51C2">
        <w:tab/>
      </w:r>
    </w:p>
    <w:p w:rsidR="00D51427" w:rsidRPr="00E876DB" w:rsidRDefault="00D51427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„odběratel“)</w:t>
      </w:r>
    </w:p>
    <w:p w:rsidR="00D51427" w:rsidRPr="00A04DA3" w:rsidRDefault="00D51427" w:rsidP="009F66D4">
      <w:pPr>
        <w:pStyle w:val="Zkladntext21"/>
        <w:shd w:val="clear" w:color="auto" w:fill="auto"/>
        <w:spacing w:before="120" w:line="23" w:lineRule="atLeast"/>
        <w:ind w:left="284"/>
        <w:rPr>
          <w:rFonts w:ascii="Arial" w:hAnsi="Arial" w:cs="Arial"/>
        </w:rPr>
      </w:pPr>
    </w:p>
    <w:p w:rsidR="00D51427" w:rsidRPr="00A04DA3" w:rsidRDefault="00D51427" w:rsidP="009164C3">
      <w:pPr>
        <w:jc w:val="both"/>
      </w:pPr>
    </w:p>
    <w:p w:rsidR="00D51427" w:rsidRDefault="00D51427" w:rsidP="003D0F14">
      <w:pPr>
        <w:pStyle w:val="Heading2"/>
        <w:numPr>
          <w:ilvl w:val="0"/>
          <w:numId w:val="0"/>
        </w:numPr>
      </w:pPr>
    </w:p>
    <w:p w:rsidR="00D51427" w:rsidRDefault="00D51427" w:rsidP="003D0F14">
      <w:pPr>
        <w:pStyle w:val="Heading2"/>
        <w:numPr>
          <w:ilvl w:val="0"/>
          <w:numId w:val="0"/>
        </w:numPr>
      </w:pPr>
    </w:p>
    <w:p w:rsidR="00D51427" w:rsidRDefault="00D51427" w:rsidP="003D0F14">
      <w:pPr>
        <w:pStyle w:val="Heading2"/>
        <w:numPr>
          <w:ilvl w:val="0"/>
          <w:numId w:val="0"/>
        </w:numPr>
      </w:pPr>
    </w:p>
    <w:p w:rsidR="00D51427" w:rsidRPr="00A04DA3" w:rsidRDefault="00D51427" w:rsidP="003D0F14">
      <w:pPr>
        <w:pStyle w:val="Heading2"/>
        <w:numPr>
          <w:ilvl w:val="0"/>
          <w:numId w:val="0"/>
        </w:numPr>
      </w:pPr>
      <w:r w:rsidRPr="003D0F14">
        <w:rPr>
          <w:b w:val="0"/>
        </w:rPr>
        <w:t>Článek 2.</w:t>
      </w:r>
      <w:r>
        <w:t xml:space="preserve">  </w:t>
      </w:r>
      <w:r w:rsidRPr="00A04DA3">
        <w:t>Předmět smlouvy</w:t>
      </w:r>
    </w:p>
    <w:p w:rsidR="00D51427" w:rsidRPr="00A04DA3" w:rsidRDefault="00D51427" w:rsidP="009E6DBF">
      <w:pPr>
        <w:spacing w:before="120" w:line="23" w:lineRule="atLeast"/>
        <w:ind w:left="20" w:right="20"/>
        <w:jc w:val="both"/>
      </w:pPr>
      <w:r w:rsidRPr="00A04DA3">
        <w:t>Předmětem této smlouvy je závazek dodavatele dodávat tepelnou energii ze svého zařízení do odběrného místa odběratele v souladu s touto smlouvou a závazek odběratele zaplatit za dodanou tepelnou energii cenu za podmínek uvedených v této smlouvě.</w:t>
      </w:r>
    </w:p>
    <w:p w:rsidR="00D51427" w:rsidRPr="00A04DA3" w:rsidRDefault="00D51427" w:rsidP="003D0F14">
      <w:pPr>
        <w:pStyle w:val="Heading2"/>
        <w:numPr>
          <w:ilvl w:val="0"/>
          <w:numId w:val="0"/>
        </w:numPr>
      </w:pPr>
      <w:r w:rsidRPr="00A04DA3">
        <w:t>Charakter a pravidla dodávky tepelné energie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Základní parametry dodávané a vrácené teplonosné látky a další údaje jsou uvedeny v příloze č. 1 „Technické parametry odběrného místa“.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Teplonosná látka je ve vlastnictví dodavatele a odběratel je povinen teplonosnou látku vracet, pokud se smluvní strany nedohodnou jinak.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se zavazuje zabezpečit dodávky tepelné energie v závislosti na venkovní teplotě s dodržením parametrů a obecných pravidel danými závaznými právními předpisy a technickými normami platnými v době plnění.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oprávněn omezit či přerušit dodávku tepelné energie pouze z důvodů vymezených v § 76 odst. 4 energetického zákona a je povinen: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(písemně, osobně, telefonem, faxem, e-mailem nebo jinak) odběrateli alespoň 15 dní předem plánované odstávky rozvodných tepelných zařízení pro nutné provádění plánovaných stavebních úprav, oprav, údržbových a revizních prací a při připojování nového odběrného místa podle § 76 odst. 4 písm. c) energetického zákona;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odběrateli, že mu bude či již byla omezena či přerušena dodávka tepelné energie z důvodů uvedených v § 76 odst. 4 písm. i) energetického zákona.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 přerušení dodávek tepla (písemně, osobně, telefonem, faxem, e-mailem nebo jinak) při provozních nehodách, haváriích a poruchách, a to bez zbytečného prodlení po jejich zjištění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má právo omezit nebo přerušit odběr tepelné energie z důvodu nutných zásahů do vnitřních rozvodů tepla v objektu (oprava, rekonstrukce), zavazuje se však o této skutečnosti bez zbytečného odkladu vyrozumět dodavatele na adresu jeho sídla nebo na kontaktní adresu, uvedenou ve smlouvě, a to: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plánovaném omezení nebo přerušení dodávek tepelné energie, a to minimálně 15 dní předem s udáním doby trvání přerušení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neplánovaném omezení nebo přerušení způsobeném technickou závadou, která umožní pokračovat v dodávce, a to minimálně 2 dny před přerušením s udáním doby trvání přerušení.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 xml:space="preserve">jakýmkoliv dostupným způsobem (osobně, telefonem, faxem, e-mailem nebo jinak) při provozních nehodách, haváriích a poruchách, a to bez zbytečného prodlení po jejich zjištění. 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nesmí bez předchozího souhlasu dodavatele k odběrnému tepelnému zařízení připojit nového odběratele.</w:t>
      </w:r>
    </w:p>
    <w:p w:rsidR="00D51427" w:rsidRPr="00A04DA3" w:rsidRDefault="00D51427" w:rsidP="003D0F14">
      <w:pPr>
        <w:pStyle w:val="Heading2"/>
        <w:numPr>
          <w:ilvl w:val="0"/>
          <w:numId w:val="0"/>
        </w:numPr>
      </w:pPr>
      <w:r w:rsidRPr="00A04DA3">
        <w:t>Místo předání, místo a způsob měření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na svůj náklad osadit, zapojit, udržovat a pravidelně ověřovat správnost měření.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dodávku tepelné energie měřit, vyhodnocovat a účtovat podle údajů vlastního měřícího zařízení.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Smluvní strany se dohodly na tomto způsobu a pravidlech přístupu k měřidlům a tepelnému zařízení dodavatele 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dodavatel je povinen umožnit odběrateli kontrolní odečty měřidel tepelné energie za účelem ověření správnosti naměřených hodnot a dále kontrolu zařízení předávací stanice pověřenými zástupci odběratele, včetně zajištění přístupu k příslušným zařízením.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Má-li odběratel pochybnost o správnosti údajů měření nebo zjistí-li závadu na měřících zařízeních, má právo požadovat jejich přezkoušení, přičemž obě smluvní strany musí postupovat v souladu s § 78 odst. 2 energetického zákona.</w:t>
      </w:r>
    </w:p>
    <w:p w:rsidR="00D51427" w:rsidRPr="00A04DA3" w:rsidRDefault="00D51427" w:rsidP="00715885">
      <w:pPr>
        <w:pStyle w:val="Heading2"/>
      </w:pPr>
      <w:r w:rsidRPr="00A04DA3">
        <w:t>Výše ceny a platební podmínky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splatnými cenovými rozhodnutími Energetického regulačního úřadu k cenám tepelné energie a v souladu se zákonem č. 526/1990 Sb., o cenách, ve znění pozdějších předpisů.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energie, termíny a způsob platby za odebranou tepelnou energii je obsahem přílohy č. 2 „</w:t>
      </w:r>
      <w:r w:rsidRPr="00A61F91">
        <w:t>Dohoda o ceně a platebních podmínkách</w:t>
      </w:r>
      <w:r w:rsidRPr="00A04DA3">
        <w:t>“.</w:t>
      </w:r>
    </w:p>
    <w:p w:rsidR="00D51427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zaplatit dodavateli za dodávku tepelné energie na účet dodavatele řádně a včas.</w:t>
      </w:r>
    </w:p>
    <w:p w:rsidR="00D51427" w:rsidRDefault="00D51427" w:rsidP="002B2A80">
      <w:pPr>
        <w:widowControl/>
        <w:spacing w:before="120" w:after="120"/>
        <w:jc w:val="both"/>
      </w:pPr>
    </w:p>
    <w:p w:rsidR="00D51427" w:rsidRDefault="00D51427" w:rsidP="002B2A80">
      <w:pPr>
        <w:widowControl/>
        <w:spacing w:before="120" w:after="120"/>
        <w:jc w:val="both"/>
      </w:pPr>
    </w:p>
    <w:p w:rsidR="00D51427" w:rsidRPr="00A04DA3" w:rsidRDefault="00D51427" w:rsidP="002B2A80">
      <w:pPr>
        <w:widowControl/>
        <w:spacing w:before="120" w:after="120"/>
        <w:jc w:val="both"/>
      </w:pPr>
    </w:p>
    <w:p w:rsidR="00D51427" w:rsidRPr="00A04DA3" w:rsidRDefault="00D51427" w:rsidP="00715885">
      <w:pPr>
        <w:pStyle w:val="Heading2"/>
      </w:pPr>
      <w:r w:rsidRPr="00A04DA3">
        <w:t>Doba trvání smlouvy a způsoby jejího ukončení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Smlouva je platná od </w:t>
      </w:r>
      <w:r>
        <w:t>1</w:t>
      </w:r>
      <w:r>
        <w:rPr>
          <w:noProof/>
        </w:rPr>
        <w:t>. 1. 2017</w:t>
      </w:r>
      <w:r w:rsidRPr="00A04DA3">
        <w:t>.</w:t>
      </w:r>
      <w:r>
        <w:t xml:space="preserve"> 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se uzavírá na dobu neurčitou.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může být ukončena: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dohodou obou smluvních stran, a to ke dni uvedeném v této dohodě,</w:t>
      </w:r>
    </w:p>
    <w:p w:rsidR="00D51427" w:rsidRPr="00A04DA3" w:rsidRDefault="00D51427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výpovědí ze strany odběratele s 6 (šesti) měsíční výpovědní lhůtou, která začíná od prvního dne měsíce následujícího po doručení výpovědi druhé smluvní straně.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K datu ukončení smluvního vztahu se obě strany zavazují vyrovnat vzájemně své závazky a pohledávky.</w:t>
      </w:r>
    </w:p>
    <w:p w:rsidR="00D51427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zániku jedné ze smluvních stran přechází práva a povinnosti sjednané v této smlouvě v plném rozsahu na právního nástupce, nedohodnou-li se smluvní strany před zánikem jinak.</w:t>
      </w:r>
    </w:p>
    <w:p w:rsidR="00D51427" w:rsidRPr="00A04DA3" w:rsidRDefault="00D51427" w:rsidP="00715885">
      <w:pPr>
        <w:pStyle w:val="Heading2"/>
      </w:pPr>
      <w:r w:rsidRPr="00A04DA3">
        <w:t>Ostatní a závěrečná ujednání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vztahy mezi smluvními stranami se řídí českým právním řádem. Tato smlouva podléhá režimu energetického zákona.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Ustanovení, zde výslovně neupravené, se řídí právní úpravou závazků a úpravou smluvních typů jím nejbližších podle zákona č. 89/2012 Sb., občanský zákoník, ve znění pozdějších předpisů, pokud z energetického zákona nebo povahy věci nevyplývá něco jiného.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Jakákoli změna smluvních podmínek, dohodnutých touto smlouvou včetně příloh, může být provedena pouze formou písemného oboustranně odsouhlaseného dodatku.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Smlouva je sepsána ve dvou vyhotoveních, z nichž jedno vyhotovení obdrží dodavatel a jedno vyhotovení obdrží odběratel.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strany svými podpisy potvrzují, že smlouvu uzavřely dobrovolně a vážně, určitě a srozumitelně podle své pravé a svobodné vůle, nikoliv v tísni nebo za nápadně nevýhodných podmínek.</w:t>
      </w:r>
    </w:p>
    <w:p w:rsidR="00D51427" w:rsidRPr="00A04DA3" w:rsidRDefault="00D51427" w:rsidP="00715885">
      <w:pPr>
        <w:pStyle w:val="Heading2"/>
      </w:pPr>
      <w:r w:rsidRPr="00A04DA3">
        <w:t>Přílohy</w:t>
      </w:r>
    </w:p>
    <w:p w:rsidR="00D51427" w:rsidRPr="00A04DA3" w:rsidRDefault="00D51427" w:rsidP="009E6DBF">
      <w:pPr>
        <w:spacing w:before="120" w:line="23" w:lineRule="atLeast"/>
        <w:ind w:left="20"/>
        <w:jc w:val="both"/>
      </w:pPr>
      <w:r w:rsidRPr="00A04DA3">
        <w:t>Nedílnou součástí této smlouvy jsou přílohy:</w:t>
      </w:r>
    </w:p>
    <w:p w:rsidR="00D51427" w:rsidRPr="00A04DA3" w:rsidRDefault="00D51427" w:rsidP="009E6DBF">
      <w:pPr>
        <w:spacing w:before="120" w:line="23" w:lineRule="atLeast"/>
        <w:ind w:left="20"/>
        <w:jc w:val="both"/>
      </w:pPr>
      <w:r w:rsidRPr="00A04DA3">
        <w:t>Příloha č. 1: Technické parametry odběrného místa</w:t>
      </w:r>
    </w:p>
    <w:p w:rsidR="00D51427" w:rsidRDefault="00D51427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Style w:val="Zkladntext3Nekurzva"/>
          <w:rFonts w:ascii="Arial" w:hAnsi="Arial" w:cs="Arial"/>
          <w:sz w:val="24"/>
          <w:szCs w:val="24"/>
          <w:lang w:eastAsia="cs-CZ"/>
        </w:rPr>
      </w:pPr>
      <w:r w:rsidRPr="00A04DA3">
        <w:rPr>
          <w:rStyle w:val="Zkladntext3Nekurzva"/>
          <w:rFonts w:ascii="Arial" w:hAnsi="Arial" w:cs="Arial"/>
          <w:sz w:val="24"/>
          <w:szCs w:val="24"/>
          <w:lang w:eastAsia="cs-CZ"/>
        </w:rPr>
        <w:t xml:space="preserve">Příloha č. 2: </w:t>
      </w:r>
      <w:r w:rsidRPr="00A61F91">
        <w:rPr>
          <w:rStyle w:val="Zkladntext3Nekurzva"/>
          <w:rFonts w:ascii="Arial" w:hAnsi="Arial" w:cs="Arial"/>
          <w:sz w:val="24"/>
          <w:szCs w:val="24"/>
          <w:lang w:eastAsia="cs-CZ"/>
        </w:rPr>
        <w:t>Dohoda o ceně a platebních podmínkách</w:t>
      </w:r>
    </w:p>
    <w:p w:rsidR="00D51427" w:rsidRPr="00A04DA3" w:rsidRDefault="00D51427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Fonts w:ascii="Arial" w:hAnsi="Arial" w:cs="Arial"/>
          <w:sz w:val="24"/>
          <w:szCs w:val="24"/>
        </w:rPr>
      </w:pPr>
    </w:p>
    <w:p w:rsidR="00D51427" w:rsidRDefault="00D51427" w:rsidP="009E6DBF">
      <w:pPr>
        <w:spacing w:before="120" w:line="23" w:lineRule="atLeast"/>
        <w:ind w:left="20" w:right="4360"/>
      </w:pPr>
    </w:p>
    <w:p w:rsidR="00D51427" w:rsidRDefault="00D51427" w:rsidP="009E6DBF">
      <w:pPr>
        <w:spacing w:before="120" w:line="23" w:lineRule="atLeast"/>
        <w:ind w:left="20" w:right="4360"/>
      </w:pPr>
    </w:p>
    <w:p w:rsidR="00D51427" w:rsidRPr="00A04DA3" w:rsidRDefault="00D51427" w:rsidP="009E6DBF">
      <w:pPr>
        <w:spacing w:before="120" w:line="23" w:lineRule="atLeast"/>
        <w:ind w:left="20" w:right="4360"/>
      </w:pPr>
    </w:p>
    <w:tbl>
      <w:tblPr>
        <w:tblW w:w="0" w:type="auto"/>
        <w:tblLook w:val="01E0"/>
      </w:tblPr>
      <w:tblGrid>
        <w:gridCol w:w="3315"/>
        <w:gridCol w:w="2998"/>
        <w:gridCol w:w="3163"/>
      </w:tblGrid>
      <w:tr w:rsidR="00D51427" w:rsidRPr="00A04DA3">
        <w:tc>
          <w:tcPr>
            <w:tcW w:w="3315" w:type="dxa"/>
          </w:tcPr>
          <w:p w:rsidR="00D51427" w:rsidRPr="00A04DA3" w:rsidRDefault="00D51427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998" w:type="dxa"/>
          </w:tcPr>
          <w:p w:rsidR="00D51427" w:rsidRPr="00A04DA3" w:rsidRDefault="00D51427" w:rsidP="001377D1"/>
        </w:tc>
        <w:tc>
          <w:tcPr>
            <w:tcW w:w="3163" w:type="dxa"/>
          </w:tcPr>
          <w:p w:rsidR="00D51427" w:rsidRPr="00A04DA3" w:rsidRDefault="00D51427" w:rsidP="001377D1"/>
        </w:tc>
      </w:tr>
      <w:tr w:rsidR="00D51427" w:rsidRPr="00A04DA3">
        <w:trPr>
          <w:trHeight w:val="480"/>
        </w:trPr>
        <w:tc>
          <w:tcPr>
            <w:tcW w:w="3315" w:type="dxa"/>
            <w:vAlign w:val="bottom"/>
          </w:tcPr>
          <w:p w:rsidR="00D51427" w:rsidRPr="00A04DA3" w:rsidRDefault="00D51427" w:rsidP="00A344B4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998" w:type="dxa"/>
            <w:vAlign w:val="bottom"/>
          </w:tcPr>
          <w:p w:rsidR="00D51427" w:rsidRPr="00A04DA3" w:rsidRDefault="00D51427" w:rsidP="001377D1"/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</w:p>
        </w:tc>
      </w:tr>
      <w:tr w:rsidR="00D51427" w:rsidRPr="00A04DA3">
        <w:trPr>
          <w:trHeight w:val="839"/>
        </w:trPr>
        <w:tc>
          <w:tcPr>
            <w:tcW w:w="3315" w:type="dxa"/>
            <w:vAlign w:val="bottom"/>
          </w:tcPr>
          <w:p w:rsidR="00D51427" w:rsidRPr="00A04DA3" w:rsidRDefault="00D51427" w:rsidP="001377D1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998" w:type="dxa"/>
            <w:vAlign w:val="bottom"/>
          </w:tcPr>
          <w:p w:rsidR="00D51427" w:rsidRPr="00A04DA3" w:rsidRDefault="00D51427" w:rsidP="001377D1">
            <w:r>
              <w:t>ředitel</w:t>
            </w:r>
          </w:p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51427" w:rsidRPr="00A04DA3">
        <w:trPr>
          <w:trHeight w:val="322"/>
        </w:trPr>
        <w:tc>
          <w:tcPr>
            <w:tcW w:w="3315" w:type="dxa"/>
            <w:vAlign w:val="bottom"/>
          </w:tcPr>
          <w:p w:rsidR="00D51427" w:rsidRPr="00A04DA3" w:rsidRDefault="00D51427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D51427" w:rsidRPr="00A04DA3" w:rsidRDefault="00D51427" w:rsidP="001377D1"/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</w:p>
        </w:tc>
      </w:tr>
      <w:tr w:rsidR="00D51427" w:rsidRPr="00A04DA3">
        <w:tc>
          <w:tcPr>
            <w:tcW w:w="3315" w:type="dxa"/>
          </w:tcPr>
          <w:p w:rsidR="00D51427" w:rsidRPr="00A04DA3" w:rsidRDefault="00D51427" w:rsidP="001377D1"/>
        </w:tc>
        <w:tc>
          <w:tcPr>
            <w:tcW w:w="2998" w:type="dxa"/>
          </w:tcPr>
          <w:p w:rsidR="00D51427" w:rsidRPr="00A04DA3" w:rsidRDefault="00D51427" w:rsidP="001377D1"/>
        </w:tc>
        <w:tc>
          <w:tcPr>
            <w:tcW w:w="3163" w:type="dxa"/>
          </w:tcPr>
          <w:p w:rsidR="00D51427" w:rsidRPr="00A04DA3" w:rsidRDefault="00D51427" w:rsidP="001377D1"/>
        </w:tc>
      </w:tr>
      <w:tr w:rsidR="00D51427" w:rsidRPr="00A04DA3">
        <w:tc>
          <w:tcPr>
            <w:tcW w:w="3315" w:type="dxa"/>
          </w:tcPr>
          <w:p w:rsidR="00D51427" w:rsidRPr="00A04DA3" w:rsidRDefault="00D51427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998" w:type="dxa"/>
          </w:tcPr>
          <w:p w:rsidR="00D51427" w:rsidRPr="00A04DA3" w:rsidRDefault="00D51427" w:rsidP="001377D1"/>
        </w:tc>
        <w:tc>
          <w:tcPr>
            <w:tcW w:w="3163" w:type="dxa"/>
          </w:tcPr>
          <w:p w:rsidR="00D51427" w:rsidRPr="00A04DA3" w:rsidRDefault="00D51427" w:rsidP="001377D1"/>
        </w:tc>
      </w:tr>
      <w:tr w:rsidR="00D51427" w:rsidRPr="00A04DA3">
        <w:trPr>
          <w:trHeight w:val="686"/>
        </w:trPr>
        <w:tc>
          <w:tcPr>
            <w:tcW w:w="3315" w:type="dxa"/>
            <w:vAlign w:val="bottom"/>
          </w:tcPr>
          <w:p w:rsidR="00D51427" w:rsidRPr="00A04DA3" w:rsidRDefault="00D51427" w:rsidP="00A344B4">
            <w:r w:rsidRPr="00A04DA3">
              <w:t xml:space="preserve">V </w:t>
            </w:r>
            <w:r w:rsidRPr="00A04DA3">
              <w:rPr>
                <w:color w:val="C0C0C0"/>
              </w:rPr>
              <w:t>……</w:t>
            </w:r>
            <w:r>
              <w:rPr>
                <w:color w:val="C0C0C0"/>
              </w:rPr>
              <w:t>….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………</w:t>
            </w:r>
          </w:p>
        </w:tc>
        <w:tc>
          <w:tcPr>
            <w:tcW w:w="2998" w:type="dxa"/>
            <w:vAlign w:val="bottom"/>
          </w:tcPr>
          <w:p w:rsidR="00D51427" w:rsidRPr="00A04DA3" w:rsidRDefault="00D51427" w:rsidP="001377D1"/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</w:p>
        </w:tc>
      </w:tr>
      <w:tr w:rsidR="00D51427" w:rsidRPr="00A04DA3">
        <w:trPr>
          <w:trHeight w:val="712"/>
        </w:trPr>
        <w:tc>
          <w:tcPr>
            <w:tcW w:w="3315" w:type="dxa"/>
            <w:vAlign w:val="bottom"/>
          </w:tcPr>
          <w:p w:rsidR="00D51427" w:rsidRPr="00A04DA3" w:rsidRDefault="00D51427" w:rsidP="001377D1">
            <w:pPr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2998" w:type="dxa"/>
            <w:vAlign w:val="bottom"/>
          </w:tcPr>
          <w:p w:rsidR="00D51427" w:rsidRPr="00A04DA3" w:rsidRDefault="00D51427" w:rsidP="001377D1"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51427" w:rsidRPr="00A04DA3">
        <w:trPr>
          <w:trHeight w:val="712"/>
        </w:trPr>
        <w:tc>
          <w:tcPr>
            <w:tcW w:w="3315" w:type="dxa"/>
            <w:vAlign w:val="bottom"/>
          </w:tcPr>
          <w:p w:rsidR="00D51427" w:rsidRPr="00A04DA3" w:rsidRDefault="00D51427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D51427" w:rsidRPr="00A04DA3" w:rsidRDefault="00D51427" w:rsidP="001377D1"/>
        </w:tc>
        <w:tc>
          <w:tcPr>
            <w:tcW w:w="3163" w:type="dxa"/>
            <w:vAlign w:val="bottom"/>
          </w:tcPr>
          <w:p w:rsidR="00D51427" w:rsidRPr="00A04DA3" w:rsidRDefault="00D51427" w:rsidP="001377D1">
            <w:pPr>
              <w:rPr>
                <w:color w:val="C0C0C0"/>
              </w:rPr>
            </w:pPr>
          </w:p>
        </w:tc>
      </w:tr>
    </w:tbl>
    <w:p w:rsidR="00D51427" w:rsidRPr="00A04DA3" w:rsidRDefault="00D51427" w:rsidP="009F66D4">
      <w:pPr>
        <w:tabs>
          <w:tab w:val="left" w:leader="dot" w:pos="2852"/>
          <w:tab w:val="left" w:pos="2958"/>
        </w:tabs>
        <w:spacing w:before="120" w:line="23" w:lineRule="atLeast"/>
        <w:jc w:val="both"/>
      </w:pPr>
    </w:p>
    <w:p w:rsidR="00D51427" w:rsidRPr="00A04DA3" w:rsidRDefault="00D51427">
      <w:pPr>
        <w:sectPr w:rsidR="00D51427" w:rsidRPr="00A04DA3" w:rsidSect="00A344B4">
          <w:headerReference w:type="even" r:id="rId7"/>
          <w:headerReference w:type="default" r:id="rId8"/>
          <w:footerReference w:type="default" r:id="rId9"/>
          <w:pgSz w:w="11906" w:h="16838"/>
          <w:pgMar w:top="1418" w:right="1286" w:bottom="1418" w:left="1260" w:header="567" w:footer="137" w:gutter="0"/>
          <w:pgNumType w:start="1"/>
          <w:cols w:space="708"/>
          <w:docGrid w:linePitch="360"/>
        </w:sectPr>
      </w:pPr>
    </w:p>
    <w:p w:rsidR="00D51427" w:rsidRDefault="00D51427" w:rsidP="009F66D4">
      <w:pPr>
        <w:pStyle w:val="Heading1"/>
      </w:pPr>
      <w:r w:rsidRPr="00A04DA3">
        <w:t>Technické parametry odběrného místa</w:t>
      </w:r>
    </w:p>
    <w:p w:rsidR="00D51427" w:rsidRPr="00B97532" w:rsidRDefault="00D51427" w:rsidP="00B97532"/>
    <w:p w:rsidR="00D51427" w:rsidRPr="00A04DA3" w:rsidRDefault="00D51427" w:rsidP="00B47A8A">
      <w:pPr>
        <w:pStyle w:val="Heading2"/>
        <w:numPr>
          <w:ilvl w:val="0"/>
          <w:numId w:val="7"/>
        </w:numPr>
      </w:pPr>
      <w:r w:rsidRPr="00A04DA3">
        <w:t>Smluvní strany</w:t>
      </w:r>
    </w:p>
    <w:p w:rsidR="00D51427" w:rsidRPr="00A04DA3" w:rsidRDefault="00D51427" w:rsidP="00896B0F">
      <w:pPr>
        <w:pStyle w:val="Heading3"/>
      </w:pPr>
      <w:r>
        <w:t>Správa sportovišť  Kopřivnice, příspěvková organizace</w:t>
      </w:r>
    </w:p>
    <w:p w:rsidR="00D51427" w:rsidRPr="00A04DA3" w:rsidRDefault="00D51427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nám.540</w:t>
      </w:r>
      <w:r w:rsidRPr="00A04DA3">
        <w:rPr>
          <w:rStyle w:val="Styl12b"/>
          <w:sz w:val="24"/>
        </w:rPr>
        <w:t xml:space="preserve"> , Kopřivnice PSČ 742 21</w:t>
      </w:r>
    </w:p>
    <w:p w:rsidR="00D51427" w:rsidRPr="00A04DA3" w:rsidRDefault="00D51427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Gilar, ředitel</w:t>
      </w:r>
    </w:p>
    <w:p w:rsidR="00D51427" w:rsidRPr="00A04DA3" w:rsidRDefault="00D51427" w:rsidP="009F66D4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D51427" w:rsidRPr="00A04DA3" w:rsidRDefault="00D51427" w:rsidP="00896B0F">
      <w:pPr>
        <w:pStyle w:val="Heading3"/>
      </w:pPr>
      <w:r w:rsidRPr="004C54D1">
        <w:rPr>
          <w:noProof/>
        </w:rPr>
        <w:t>Středisko sociálních služeb města Kopřivnice, příspěvková organizace</w:t>
      </w:r>
      <w:r w:rsidRPr="00A04DA3">
        <w:rPr>
          <w:noProof/>
        </w:rPr>
        <w:t xml:space="preserve"> </w:t>
      </w:r>
    </w:p>
    <w:p w:rsidR="00D51427" w:rsidRPr="00A04DA3" w:rsidRDefault="00D51427" w:rsidP="009F66D4">
      <w:r w:rsidRPr="00A04DA3">
        <w:t xml:space="preserve">se sídlem: </w:t>
      </w:r>
      <w:r w:rsidRPr="00A04DA3">
        <w:tab/>
      </w:r>
      <w:r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D51427" w:rsidRDefault="00D51427" w:rsidP="009F66D4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</w:p>
    <w:p w:rsidR="00D51427" w:rsidRDefault="00D51427" w:rsidP="009F66D4">
      <w:pPr>
        <w:rPr>
          <w:b/>
          <w:bCs/>
        </w:rPr>
      </w:pPr>
      <w:r w:rsidRPr="00A04DA3">
        <w:rPr>
          <w:b/>
          <w:bCs/>
        </w:rPr>
        <w:t>(dále jen „odběratel“)</w:t>
      </w:r>
    </w:p>
    <w:p w:rsidR="00D51427" w:rsidRDefault="00D51427" w:rsidP="009F66D4">
      <w:pPr>
        <w:rPr>
          <w:b/>
          <w:bCs/>
        </w:rPr>
      </w:pPr>
    </w:p>
    <w:p w:rsidR="00D51427" w:rsidRPr="00A04DA3" w:rsidRDefault="00D51427" w:rsidP="00715885">
      <w:pPr>
        <w:pStyle w:val="Heading2"/>
      </w:pPr>
      <w:r w:rsidRPr="00A04DA3">
        <w:t xml:space="preserve">Odběrné místo: </w:t>
      </w:r>
    </w:p>
    <w:p w:rsidR="00D51427" w:rsidRDefault="00D51427" w:rsidP="008768D7">
      <w:pPr>
        <w:spacing w:before="120" w:after="120"/>
        <w:jc w:val="both"/>
      </w:pPr>
      <w:r>
        <w:tab/>
      </w:r>
    </w:p>
    <w:p w:rsidR="00D51427" w:rsidRPr="00A04DA3" w:rsidRDefault="00D51427" w:rsidP="008768D7">
      <w:pPr>
        <w:spacing w:before="120" w:after="120"/>
        <w:jc w:val="both"/>
      </w:pPr>
      <w:r w:rsidRPr="00A04DA3">
        <w:t>Umístění:</w:t>
      </w:r>
      <w:r w:rsidRPr="00A04DA3">
        <w:tab/>
      </w:r>
      <w:r>
        <w:t>Masarykovo nám</w:t>
      </w:r>
      <w:r w:rsidRPr="00A04DA3">
        <w:t xml:space="preserve">, </w:t>
      </w:r>
      <w:r>
        <w:t>č.p. 650,</w:t>
      </w:r>
      <w:r w:rsidRPr="00A04DA3">
        <w:t> Kopřivnice</w:t>
      </w:r>
    </w:p>
    <w:p w:rsidR="00D51427" w:rsidRPr="00365CD2" w:rsidRDefault="00D51427" w:rsidP="002D78A8">
      <w:r>
        <w:t xml:space="preserve">Výměníková </w:t>
      </w:r>
      <w:r w:rsidRPr="00A04DA3">
        <w:t xml:space="preserve"> stanice  pro dodávku tep</w:t>
      </w:r>
      <w:r>
        <w:t>elné energie</w:t>
      </w:r>
      <w:r w:rsidRPr="00A04DA3">
        <w:t xml:space="preserve"> pro odběrné místo je umístěna v objektu č.p. </w:t>
      </w:r>
      <w:r>
        <w:t>540, Masarykovo nám.540</w:t>
      </w:r>
      <w:r w:rsidRPr="00A04DA3">
        <w:t xml:space="preserve"> </w:t>
      </w:r>
      <w:r>
        <w:t xml:space="preserve"> ( dále jen</w:t>
      </w:r>
      <w:r w:rsidRPr="00A04DA3">
        <w:t xml:space="preserve"> </w:t>
      </w:r>
      <w:r>
        <w:t>VS 17</w:t>
      </w:r>
      <w:r w:rsidRPr="00A04DA3">
        <w:t>)</w:t>
      </w:r>
      <w:r>
        <w:t xml:space="preserve"> </w:t>
      </w:r>
      <w:r w:rsidRPr="00365CD2">
        <w:t xml:space="preserve">a zajišťuje dodávku tepla (ÚT) pro </w:t>
      </w:r>
      <w:r w:rsidRPr="00A04DA3">
        <w:t xml:space="preserve">č.p. </w:t>
      </w:r>
      <w:r>
        <w:t>650</w:t>
      </w:r>
      <w:r w:rsidRPr="00365CD2">
        <w:t>.</w:t>
      </w:r>
    </w:p>
    <w:p w:rsidR="00D51427" w:rsidRDefault="00D51427" w:rsidP="008768D7">
      <w:pPr>
        <w:spacing w:before="120" w:after="120"/>
        <w:jc w:val="both"/>
      </w:pPr>
      <w:r>
        <w:t>Rozvodné tepelné zařízení pro dopravu tepelné energie je tvořené tepelnými sítěmi a výměníkovou stanicí ve vlastnictví dodavatele.</w:t>
      </w:r>
    </w:p>
    <w:p w:rsidR="00D51427" w:rsidRDefault="00D51427" w:rsidP="008768D7">
      <w:pPr>
        <w:spacing w:before="120" w:after="120"/>
        <w:jc w:val="both"/>
      </w:pPr>
      <w:r>
        <w:t xml:space="preserve">Odběrným místem je místo plnění, v němž přechází tepelná energie z vlastnictví dodavatele do vlastnictví odběratele. Odběrným místem je vstup do odběrného zařízení odběratele. </w:t>
      </w:r>
    </w:p>
    <w:p w:rsidR="00D51427" w:rsidRPr="00A04DA3" w:rsidRDefault="00D51427" w:rsidP="00715885">
      <w:pPr>
        <w:pStyle w:val="Heading2"/>
      </w:pPr>
      <w:r w:rsidRPr="00A04DA3">
        <w:t>Technické parametry:</w:t>
      </w:r>
    </w:p>
    <w:p w:rsidR="00D51427" w:rsidRPr="00A04DA3" w:rsidRDefault="00D51427" w:rsidP="009F66D4">
      <w:r w:rsidRPr="00A04DA3">
        <w:t>Technické parametry pro vytápění (ÚT) a teplou vodu (TV)</w:t>
      </w:r>
    </w:p>
    <w:p w:rsidR="00D51427" w:rsidRPr="00A04DA3" w:rsidRDefault="00D51427" w:rsidP="009F66D4"/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5244"/>
        <w:gridCol w:w="3263"/>
      </w:tblGrid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Poř. č.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 xml:space="preserve">Technické parametry a údaje 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Zdroj tepelné energie pro ÚT 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B920F1">
            <w:r w:rsidRPr="00A04DA3">
              <w:t xml:space="preserve">Soustava CZT Kopřivnice </w:t>
            </w:r>
            <w:r>
              <w:t>–</w:t>
            </w:r>
            <w:r w:rsidRPr="00A04DA3">
              <w:t xml:space="preserve"> </w:t>
            </w:r>
            <w:r>
              <w:t>VS 17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164C3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BC40C1">
            <w:r w:rsidRPr="00A04DA3">
              <w:t>Místo měření dodaného tepla do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 xml:space="preserve">Na vstupu </w:t>
            </w:r>
            <w:r>
              <w:t>do VS 17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B04559">
            <w:r w:rsidRPr="00A04DA3">
              <w:t xml:space="preserve">Místo předání tepla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6A5364">
            <w:r>
              <w:t>Na výstupu z VS 17  do odběrného tepelného zařízení odběratele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B04559">
            <w:r w:rsidRPr="00A04DA3">
              <w:t xml:space="preserve">Místo měření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Výstup z</w:t>
            </w:r>
            <w:r>
              <w:t> VS 17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Způsob měření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Měřič tepla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Teplonosná látka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Teplá voda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Jmenovitý přetlak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0,4 MPa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B87684">
            <w:r w:rsidRPr="00A04DA3">
              <w:t xml:space="preserve">Teplota media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B87684">
            <w:r w:rsidRPr="00A04DA3">
              <w:t>Viz čl. 4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Způsob a místo přípravy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Místo předání pro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Místo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Způsob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Místo měření studené vody pro přípravu TV – dodávku zajišťuje odběratel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Způsob měření studené vody pro přípravu TV informativní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Denní doba dodávky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Teplota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 w:rsidRPr="00A04DA3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Způsob rozúčtování nákladů na tepelnou energii pro přípravu TV na jednotlivá odběrná místa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B87684">
            <w:r>
              <w:t>-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Dodávka doplňkové vody pro topný systém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Pr="00A04DA3" w:rsidRDefault="00D51427" w:rsidP="009F66D4">
            <w:r w:rsidRPr="00A04DA3">
              <w:t>Ano</w:t>
            </w:r>
          </w:p>
        </w:tc>
      </w:tr>
      <w:tr w:rsidR="00D51427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9C14F2">
            <w:pPr>
              <w:jc w:val="center"/>
            </w:pPr>
            <w: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27" w:rsidRPr="00A04DA3" w:rsidRDefault="00D51427" w:rsidP="00896B0F">
            <w:r w:rsidRPr="00A04DA3">
              <w:t xml:space="preserve">Datum zahájení odběru </w:t>
            </w:r>
            <w:r>
              <w:t>tepla z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427" w:rsidRDefault="00D51427" w:rsidP="004C43F0"/>
          <w:p w:rsidR="00D51427" w:rsidRDefault="00D51427" w:rsidP="004C43F0">
            <w:r>
              <w:t>1.1.2017</w:t>
            </w:r>
          </w:p>
          <w:p w:rsidR="00D51427" w:rsidRPr="00A04DA3" w:rsidRDefault="00D51427" w:rsidP="00896B0F">
            <w:pPr>
              <w:jc w:val="center"/>
            </w:pPr>
          </w:p>
        </w:tc>
      </w:tr>
    </w:tbl>
    <w:p w:rsidR="00D51427" w:rsidRDefault="00D51427" w:rsidP="00B97532"/>
    <w:p w:rsidR="00D51427" w:rsidRDefault="00D51427" w:rsidP="00715885">
      <w:pPr>
        <w:pStyle w:val="Heading2"/>
      </w:pPr>
      <w:r>
        <w:t>T</w:t>
      </w:r>
      <w:r w:rsidRPr="00A04DA3">
        <w:t>eplotní diagram</w:t>
      </w:r>
    </w:p>
    <w:p w:rsidR="00D51427" w:rsidRPr="00B97532" w:rsidRDefault="00D51427" w:rsidP="00B97532"/>
    <w:tbl>
      <w:tblPr>
        <w:tblW w:w="0" w:type="auto"/>
        <w:jc w:val="center"/>
        <w:tblInd w:w="-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6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51427" w:rsidRPr="00A04DA3">
        <w:trPr>
          <w:trHeight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Venkovní</w:t>
            </w:r>
          </w:p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b/>
                <w:bCs/>
              </w:rPr>
              <w:t>teplota [˚C]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-15</w:t>
            </w:r>
          </w:p>
        </w:tc>
      </w:tr>
      <w:tr w:rsidR="00D51427" w:rsidRPr="00A04DA3">
        <w:trPr>
          <w:cantSplit/>
          <w:trHeight w:val="567"/>
          <w:jc w:val="center"/>
        </w:trPr>
        <w:tc>
          <w:tcPr>
            <w:tcW w:w="1563" w:type="dxa"/>
            <w:vMerge w:val="restart"/>
            <w:vAlign w:val="center"/>
          </w:tcPr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Přívodní</w:t>
            </w:r>
          </w:p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teplota média</w:t>
            </w:r>
          </w:p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[˚C]</w:t>
            </w:r>
          </w:p>
          <w:p w:rsidR="00D51427" w:rsidRPr="00A04DA3" w:rsidRDefault="00D51427" w:rsidP="009F66D4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den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36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>
              <w:t>40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>
              <w:t>46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>
              <w:t>48</w:t>
            </w:r>
          </w:p>
        </w:tc>
        <w:tc>
          <w:tcPr>
            <w:tcW w:w="454" w:type="dxa"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5</w:t>
            </w:r>
            <w:r>
              <w:t>5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5</w:t>
            </w:r>
            <w:r>
              <w:t>7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6</w:t>
            </w:r>
            <w:r>
              <w:t>1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6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65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68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7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75</w:t>
            </w:r>
          </w:p>
        </w:tc>
      </w:tr>
      <w:tr w:rsidR="00D51427" w:rsidRPr="00A04DA3">
        <w:trPr>
          <w:cantSplit/>
          <w:trHeight w:val="567"/>
          <w:jc w:val="center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 w:rsidRPr="00A04DA3">
              <w:t>noc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33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36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38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43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45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47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D51427" w:rsidRPr="00A04DA3" w:rsidRDefault="00D51427" w:rsidP="009F66D4">
            <w:pPr>
              <w:jc w:val="center"/>
            </w:pPr>
            <w:r>
              <w:t>49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51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56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57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58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62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D51427" w:rsidRPr="00A04DA3" w:rsidRDefault="00D51427" w:rsidP="009F66D4">
            <w:pPr>
              <w:jc w:val="center"/>
            </w:pPr>
            <w:r>
              <w:t>66</w:t>
            </w:r>
          </w:p>
        </w:tc>
      </w:tr>
    </w:tbl>
    <w:p w:rsidR="00D51427" w:rsidRDefault="00D51427" w:rsidP="002D78A8">
      <w:pPr>
        <w:keepNext/>
      </w:pPr>
    </w:p>
    <w:p w:rsidR="00D51427" w:rsidRPr="00A04DA3" w:rsidRDefault="00D51427" w:rsidP="002D78A8">
      <w:pPr>
        <w:keepNext/>
      </w:pPr>
    </w:p>
    <w:tbl>
      <w:tblPr>
        <w:tblW w:w="0" w:type="auto"/>
        <w:tblLayout w:type="fixed"/>
        <w:tblLook w:val="01E0"/>
      </w:tblPr>
      <w:tblGrid>
        <w:gridCol w:w="3227"/>
        <w:gridCol w:w="3086"/>
        <w:gridCol w:w="3151"/>
        <w:gridCol w:w="12"/>
      </w:tblGrid>
      <w:tr w:rsidR="00D51427" w:rsidRPr="00A04DA3">
        <w:trPr>
          <w:gridAfter w:val="1"/>
          <w:wAfter w:w="12" w:type="dxa"/>
        </w:trPr>
        <w:tc>
          <w:tcPr>
            <w:tcW w:w="3227" w:type="dxa"/>
          </w:tcPr>
          <w:p w:rsidR="00D51427" w:rsidRPr="00A04DA3" w:rsidRDefault="00D51427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3086" w:type="dxa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51" w:type="dxa"/>
          </w:tcPr>
          <w:p w:rsidR="00D51427" w:rsidRPr="00A04DA3" w:rsidRDefault="00D51427" w:rsidP="002D78A8">
            <w:pPr>
              <w:keepNext/>
            </w:pPr>
          </w:p>
        </w:tc>
      </w:tr>
      <w:tr w:rsidR="00D51427" w:rsidRPr="00A04DA3">
        <w:trPr>
          <w:gridAfter w:val="1"/>
          <w:wAfter w:w="12" w:type="dxa"/>
          <w:trHeight w:val="480"/>
        </w:trPr>
        <w:tc>
          <w:tcPr>
            <w:tcW w:w="3227" w:type="dxa"/>
            <w:vAlign w:val="bottom"/>
          </w:tcPr>
          <w:p w:rsidR="00D51427" w:rsidRPr="00A04DA3" w:rsidRDefault="00D51427" w:rsidP="002D78A8">
            <w:pPr>
              <w:keepNext/>
            </w:pPr>
            <w:r w:rsidRPr="00A04DA3">
              <w:t xml:space="preserve">Kopřivnice dne </w:t>
            </w:r>
          </w:p>
        </w:tc>
        <w:tc>
          <w:tcPr>
            <w:tcW w:w="3086" w:type="dxa"/>
            <w:vAlign w:val="bottom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D51427" w:rsidRPr="00A04DA3" w:rsidRDefault="00D51427" w:rsidP="002D78A8">
            <w:pPr>
              <w:keepNext/>
              <w:rPr>
                <w:color w:val="C0C0C0"/>
              </w:rPr>
            </w:pPr>
          </w:p>
        </w:tc>
      </w:tr>
      <w:tr w:rsidR="00D51427" w:rsidRPr="00A04DA3">
        <w:trPr>
          <w:gridAfter w:val="1"/>
          <w:wAfter w:w="12" w:type="dxa"/>
          <w:trHeight w:val="510"/>
        </w:trPr>
        <w:tc>
          <w:tcPr>
            <w:tcW w:w="3227" w:type="dxa"/>
            <w:vAlign w:val="bottom"/>
          </w:tcPr>
          <w:p w:rsidR="00D51427" w:rsidRPr="00A04DA3" w:rsidRDefault="00D51427" w:rsidP="002D78A8">
            <w:pPr>
              <w:keepNext/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3086" w:type="dxa"/>
            <w:vAlign w:val="bottom"/>
          </w:tcPr>
          <w:p w:rsidR="00D51427" w:rsidRDefault="00D51427" w:rsidP="002D78A8">
            <w:pPr>
              <w:keepNext/>
            </w:pPr>
          </w:p>
          <w:p w:rsidR="00D51427" w:rsidRPr="00A04DA3" w:rsidRDefault="00D51427" w:rsidP="002D78A8">
            <w:pPr>
              <w:keepNext/>
            </w:pPr>
            <w:r>
              <w:t>ředitel</w:t>
            </w:r>
          </w:p>
        </w:tc>
        <w:tc>
          <w:tcPr>
            <w:tcW w:w="3151" w:type="dxa"/>
            <w:vAlign w:val="bottom"/>
          </w:tcPr>
          <w:p w:rsidR="00D51427" w:rsidRPr="00096DC6" w:rsidRDefault="00D51427" w:rsidP="002D78A8">
            <w:pPr>
              <w:keepNext/>
              <w:rPr>
                <w:color w:val="auto"/>
              </w:rPr>
            </w:pPr>
            <w:r>
              <w:rPr>
                <w:color w:val="auto"/>
              </w:rPr>
              <w:t>………………………………</w:t>
            </w:r>
          </w:p>
        </w:tc>
      </w:tr>
      <w:tr w:rsidR="00D51427" w:rsidRPr="00A04DA3">
        <w:trPr>
          <w:gridAfter w:val="1"/>
          <w:wAfter w:w="12" w:type="dxa"/>
        </w:trPr>
        <w:tc>
          <w:tcPr>
            <w:tcW w:w="3227" w:type="dxa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086" w:type="dxa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51" w:type="dxa"/>
          </w:tcPr>
          <w:p w:rsidR="00D51427" w:rsidRPr="00A04DA3" w:rsidRDefault="00D51427" w:rsidP="002D78A8">
            <w:pPr>
              <w:keepNext/>
            </w:pPr>
          </w:p>
        </w:tc>
      </w:tr>
      <w:tr w:rsidR="00D51427" w:rsidRPr="00A04DA3">
        <w:trPr>
          <w:gridAfter w:val="1"/>
          <w:wAfter w:w="12" w:type="dxa"/>
        </w:trPr>
        <w:tc>
          <w:tcPr>
            <w:tcW w:w="3227" w:type="dxa"/>
          </w:tcPr>
          <w:p w:rsidR="00D51427" w:rsidRPr="00A04DA3" w:rsidRDefault="00D51427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3086" w:type="dxa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51" w:type="dxa"/>
          </w:tcPr>
          <w:p w:rsidR="00D51427" w:rsidRPr="00A04DA3" w:rsidRDefault="00D51427" w:rsidP="002D78A8">
            <w:pPr>
              <w:keepNext/>
            </w:pPr>
          </w:p>
        </w:tc>
      </w:tr>
      <w:tr w:rsidR="00D51427" w:rsidRPr="00A04DA3">
        <w:trPr>
          <w:gridAfter w:val="1"/>
          <w:wAfter w:w="12" w:type="dxa"/>
          <w:trHeight w:val="397"/>
        </w:trPr>
        <w:tc>
          <w:tcPr>
            <w:tcW w:w="3227" w:type="dxa"/>
            <w:vAlign w:val="bottom"/>
          </w:tcPr>
          <w:p w:rsidR="00D51427" w:rsidRPr="00A04DA3" w:rsidRDefault="00D51427" w:rsidP="002D78A8">
            <w:pPr>
              <w:keepNext/>
            </w:pPr>
            <w:r w:rsidRPr="00A04DA3">
              <w:t xml:space="preserve">V </w:t>
            </w:r>
            <w:r w:rsidRPr="00A04DA3">
              <w:rPr>
                <w:color w:val="C0C0C0"/>
              </w:rPr>
              <w:t>………</w:t>
            </w:r>
            <w:r>
              <w:rPr>
                <w:color w:val="C0C0C0"/>
              </w:rPr>
              <w:t>….….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</w:t>
            </w:r>
          </w:p>
        </w:tc>
        <w:tc>
          <w:tcPr>
            <w:tcW w:w="3086" w:type="dxa"/>
            <w:vAlign w:val="bottom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D51427" w:rsidRPr="00A04DA3" w:rsidRDefault="00D51427" w:rsidP="002D78A8">
            <w:pPr>
              <w:keepNext/>
              <w:rPr>
                <w:color w:val="C0C0C0"/>
              </w:rPr>
            </w:pPr>
          </w:p>
        </w:tc>
      </w:tr>
      <w:tr w:rsidR="00D51427" w:rsidRPr="00A04DA3">
        <w:trPr>
          <w:trHeight w:val="546"/>
        </w:trPr>
        <w:tc>
          <w:tcPr>
            <w:tcW w:w="3227" w:type="dxa"/>
            <w:vAlign w:val="bottom"/>
          </w:tcPr>
          <w:p w:rsidR="00D51427" w:rsidRPr="00A04DA3" w:rsidRDefault="00D51427" w:rsidP="002D78A8">
            <w:pPr>
              <w:keepNext/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3086" w:type="dxa"/>
            <w:vAlign w:val="bottom"/>
          </w:tcPr>
          <w:p w:rsidR="00D51427" w:rsidRPr="00A04DA3" w:rsidRDefault="00D51427" w:rsidP="002D78A8">
            <w:pPr>
              <w:keepNext/>
            </w:pPr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gridSpan w:val="2"/>
            <w:vAlign w:val="bottom"/>
          </w:tcPr>
          <w:p w:rsidR="00D51427" w:rsidRPr="00A04DA3" w:rsidRDefault="00D51427" w:rsidP="002D78A8">
            <w:pPr>
              <w:keepNext/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D51427" w:rsidRPr="00A04DA3">
        <w:trPr>
          <w:trHeight w:val="568"/>
        </w:trPr>
        <w:tc>
          <w:tcPr>
            <w:tcW w:w="3227" w:type="dxa"/>
            <w:vAlign w:val="bottom"/>
          </w:tcPr>
          <w:p w:rsidR="00D51427" w:rsidRPr="00A04DA3" w:rsidRDefault="00D51427" w:rsidP="002D78A8">
            <w:pPr>
              <w:keepNext/>
              <w:ind w:firstLine="360"/>
            </w:pPr>
          </w:p>
        </w:tc>
        <w:tc>
          <w:tcPr>
            <w:tcW w:w="3086" w:type="dxa"/>
            <w:vAlign w:val="bottom"/>
          </w:tcPr>
          <w:p w:rsidR="00D51427" w:rsidRPr="00A04DA3" w:rsidRDefault="00D51427" w:rsidP="002D78A8">
            <w:pPr>
              <w:keepNext/>
            </w:pPr>
          </w:p>
        </w:tc>
        <w:tc>
          <w:tcPr>
            <w:tcW w:w="3163" w:type="dxa"/>
            <w:gridSpan w:val="2"/>
            <w:vAlign w:val="bottom"/>
          </w:tcPr>
          <w:p w:rsidR="00D51427" w:rsidRPr="00A04DA3" w:rsidRDefault="00D51427" w:rsidP="002D78A8">
            <w:pPr>
              <w:keepNext/>
              <w:rPr>
                <w:color w:val="C0C0C0"/>
              </w:rPr>
            </w:pPr>
          </w:p>
        </w:tc>
      </w:tr>
    </w:tbl>
    <w:p w:rsidR="00D51427" w:rsidRPr="00A04DA3" w:rsidRDefault="00D51427" w:rsidP="002D78A8">
      <w:pPr>
        <w:keepNext/>
        <w:sectPr w:rsidR="00D51427" w:rsidRPr="00A04DA3" w:rsidSect="00830DD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5" w:right="1311" w:bottom="1816" w:left="1335" w:header="709" w:footer="434" w:gutter="0"/>
          <w:pgNumType w:start="1"/>
          <w:cols w:space="708"/>
          <w:noEndnote/>
          <w:docGrid w:linePitch="360"/>
        </w:sectPr>
      </w:pPr>
    </w:p>
    <w:p w:rsidR="00D51427" w:rsidRPr="00A04DA3" w:rsidRDefault="00D51427" w:rsidP="00BD62F8">
      <w:pPr>
        <w:pStyle w:val="Heading1"/>
      </w:pPr>
      <w:r w:rsidRPr="00A04DA3">
        <w:t>Dohoda o ceně a platebních podmínkách</w:t>
      </w:r>
    </w:p>
    <w:p w:rsidR="00D51427" w:rsidRPr="00A04DA3" w:rsidRDefault="00D51427" w:rsidP="001B4CFC">
      <w:pPr>
        <w:pStyle w:val="Heading2"/>
        <w:numPr>
          <w:ilvl w:val="0"/>
          <w:numId w:val="6"/>
        </w:numPr>
      </w:pPr>
      <w:r w:rsidRPr="00A04DA3">
        <w:t>Smluvní strany</w:t>
      </w:r>
    </w:p>
    <w:p w:rsidR="00D51427" w:rsidRPr="00A04DA3" w:rsidRDefault="00D51427" w:rsidP="00896B0F">
      <w:pPr>
        <w:pStyle w:val="Heading3"/>
        <w:numPr>
          <w:ilvl w:val="2"/>
          <w:numId w:val="5"/>
        </w:numPr>
      </w:pPr>
      <w:r>
        <w:t>Správa sportovišť Kopřivnice, příspěvková organizace</w:t>
      </w:r>
      <w:r w:rsidRPr="00A04DA3">
        <w:t xml:space="preserve"> </w:t>
      </w:r>
    </w:p>
    <w:p w:rsidR="00D51427" w:rsidRPr="00A04DA3" w:rsidRDefault="00D51427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</w:t>
      </w:r>
      <w:r w:rsidRPr="00A04DA3">
        <w:rPr>
          <w:rStyle w:val="Styl12b"/>
          <w:sz w:val="24"/>
        </w:rPr>
        <w:t>, Kopřivnice PSČ 742 21</w:t>
      </w:r>
    </w:p>
    <w:p w:rsidR="00D51427" w:rsidRPr="00A04DA3" w:rsidRDefault="00D51427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</w:t>
      </w:r>
      <w:r w:rsidRPr="00A04DA3">
        <w:rPr>
          <w:rStyle w:val="Styl12b"/>
          <w:sz w:val="24"/>
        </w:rPr>
        <w:t xml:space="preserve"> , </w:t>
      </w:r>
      <w:r>
        <w:rPr>
          <w:rStyle w:val="Styl12b"/>
          <w:sz w:val="24"/>
        </w:rPr>
        <w:t>ředitel</w:t>
      </w:r>
    </w:p>
    <w:p w:rsidR="00D51427" w:rsidRPr="00A04DA3" w:rsidRDefault="00D51427" w:rsidP="00BD62F8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D51427" w:rsidRPr="00A04DA3" w:rsidRDefault="00D51427" w:rsidP="00896B0F">
      <w:pPr>
        <w:pStyle w:val="Heading3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:rsidR="00D51427" w:rsidRPr="00A04DA3" w:rsidRDefault="00D51427" w:rsidP="00BD62F8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D51427" w:rsidRPr="00A04DA3" w:rsidRDefault="00D51427" w:rsidP="00BD62F8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:rsidR="00D51427" w:rsidRPr="00A04DA3" w:rsidRDefault="00D51427" w:rsidP="00BD62F8">
      <w:pPr>
        <w:rPr>
          <w:rStyle w:val="Styl12b"/>
          <w:b/>
          <w:bCs/>
          <w:sz w:val="24"/>
        </w:rPr>
      </w:pPr>
      <w:r w:rsidRPr="00A04DA3">
        <w:rPr>
          <w:rStyle w:val="Styl12b"/>
          <w:b/>
          <w:bCs/>
          <w:sz w:val="24"/>
        </w:rPr>
        <w:t xml:space="preserve"> (dále jen „odběratel“)</w:t>
      </w:r>
    </w:p>
    <w:p w:rsidR="00D51427" w:rsidRPr="00A04DA3" w:rsidRDefault="00D51427" w:rsidP="00715885">
      <w:pPr>
        <w:pStyle w:val="Heading2"/>
      </w:pPr>
      <w:r w:rsidRPr="00A04DA3">
        <w:t>Cena tepelné energie, produktů a služeb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 článkem 5.1. smlouvy.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1.1.201</w:t>
      </w:r>
      <w:r>
        <w:rPr>
          <w:noProof/>
        </w:rPr>
        <w:t>8</w:t>
      </w:r>
      <w:r w:rsidRPr="004C54D1">
        <w:rPr>
          <w:noProof/>
        </w:rPr>
        <w:t xml:space="preserve"> do 31.12.201</w:t>
      </w:r>
      <w:r>
        <w:rPr>
          <w:noProof/>
        </w:rPr>
        <w:t>8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:rsidR="00D51427" w:rsidRPr="00A04DA3" w:rsidRDefault="00D51427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>
        <w:t xml:space="preserve">409,- </w:t>
      </w:r>
      <w:r w:rsidRPr="00A04DA3">
        <w:t>Kč/GJ bez DPH</w:t>
      </w:r>
    </w:p>
    <w:p w:rsidR="00D51427" w:rsidRPr="00A04DA3" w:rsidRDefault="00D51427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:rsidR="00D51427" w:rsidRPr="00A04DA3" w:rsidRDefault="00D51427" w:rsidP="00715885">
      <w:pPr>
        <w:pStyle w:val="Heading2"/>
      </w:pPr>
      <w:r w:rsidRPr="00A04DA3">
        <w:t>Platební podmínky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Splatnost 14 dnů po obdržení daňového dokladu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:rsidR="00D51427" w:rsidRDefault="00D51427" w:rsidP="00046C8A">
      <w:pPr>
        <w:widowControl/>
        <w:spacing w:before="120" w:after="120"/>
        <w:jc w:val="both"/>
      </w:pPr>
    </w:p>
    <w:p w:rsidR="00D51427" w:rsidRPr="00A04DA3" w:rsidRDefault="00D51427" w:rsidP="00046C8A">
      <w:pPr>
        <w:widowControl/>
        <w:spacing w:before="120" w:after="120"/>
        <w:jc w:val="both"/>
      </w:pPr>
    </w:p>
    <w:p w:rsidR="00D51427" w:rsidRPr="00A04DA3" w:rsidRDefault="00D51427" w:rsidP="00BD62F8">
      <w:pPr>
        <w:keepNext/>
        <w:tabs>
          <w:tab w:val="left" w:pos="4253"/>
        </w:tabs>
        <w:ind w:right="284"/>
        <w:jc w:val="both"/>
      </w:pPr>
    </w:p>
    <w:p w:rsidR="00D51427" w:rsidRPr="00A04DA3" w:rsidRDefault="00D51427" w:rsidP="00715885">
      <w:pPr>
        <w:pStyle w:val="Heading2"/>
      </w:pPr>
      <w:r>
        <w:t>S</w:t>
      </w:r>
      <w:r w:rsidRPr="00A04DA3">
        <w:t>jednané množství dodávky tepelné energie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A04DA3">
        <w:rPr>
          <w:noProof/>
        </w:rPr>
        <w:t xml:space="preserve">od </w:t>
      </w:r>
      <w:r w:rsidRPr="004C54D1">
        <w:rPr>
          <w:noProof/>
        </w:rPr>
        <w:t>od 1.1.201</w:t>
      </w:r>
      <w:r>
        <w:rPr>
          <w:noProof/>
        </w:rPr>
        <w:t>8</w:t>
      </w:r>
      <w:r w:rsidRPr="004C54D1">
        <w:rPr>
          <w:noProof/>
        </w:rPr>
        <w:t xml:space="preserve"> do 31.12.201</w:t>
      </w:r>
      <w:r>
        <w:rPr>
          <w:noProof/>
        </w:rPr>
        <w:t>8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:rsidR="00D51427" w:rsidRPr="00A04DA3" w:rsidRDefault="00D51427" w:rsidP="00715885">
      <w:pPr>
        <w:pStyle w:val="Heading2"/>
      </w:pPr>
      <w:r w:rsidRPr="00A04DA3">
        <w:t>Účinnost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1.1.2018</w:t>
      </w:r>
    </w:p>
    <w:p w:rsidR="00D51427" w:rsidRPr="00A04DA3" w:rsidRDefault="00D51427" w:rsidP="00715885">
      <w:pPr>
        <w:pStyle w:val="Heading2"/>
      </w:pPr>
      <w:r w:rsidRPr="00A04DA3">
        <w:t>Cenová doložka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se určuje na kalendářní rok.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Postup oznámení změny ceny a postup při uplatnění změny záloh je uveden v bodě 8.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201</w:t>
      </w:r>
      <w:r>
        <w:t>7</w:t>
      </w:r>
      <w:r w:rsidRPr="00A04DA3">
        <w:t>. V případě, že po skončení roku bude skutečné množství dodávek tepla odlišné, bude cena tepla úměrně tomu změněna.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Vyúčtování skutečného množství dodávek tepla daného roku na cenu výslednou, kalkulovanou podle zásad Cenového rozhodnutí ERÚ, bude provedeno do 28. února roku následujícího</w:t>
      </w:r>
    </w:p>
    <w:p w:rsidR="00D51427" w:rsidRPr="00A04DA3" w:rsidRDefault="00D51427" w:rsidP="00715885">
      <w:pPr>
        <w:pStyle w:val="Heading2"/>
      </w:pPr>
      <w:r w:rsidRPr="00A04DA3">
        <w:t>Cenové oznámení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 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:rsidR="00D51427" w:rsidRPr="00A04DA3" w:rsidRDefault="00D51427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D51427" w:rsidRPr="00A04DA3" w:rsidRDefault="00D51427" w:rsidP="00046C8A">
      <w:pPr>
        <w:widowControl/>
        <w:spacing w:before="120" w:after="120"/>
        <w:jc w:val="both"/>
      </w:pPr>
    </w:p>
    <w:p w:rsidR="00D51427" w:rsidRPr="00A04DA3" w:rsidRDefault="00D51427" w:rsidP="00BD62F8"/>
    <w:p w:rsidR="00D51427" w:rsidRPr="00A04DA3" w:rsidRDefault="00D51427" w:rsidP="00BD62F8"/>
    <w:tbl>
      <w:tblPr>
        <w:tblW w:w="0" w:type="auto"/>
        <w:tblLook w:val="01E0"/>
      </w:tblPr>
      <w:tblGrid>
        <w:gridCol w:w="3166"/>
        <w:gridCol w:w="2845"/>
        <w:gridCol w:w="3163"/>
      </w:tblGrid>
      <w:tr w:rsidR="00D51427" w:rsidRPr="00A04DA3">
        <w:tc>
          <w:tcPr>
            <w:tcW w:w="3166" w:type="dxa"/>
          </w:tcPr>
          <w:p w:rsidR="00D51427" w:rsidRPr="00A04DA3" w:rsidRDefault="00D51427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:rsidR="00D51427" w:rsidRPr="00A04DA3" w:rsidRDefault="00D51427" w:rsidP="00D34542"/>
        </w:tc>
        <w:tc>
          <w:tcPr>
            <w:tcW w:w="3163" w:type="dxa"/>
          </w:tcPr>
          <w:p w:rsidR="00D51427" w:rsidRPr="00A04DA3" w:rsidRDefault="00D51427" w:rsidP="00D34542"/>
        </w:tc>
      </w:tr>
      <w:tr w:rsidR="00D51427" w:rsidRPr="00A04DA3">
        <w:trPr>
          <w:trHeight w:val="480"/>
        </w:trPr>
        <w:tc>
          <w:tcPr>
            <w:tcW w:w="3166" w:type="dxa"/>
            <w:vAlign w:val="bottom"/>
          </w:tcPr>
          <w:p w:rsidR="00D51427" w:rsidRPr="00A04DA3" w:rsidRDefault="00D51427" w:rsidP="00D34542">
            <w:r w:rsidRPr="00A04DA3">
              <w:t xml:space="preserve">Kopřivnice dne </w:t>
            </w:r>
          </w:p>
        </w:tc>
        <w:tc>
          <w:tcPr>
            <w:tcW w:w="2845" w:type="dxa"/>
            <w:vAlign w:val="bottom"/>
          </w:tcPr>
          <w:p w:rsidR="00D51427" w:rsidRPr="00A04DA3" w:rsidRDefault="00D51427" w:rsidP="00D34542"/>
        </w:tc>
        <w:tc>
          <w:tcPr>
            <w:tcW w:w="3163" w:type="dxa"/>
            <w:vAlign w:val="bottom"/>
          </w:tcPr>
          <w:p w:rsidR="00D51427" w:rsidRPr="00A04DA3" w:rsidRDefault="00D51427" w:rsidP="00D34542">
            <w:pPr>
              <w:rPr>
                <w:color w:val="C0C0C0"/>
              </w:rPr>
            </w:pPr>
          </w:p>
        </w:tc>
      </w:tr>
      <w:tr w:rsidR="00D51427" w:rsidRPr="00A04DA3">
        <w:trPr>
          <w:trHeight w:val="579"/>
        </w:trPr>
        <w:tc>
          <w:tcPr>
            <w:tcW w:w="3166" w:type="dxa"/>
            <w:vAlign w:val="bottom"/>
          </w:tcPr>
          <w:p w:rsidR="00D51427" w:rsidRPr="00A04DA3" w:rsidRDefault="00D51427" w:rsidP="00D34542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845" w:type="dxa"/>
            <w:vAlign w:val="bottom"/>
          </w:tcPr>
          <w:p w:rsidR="00D51427" w:rsidRPr="00A04DA3" w:rsidRDefault="00D51427" w:rsidP="00D34542">
            <w:r>
              <w:t>ředitel</w:t>
            </w:r>
          </w:p>
        </w:tc>
        <w:tc>
          <w:tcPr>
            <w:tcW w:w="3163" w:type="dxa"/>
            <w:vAlign w:val="bottom"/>
          </w:tcPr>
          <w:p w:rsidR="00D51427" w:rsidRPr="006A5364" w:rsidRDefault="00D51427" w:rsidP="00D34542">
            <w:pPr>
              <w:rPr>
                <w:color w:val="D9D9D9"/>
              </w:rPr>
            </w:pPr>
            <w:r w:rsidRPr="006A5364">
              <w:rPr>
                <w:color w:val="D9D9D9"/>
              </w:rPr>
              <w:t>……………………………….</w:t>
            </w:r>
          </w:p>
        </w:tc>
      </w:tr>
      <w:tr w:rsidR="00D51427" w:rsidRPr="00A04DA3">
        <w:trPr>
          <w:trHeight w:val="378"/>
        </w:trPr>
        <w:tc>
          <w:tcPr>
            <w:tcW w:w="3166" w:type="dxa"/>
            <w:vAlign w:val="bottom"/>
          </w:tcPr>
          <w:p w:rsidR="00D51427" w:rsidRPr="00A04DA3" w:rsidRDefault="00D51427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D51427" w:rsidRPr="00A04DA3" w:rsidRDefault="00D51427" w:rsidP="00D34542"/>
        </w:tc>
        <w:tc>
          <w:tcPr>
            <w:tcW w:w="3163" w:type="dxa"/>
            <w:vAlign w:val="bottom"/>
          </w:tcPr>
          <w:p w:rsidR="00D51427" w:rsidRPr="00A04DA3" w:rsidRDefault="00D51427" w:rsidP="00D34542">
            <w:pPr>
              <w:rPr>
                <w:color w:val="C0C0C0"/>
              </w:rPr>
            </w:pPr>
          </w:p>
        </w:tc>
      </w:tr>
      <w:tr w:rsidR="00D51427" w:rsidRPr="00A04DA3">
        <w:tc>
          <w:tcPr>
            <w:tcW w:w="3166" w:type="dxa"/>
          </w:tcPr>
          <w:p w:rsidR="00D51427" w:rsidRPr="00A04DA3" w:rsidRDefault="00D51427" w:rsidP="00D34542"/>
        </w:tc>
        <w:tc>
          <w:tcPr>
            <w:tcW w:w="2845" w:type="dxa"/>
          </w:tcPr>
          <w:p w:rsidR="00D51427" w:rsidRPr="00A04DA3" w:rsidRDefault="00D51427" w:rsidP="00D34542"/>
        </w:tc>
        <w:tc>
          <w:tcPr>
            <w:tcW w:w="3163" w:type="dxa"/>
          </w:tcPr>
          <w:p w:rsidR="00D51427" w:rsidRPr="00A04DA3" w:rsidRDefault="00D51427" w:rsidP="00D34542"/>
        </w:tc>
      </w:tr>
      <w:tr w:rsidR="00D51427" w:rsidRPr="00A04DA3">
        <w:tc>
          <w:tcPr>
            <w:tcW w:w="3166" w:type="dxa"/>
          </w:tcPr>
          <w:p w:rsidR="00D51427" w:rsidRPr="00A04DA3" w:rsidRDefault="00D51427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:rsidR="00D51427" w:rsidRPr="00A04DA3" w:rsidRDefault="00D51427" w:rsidP="00D34542"/>
        </w:tc>
        <w:tc>
          <w:tcPr>
            <w:tcW w:w="3163" w:type="dxa"/>
          </w:tcPr>
          <w:p w:rsidR="00D51427" w:rsidRPr="00A04DA3" w:rsidRDefault="00D51427" w:rsidP="00D34542"/>
        </w:tc>
      </w:tr>
      <w:tr w:rsidR="00D51427" w:rsidRPr="00A04DA3">
        <w:trPr>
          <w:trHeight w:val="686"/>
        </w:trPr>
        <w:tc>
          <w:tcPr>
            <w:tcW w:w="3166" w:type="dxa"/>
            <w:vAlign w:val="bottom"/>
          </w:tcPr>
          <w:p w:rsidR="00D51427" w:rsidRPr="00A04DA3" w:rsidRDefault="00D51427" w:rsidP="006A5364">
            <w:r w:rsidRPr="00A04DA3">
              <w:t xml:space="preserve">V </w:t>
            </w:r>
            <w:r w:rsidRPr="00A04DA3">
              <w:rPr>
                <w:color w:val="C0C0C0"/>
              </w:rPr>
              <w:t>…………</w:t>
            </w:r>
            <w:r>
              <w:rPr>
                <w:color w:val="C0C0C0"/>
              </w:rPr>
              <w:t>…</w:t>
            </w:r>
            <w:r w:rsidRPr="00A04DA3">
              <w:rPr>
                <w:color w:val="C0C0C0"/>
              </w:rPr>
              <w:t>..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rPr>
                <w:color w:val="C0C0C0"/>
              </w:rPr>
              <w:t>…</w:t>
            </w:r>
          </w:p>
        </w:tc>
        <w:tc>
          <w:tcPr>
            <w:tcW w:w="2845" w:type="dxa"/>
            <w:vAlign w:val="bottom"/>
          </w:tcPr>
          <w:p w:rsidR="00D51427" w:rsidRPr="00A04DA3" w:rsidRDefault="00D51427" w:rsidP="00D34542"/>
        </w:tc>
        <w:tc>
          <w:tcPr>
            <w:tcW w:w="3163" w:type="dxa"/>
            <w:vAlign w:val="bottom"/>
          </w:tcPr>
          <w:p w:rsidR="00D51427" w:rsidRPr="00A04DA3" w:rsidRDefault="00D51427" w:rsidP="00D34542">
            <w:pPr>
              <w:rPr>
                <w:color w:val="C0C0C0"/>
              </w:rPr>
            </w:pPr>
          </w:p>
        </w:tc>
      </w:tr>
      <w:tr w:rsidR="00D51427" w:rsidRPr="00096DC6">
        <w:trPr>
          <w:trHeight w:val="512"/>
        </w:trPr>
        <w:tc>
          <w:tcPr>
            <w:tcW w:w="3166" w:type="dxa"/>
            <w:vAlign w:val="bottom"/>
          </w:tcPr>
          <w:p w:rsidR="00D51427" w:rsidRPr="00096DC6" w:rsidRDefault="00D51427" w:rsidP="00D34542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:rsidR="00D51427" w:rsidRPr="00096DC6" w:rsidRDefault="00D51427" w:rsidP="00D34542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:rsidR="00D51427" w:rsidRPr="00096DC6" w:rsidRDefault="00D51427" w:rsidP="009C14F2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D51427" w:rsidRPr="00096DC6">
        <w:trPr>
          <w:trHeight w:val="562"/>
        </w:trPr>
        <w:tc>
          <w:tcPr>
            <w:tcW w:w="3166" w:type="dxa"/>
            <w:vAlign w:val="bottom"/>
          </w:tcPr>
          <w:p w:rsidR="00D51427" w:rsidRDefault="00D51427" w:rsidP="00D34542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:rsidR="00D51427" w:rsidRDefault="00D51427" w:rsidP="00D34542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:rsidR="00D51427" w:rsidRPr="00096DC6" w:rsidRDefault="00D51427" w:rsidP="009C14F2">
            <w:pPr>
              <w:rPr>
                <w:color w:val="auto"/>
              </w:rPr>
            </w:pPr>
          </w:p>
        </w:tc>
      </w:tr>
    </w:tbl>
    <w:p w:rsidR="00D51427" w:rsidRPr="00A04DA3" w:rsidRDefault="00D51427" w:rsidP="00BD62F8"/>
    <w:p w:rsidR="00D51427" w:rsidRDefault="00D51427" w:rsidP="00B920F1">
      <w:pPr>
        <w:sectPr w:rsidR="00D51427" w:rsidSect="00D34542">
          <w:headerReference w:type="default" r:id="rId15"/>
          <w:footerReference w:type="default" r:id="rId16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:rsidR="00D51427" w:rsidRPr="00A04DA3" w:rsidRDefault="00D51427" w:rsidP="00B920F1"/>
    <w:sectPr w:rsidR="00D51427" w:rsidRPr="00A04DA3" w:rsidSect="002E7BAD">
      <w:headerReference w:type="default" r:id="rId17"/>
      <w:footerReference w:type="default" r:id="rId18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27" w:rsidRDefault="00D51427">
      <w:r>
        <w:separator/>
      </w:r>
    </w:p>
  </w:endnote>
  <w:endnote w:type="continuationSeparator" w:id="0">
    <w:p w:rsidR="00D51427" w:rsidRDefault="00D5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850F53" w:rsidRDefault="00D51427" w:rsidP="009F66D4">
    <w:pPr>
      <w:pStyle w:val="Footer"/>
      <w:rPr>
        <w:rStyle w:val="PageNumber"/>
        <w:rFonts w:cs="Arial"/>
      </w:rPr>
    </w:pPr>
    <w:r>
      <w:tab/>
    </w: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</w:p>
  <w:p w:rsidR="00D51427" w:rsidRDefault="00D51427" w:rsidP="009F6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Default="00D5142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3.25pt;margin-top:801.4pt;width:3.85pt;height:6.7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51427" w:rsidRDefault="00D51427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830DDF" w:rsidRDefault="00D51427" w:rsidP="00830DDF">
    <w:pPr>
      <w:jc w:val="center"/>
      <w:rPr>
        <w:b/>
        <w:bCs/>
        <w:color w:val="auto"/>
      </w:rPr>
    </w:pP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  <w:r>
      <w:rPr>
        <w:b/>
        <w:bCs/>
        <w:color w:val="auto"/>
      </w:rPr>
      <w:t xml:space="preserve"> </w:t>
    </w:r>
  </w:p>
  <w:p w:rsidR="00D51427" w:rsidRDefault="00D5142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50" type="#_x0000_t202" style="position:absolute;margin-left:466.85pt;margin-top:788.15pt;width:61.1pt;height:24.3pt;z-index:-251654144;visibility:visible;mso-wrap-distance-left:5pt;mso-wrap-distance-right:5pt;mso-position-horizontal-relative:page;mso-position-vertical-relative:page" filled="f" stroked="f">
          <v:textbox inset="0,0,0,0">
            <w:txbxContent>
              <w:p w:rsidR="00D51427" w:rsidRDefault="00D51427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Default="00D5142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2" type="#_x0000_t202" style="position:absolute;margin-left:523pt;margin-top:779.25pt;width:4.3pt;height:6.7pt;z-index:-251650048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51427" w:rsidRDefault="00D51427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E52FDE" w:rsidRDefault="00D51427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E52FDE" w:rsidRDefault="00D51427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27" w:rsidRDefault="00D51427"/>
  </w:footnote>
  <w:footnote w:type="continuationSeparator" w:id="0">
    <w:p w:rsidR="00D51427" w:rsidRDefault="00D514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Default="00D51427" w:rsidP="009F66D4">
    <w:pPr>
      <w:pStyle w:val="Header"/>
      <w:jc w:val="right"/>
    </w:pPr>
    <w:r>
      <w:t>Příloha č. 1 smlouvy o dodávce tepla č.            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B920F1" w:rsidRDefault="00D51427" w:rsidP="00B920F1">
    <w:pPr>
      <w:pStyle w:val="Header"/>
      <w:jc w:val="right"/>
    </w:pPr>
    <w:r>
      <w:t>Smlouva o dodávce tepelné energie č. 1/2017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B920F1" w:rsidRDefault="00D51427" w:rsidP="00B920F1">
    <w:pPr>
      <w:pStyle w:val="Header"/>
      <w:jc w:val="right"/>
    </w:pPr>
    <w:r>
      <w:t>Příloha č. 1 smlouvy o dodávce tepelné energie č. 1/2017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Default="00D5142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51" type="#_x0000_t202" style="position:absolute;margin-left:67.5pt;margin-top:55.9pt;width:179.3pt;height:10.8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51427" w:rsidRDefault="00D51427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rPr>
                    <w:b w:val="0"/>
                    <w:bCs w:val="0"/>
                  </w:rPr>
                  <w:t>Zálohy na dodávku tepelné energie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B62DB1" w:rsidRDefault="00D51427" w:rsidP="00D34542">
    <w:pPr>
      <w:jc w:val="right"/>
      <w:rPr>
        <w:b/>
        <w:bCs/>
      </w:rPr>
    </w:pPr>
    <w:r>
      <w:t>Příloha č. 2 ke smlouvě o dodávce tepelné energie č. 1/2017</w:t>
    </w:r>
  </w:p>
  <w:p w:rsidR="00D51427" w:rsidRDefault="00D5142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7" w:rsidRPr="00B62DB1" w:rsidRDefault="00D51427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:rsidR="00D51427" w:rsidRDefault="00D514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46C8A"/>
    <w:rsid w:val="00096DC6"/>
    <w:rsid w:val="000B6B08"/>
    <w:rsid w:val="000B6F31"/>
    <w:rsid w:val="000C7E94"/>
    <w:rsid w:val="000D7A81"/>
    <w:rsid w:val="000E0B6C"/>
    <w:rsid w:val="00106124"/>
    <w:rsid w:val="00115645"/>
    <w:rsid w:val="001377D1"/>
    <w:rsid w:val="00157B6C"/>
    <w:rsid w:val="00163E46"/>
    <w:rsid w:val="00187D83"/>
    <w:rsid w:val="001B085D"/>
    <w:rsid w:val="001B1FBC"/>
    <w:rsid w:val="001B4CFC"/>
    <w:rsid w:val="002161C7"/>
    <w:rsid w:val="00237430"/>
    <w:rsid w:val="00250D38"/>
    <w:rsid w:val="002760C2"/>
    <w:rsid w:val="00282B7D"/>
    <w:rsid w:val="002A0F85"/>
    <w:rsid w:val="002B2A80"/>
    <w:rsid w:val="002C6671"/>
    <w:rsid w:val="002D78A8"/>
    <w:rsid w:val="002E7BAD"/>
    <w:rsid w:val="002F215A"/>
    <w:rsid w:val="002F2AF1"/>
    <w:rsid w:val="003337DD"/>
    <w:rsid w:val="0033427C"/>
    <w:rsid w:val="0035308D"/>
    <w:rsid w:val="00365CD2"/>
    <w:rsid w:val="0037069C"/>
    <w:rsid w:val="003710E1"/>
    <w:rsid w:val="003777CF"/>
    <w:rsid w:val="00384589"/>
    <w:rsid w:val="00395FEE"/>
    <w:rsid w:val="003A73EF"/>
    <w:rsid w:val="003A75CF"/>
    <w:rsid w:val="003B6DE6"/>
    <w:rsid w:val="003D0F14"/>
    <w:rsid w:val="00400CDC"/>
    <w:rsid w:val="00400EBC"/>
    <w:rsid w:val="00402A2A"/>
    <w:rsid w:val="00437E30"/>
    <w:rsid w:val="00465D2B"/>
    <w:rsid w:val="004A16F3"/>
    <w:rsid w:val="004C43F0"/>
    <w:rsid w:val="004C54D1"/>
    <w:rsid w:val="004D0E31"/>
    <w:rsid w:val="004D0ED4"/>
    <w:rsid w:val="004E2FFF"/>
    <w:rsid w:val="00527304"/>
    <w:rsid w:val="00537F8F"/>
    <w:rsid w:val="005464B0"/>
    <w:rsid w:val="0059406F"/>
    <w:rsid w:val="005C24D5"/>
    <w:rsid w:val="0062110C"/>
    <w:rsid w:val="00655D3F"/>
    <w:rsid w:val="006A1495"/>
    <w:rsid w:val="006A1ADD"/>
    <w:rsid w:val="006A5364"/>
    <w:rsid w:val="006B29E0"/>
    <w:rsid w:val="00714AAB"/>
    <w:rsid w:val="00715885"/>
    <w:rsid w:val="0071656A"/>
    <w:rsid w:val="0072349F"/>
    <w:rsid w:val="007458A4"/>
    <w:rsid w:val="007825D2"/>
    <w:rsid w:val="007852F9"/>
    <w:rsid w:val="007853EB"/>
    <w:rsid w:val="007E03DC"/>
    <w:rsid w:val="007E742B"/>
    <w:rsid w:val="007F1FE0"/>
    <w:rsid w:val="00816387"/>
    <w:rsid w:val="00830DDF"/>
    <w:rsid w:val="00846885"/>
    <w:rsid w:val="00850F53"/>
    <w:rsid w:val="00851B86"/>
    <w:rsid w:val="00861568"/>
    <w:rsid w:val="008762B5"/>
    <w:rsid w:val="008768D7"/>
    <w:rsid w:val="0088143A"/>
    <w:rsid w:val="00896B0F"/>
    <w:rsid w:val="008B73A7"/>
    <w:rsid w:val="008D04A0"/>
    <w:rsid w:val="008D70FA"/>
    <w:rsid w:val="00902D0B"/>
    <w:rsid w:val="00907DF7"/>
    <w:rsid w:val="009164C3"/>
    <w:rsid w:val="0095338E"/>
    <w:rsid w:val="00971FB8"/>
    <w:rsid w:val="009B31DD"/>
    <w:rsid w:val="009C14F2"/>
    <w:rsid w:val="009C2FE1"/>
    <w:rsid w:val="009D4996"/>
    <w:rsid w:val="009E6DBF"/>
    <w:rsid w:val="009F66D4"/>
    <w:rsid w:val="00A04DA3"/>
    <w:rsid w:val="00A04F6D"/>
    <w:rsid w:val="00A24BBF"/>
    <w:rsid w:val="00A344B4"/>
    <w:rsid w:val="00A61F91"/>
    <w:rsid w:val="00A67AF7"/>
    <w:rsid w:val="00A735B2"/>
    <w:rsid w:val="00AB4F0A"/>
    <w:rsid w:val="00B04559"/>
    <w:rsid w:val="00B13485"/>
    <w:rsid w:val="00B24831"/>
    <w:rsid w:val="00B3682B"/>
    <w:rsid w:val="00B47A8A"/>
    <w:rsid w:val="00B62DB1"/>
    <w:rsid w:val="00B87684"/>
    <w:rsid w:val="00B901F6"/>
    <w:rsid w:val="00B920F1"/>
    <w:rsid w:val="00B96F8A"/>
    <w:rsid w:val="00B97532"/>
    <w:rsid w:val="00BC40C1"/>
    <w:rsid w:val="00BD41FD"/>
    <w:rsid w:val="00BD62F8"/>
    <w:rsid w:val="00C00BBE"/>
    <w:rsid w:val="00C11B3C"/>
    <w:rsid w:val="00C4679A"/>
    <w:rsid w:val="00C52BFC"/>
    <w:rsid w:val="00C576DB"/>
    <w:rsid w:val="00C6342A"/>
    <w:rsid w:val="00C72148"/>
    <w:rsid w:val="00CC790F"/>
    <w:rsid w:val="00CD3D32"/>
    <w:rsid w:val="00CD63F1"/>
    <w:rsid w:val="00CE3F6F"/>
    <w:rsid w:val="00CE5FFA"/>
    <w:rsid w:val="00CF3091"/>
    <w:rsid w:val="00CF51C2"/>
    <w:rsid w:val="00D056EC"/>
    <w:rsid w:val="00D143E0"/>
    <w:rsid w:val="00D34542"/>
    <w:rsid w:val="00D51427"/>
    <w:rsid w:val="00D9240F"/>
    <w:rsid w:val="00DB6B1F"/>
    <w:rsid w:val="00DB7880"/>
    <w:rsid w:val="00DD246D"/>
    <w:rsid w:val="00DE327F"/>
    <w:rsid w:val="00DF0F3C"/>
    <w:rsid w:val="00DF1209"/>
    <w:rsid w:val="00E52FDE"/>
    <w:rsid w:val="00E766FD"/>
    <w:rsid w:val="00E876DB"/>
    <w:rsid w:val="00E96C37"/>
    <w:rsid w:val="00EA5FD5"/>
    <w:rsid w:val="00EB1CE7"/>
    <w:rsid w:val="00EB62BE"/>
    <w:rsid w:val="00EC6FFF"/>
    <w:rsid w:val="00ED34B8"/>
    <w:rsid w:val="00EE58A4"/>
    <w:rsid w:val="00F021B1"/>
    <w:rsid w:val="00F0259B"/>
    <w:rsid w:val="00F04EA4"/>
    <w:rsid w:val="00F127F7"/>
    <w:rsid w:val="00F24815"/>
    <w:rsid w:val="00F61779"/>
    <w:rsid w:val="00F94618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76DB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4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styleId="Hyperlink">
    <w:name w:val="Hyperlink"/>
    <w:basedOn w:val="DefaultParagraphFont"/>
    <w:uiPriority w:val="99"/>
    <w:rsid w:val="0072349F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72349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72349F"/>
    <w:rPr>
      <w:color w:val="000000"/>
      <w:spacing w:val="0"/>
      <w:w w:val="100"/>
      <w:position w:val="0"/>
      <w:sz w:val="19"/>
      <w:szCs w:val="19"/>
    </w:rPr>
  </w:style>
  <w:style w:type="character" w:customStyle="1" w:styleId="Nadpis3">
    <w:name w:val="Nadpis #3_"/>
    <w:basedOn w:val="DefaultParagraphFont"/>
    <w:link w:val="Nadpis3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DefaultParagraphFont"/>
    <w:uiPriority w:val="99"/>
    <w:rsid w:val="00E876D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">
    <w:name w:val="Základní text (3)_"/>
    <w:basedOn w:val="DefaultParagraphFont"/>
    <w:link w:val="Zkladntext30"/>
    <w:uiPriority w:val="99"/>
    <w:locked/>
    <w:rsid w:val="0072349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72349F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72349F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72349F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72349F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72349F"/>
    <w:rPr>
      <w:rFonts w:ascii="Bookman Old Style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DefaultParagraphFont"/>
    <w:uiPriority w:val="99"/>
    <w:rsid w:val="00E876D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/>
    </w:rPr>
  </w:style>
  <w:style w:type="character" w:customStyle="1" w:styleId="Zkladntextdkovn-1pt">
    <w:name w:val="Základní text + Řádkování -1 pt"/>
    <w:basedOn w:val="DefaultParagraphFont"/>
    <w:uiPriority w:val="99"/>
    <w:rsid w:val="00E876DB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72349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72349F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72349F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72349F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 (2)"/>
    <w:basedOn w:val="Zkladntext2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72349F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7234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72349F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723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al"/>
    <w:link w:val="Zkladntext3"/>
    <w:uiPriority w:val="99"/>
    <w:rsid w:val="0072349F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72349F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72349F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72349F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72349F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72349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Courier New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Courier New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2067</Words>
  <Characters>12196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2017-12-22T06:59:00Z</cp:lastPrinted>
  <dcterms:created xsi:type="dcterms:W3CDTF">2017-12-22T07:00:00Z</dcterms:created>
  <dcterms:modified xsi:type="dcterms:W3CDTF">2017-12-22T07:00:00Z</dcterms:modified>
</cp:coreProperties>
</file>