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31A" w:rsidRDefault="00D95375">
      <w:pPr>
        <w:spacing w:after="0" w:line="259" w:lineRule="auto"/>
        <w:ind w:left="288" w:right="0"/>
        <w:jc w:val="left"/>
      </w:pPr>
      <w:bookmarkStart w:id="0" w:name="_GoBack"/>
      <w:bookmarkEnd w:id="0"/>
      <w:r>
        <w:rPr>
          <w:b/>
          <w:sz w:val="36"/>
        </w:rPr>
        <w:t xml:space="preserve">Veřejná zakázka </w:t>
      </w:r>
    </w:p>
    <w:p w:rsidR="0079231A" w:rsidRDefault="00D95375">
      <w:pPr>
        <w:spacing w:after="92" w:line="259" w:lineRule="auto"/>
        <w:ind w:left="293" w:right="0" w:firstLine="0"/>
        <w:jc w:val="left"/>
      </w:pPr>
      <w:r>
        <w:rPr>
          <w:b/>
          <w:sz w:val="36"/>
        </w:rPr>
        <w:t xml:space="preserve"> </w:t>
      </w:r>
    </w:p>
    <w:p w:rsidR="0079231A" w:rsidRDefault="00D95375">
      <w:pPr>
        <w:pStyle w:val="Nadpis1"/>
        <w:ind w:left="403"/>
      </w:pPr>
      <w:r>
        <w:t xml:space="preserve">__________________________________ </w:t>
      </w:r>
    </w:p>
    <w:p w:rsidR="0079231A" w:rsidRDefault="00D95375">
      <w:pPr>
        <w:spacing w:after="0" w:line="259" w:lineRule="auto"/>
        <w:ind w:left="390" w:right="0" w:firstLine="0"/>
        <w:jc w:val="center"/>
      </w:pPr>
      <w:r>
        <w:rPr>
          <w:b/>
          <w:sz w:val="36"/>
        </w:rPr>
        <w:t xml:space="preserve"> </w:t>
      </w:r>
    </w:p>
    <w:p w:rsidR="0079231A" w:rsidRDefault="00D95375">
      <w:pPr>
        <w:spacing w:after="0" w:line="259" w:lineRule="auto"/>
        <w:ind w:left="287" w:right="0" w:firstLine="0"/>
        <w:jc w:val="center"/>
      </w:pPr>
      <w:r>
        <w:rPr>
          <w:b/>
          <w:sz w:val="36"/>
        </w:rPr>
        <w:t xml:space="preserve">SMLOUVA  </w:t>
      </w:r>
    </w:p>
    <w:p w:rsidR="0079231A" w:rsidRDefault="00D95375">
      <w:pPr>
        <w:spacing w:after="92" w:line="259" w:lineRule="auto"/>
        <w:ind w:left="471" w:right="0"/>
        <w:jc w:val="left"/>
      </w:pPr>
      <w:r>
        <w:rPr>
          <w:b/>
          <w:sz w:val="36"/>
        </w:rPr>
        <w:t xml:space="preserve">O SDRUŽENÝCH SLUŽBÁCH DODÁVKY PLYNU </w:t>
      </w:r>
    </w:p>
    <w:p w:rsidR="0079231A" w:rsidRDefault="00D95375">
      <w:pPr>
        <w:pStyle w:val="Nadpis1"/>
        <w:spacing w:after="38"/>
        <w:ind w:left="403"/>
      </w:pPr>
      <w:r>
        <w:t xml:space="preserve">__________________________________ </w:t>
      </w:r>
    </w:p>
    <w:p w:rsidR="0079231A" w:rsidRDefault="00D95375">
      <w:pPr>
        <w:spacing w:after="0" w:line="259" w:lineRule="auto"/>
        <w:ind w:left="434" w:right="0" w:firstLine="0"/>
        <w:jc w:val="center"/>
      </w:pPr>
      <w:r>
        <w:rPr>
          <w:b/>
          <w:sz w:val="52"/>
        </w:rPr>
        <w:t xml:space="preserve"> </w:t>
      </w:r>
    </w:p>
    <w:p w:rsidR="0079231A" w:rsidRDefault="00D95375">
      <w:pPr>
        <w:spacing w:after="0" w:line="249" w:lineRule="auto"/>
        <w:ind w:left="3355" w:right="3058"/>
        <w:jc w:val="center"/>
      </w:pPr>
      <w:r>
        <w:rPr>
          <w:b/>
          <w:sz w:val="24"/>
        </w:rPr>
        <w:t xml:space="preserve">uzavřená mezi </w:t>
      </w:r>
    </w:p>
    <w:p w:rsidR="0079231A" w:rsidRDefault="00D95375">
      <w:pPr>
        <w:spacing w:after="0" w:line="259" w:lineRule="auto"/>
        <w:ind w:left="356" w:right="0" w:firstLine="0"/>
        <w:jc w:val="center"/>
      </w:pPr>
      <w:r>
        <w:rPr>
          <w:b/>
          <w:sz w:val="24"/>
        </w:rPr>
        <w:t xml:space="preserve"> </w:t>
      </w:r>
    </w:p>
    <w:p w:rsidR="0079231A" w:rsidRDefault="00D95375">
      <w:pPr>
        <w:spacing w:after="0" w:line="249" w:lineRule="auto"/>
        <w:ind w:left="3355" w:right="2921"/>
        <w:jc w:val="center"/>
      </w:pPr>
      <w:r>
        <w:rPr>
          <w:b/>
          <w:sz w:val="24"/>
        </w:rPr>
        <w:t xml:space="preserve">Pražská plynárenská, a. s.  a </w:t>
      </w:r>
    </w:p>
    <w:p w:rsidR="0079231A" w:rsidRDefault="00D95375">
      <w:pPr>
        <w:pStyle w:val="Nadpis2"/>
        <w:spacing w:after="225"/>
        <w:ind w:left="302" w:right="4" w:hanging="10"/>
      </w:pPr>
      <w:r>
        <w:rPr>
          <w:sz w:val="22"/>
        </w:rPr>
        <w:t xml:space="preserve">Obchodní akademie, Praha 3, Kubelíkova 37 </w:t>
      </w:r>
    </w:p>
    <w:p w:rsidR="0079231A" w:rsidRDefault="00D95375">
      <w:pPr>
        <w:spacing w:after="0" w:line="259" w:lineRule="auto"/>
        <w:ind w:left="434" w:right="0" w:firstLine="0"/>
        <w:jc w:val="center"/>
      </w:pPr>
      <w:r>
        <w:rPr>
          <w:b/>
          <w:sz w:val="52"/>
        </w:rPr>
        <w:t xml:space="preserve"> </w:t>
      </w:r>
    </w:p>
    <w:p w:rsidR="0079231A" w:rsidRDefault="00D95375">
      <w:pPr>
        <w:spacing w:after="0" w:line="259" w:lineRule="auto"/>
        <w:ind w:left="293" w:right="0" w:firstLine="0"/>
        <w:jc w:val="left"/>
      </w:pPr>
      <w:r>
        <w:rPr>
          <w:b/>
          <w:sz w:val="52"/>
        </w:rPr>
        <w:t xml:space="preserve"> </w:t>
      </w:r>
    </w:p>
    <w:p w:rsidR="0079231A" w:rsidRDefault="00D95375">
      <w:pPr>
        <w:spacing w:after="0" w:line="259" w:lineRule="auto"/>
        <w:ind w:left="293" w:right="0" w:firstLine="0"/>
        <w:jc w:val="left"/>
      </w:pPr>
      <w:r>
        <w:rPr>
          <w:b/>
          <w:sz w:val="52"/>
        </w:rPr>
        <w:t xml:space="preserve"> </w:t>
      </w:r>
    </w:p>
    <w:p w:rsidR="0079231A" w:rsidRDefault="00D95375">
      <w:pPr>
        <w:spacing w:after="0" w:line="259" w:lineRule="auto"/>
        <w:ind w:left="293" w:right="0" w:firstLine="0"/>
        <w:jc w:val="left"/>
      </w:pPr>
      <w:r>
        <w:rPr>
          <w:b/>
          <w:sz w:val="52"/>
        </w:rPr>
        <w:t xml:space="preserve"> </w:t>
      </w:r>
    </w:p>
    <w:p w:rsidR="0079231A" w:rsidRDefault="00D95375">
      <w:pPr>
        <w:spacing w:after="0" w:line="259" w:lineRule="auto"/>
        <w:ind w:left="293" w:right="0" w:firstLine="0"/>
        <w:jc w:val="left"/>
      </w:pPr>
      <w:r>
        <w:rPr>
          <w:b/>
          <w:sz w:val="52"/>
        </w:rPr>
        <w:t xml:space="preserve"> </w:t>
      </w:r>
    </w:p>
    <w:p w:rsidR="0079231A" w:rsidRDefault="00D95375">
      <w:pPr>
        <w:spacing w:after="0" w:line="259" w:lineRule="auto"/>
        <w:ind w:left="293" w:right="0" w:firstLine="0"/>
        <w:jc w:val="left"/>
      </w:pPr>
      <w:r>
        <w:rPr>
          <w:b/>
          <w:sz w:val="52"/>
        </w:rPr>
        <w:t xml:space="preserve"> </w:t>
      </w:r>
    </w:p>
    <w:p w:rsidR="0079231A" w:rsidRDefault="00D95375">
      <w:pPr>
        <w:tabs>
          <w:tab w:val="center" w:pos="1094"/>
          <w:tab w:val="center" w:pos="2417"/>
        </w:tabs>
        <w:spacing w:after="3" w:line="259" w:lineRule="auto"/>
        <w:ind w:left="0" w:right="0" w:firstLine="0"/>
        <w:jc w:val="left"/>
      </w:pPr>
      <w:r>
        <w:rPr>
          <w:rFonts w:ascii="Calibri" w:eastAsia="Calibri" w:hAnsi="Calibri" w:cs="Calibri"/>
        </w:rPr>
        <w:tab/>
      </w:r>
      <w:r>
        <w:rPr>
          <w:sz w:val="24"/>
        </w:rPr>
        <w:t xml:space="preserve">Jejíž obsah tvoří:  </w:t>
      </w:r>
      <w:r>
        <w:rPr>
          <w:sz w:val="24"/>
        </w:rPr>
        <w:tab/>
        <w:t xml:space="preserve"> </w:t>
      </w:r>
    </w:p>
    <w:p w:rsidR="0079231A" w:rsidRDefault="00D95375">
      <w:pPr>
        <w:spacing w:after="0" w:line="259" w:lineRule="auto"/>
        <w:ind w:left="293" w:right="0" w:firstLine="0"/>
        <w:jc w:val="left"/>
      </w:pPr>
      <w:r>
        <w:rPr>
          <w:sz w:val="24"/>
        </w:rPr>
        <w:t xml:space="preserve"> </w:t>
      </w:r>
    </w:p>
    <w:p w:rsidR="0079231A" w:rsidRDefault="00D95375">
      <w:pPr>
        <w:numPr>
          <w:ilvl w:val="0"/>
          <w:numId w:val="1"/>
        </w:numPr>
        <w:spacing w:after="3" w:line="259" w:lineRule="auto"/>
        <w:ind w:right="0" w:hanging="240"/>
        <w:jc w:val="left"/>
      </w:pPr>
      <w:r>
        <w:rPr>
          <w:sz w:val="24"/>
        </w:rPr>
        <w:t xml:space="preserve">Výběrový list Smlouvy </w:t>
      </w:r>
    </w:p>
    <w:p w:rsidR="0079231A" w:rsidRDefault="00D95375">
      <w:pPr>
        <w:numPr>
          <w:ilvl w:val="0"/>
          <w:numId w:val="1"/>
        </w:numPr>
        <w:spacing w:after="3" w:line="259" w:lineRule="auto"/>
        <w:ind w:right="0" w:hanging="240"/>
        <w:jc w:val="left"/>
      </w:pPr>
      <w:r>
        <w:rPr>
          <w:sz w:val="24"/>
        </w:rPr>
        <w:t xml:space="preserve">Obecné znění Smlouvy </w:t>
      </w:r>
    </w:p>
    <w:p w:rsidR="0079231A" w:rsidRDefault="00D95375">
      <w:pPr>
        <w:numPr>
          <w:ilvl w:val="0"/>
          <w:numId w:val="1"/>
        </w:numPr>
        <w:spacing w:after="3" w:line="259" w:lineRule="auto"/>
        <w:ind w:right="0" w:hanging="240"/>
        <w:jc w:val="left"/>
      </w:pPr>
      <w:r>
        <w:rPr>
          <w:sz w:val="24"/>
        </w:rPr>
        <w:t xml:space="preserve">Příloha A – Seznam Odběrných míst Zákazníka </w:t>
      </w:r>
    </w:p>
    <w:p w:rsidR="0079231A" w:rsidRDefault="00D95375">
      <w:pPr>
        <w:numPr>
          <w:ilvl w:val="0"/>
          <w:numId w:val="1"/>
        </w:numPr>
        <w:spacing w:after="3" w:line="259" w:lineRule="auto"/>
        <w:ind w:right="0" w:hanging="240"/>
        <w:jc w:val="left"/>
      </w:pPr>
      <w:r>
        <w:rPr>
          <w:sz w:val="24"/>
        </w:rPr>
        <w:t xml:space="preserve">Příloha B – Seznam korespondenčních adres a fakturačních dat Zákazníka </w:t>
      </w:r>
    </w:p>
    <w:p w:rsidR="0079231A" w:rsidRDefault="00D95375">
      <w:pPr>
        <w:numPr>
          <w:ilvl w:val="0"/>
          <w:numId w:val="1"/>
        </w:numPr>
        <w:spacing w:after="3" w:line="259" w:lineRule="auto"/>
        <w:ind w:right="0" w:hanging="240"/>
        <w:jc w:val="left"/>
      </w:pPr>
      <w:r>
        <w:rPr>
          <w:sz w:val="24"/>
        </w:rPr>
        <w:t xml:space="preserve">Příloha C – Seznam kontaktních osob, osob pro fakturaci Zákazníka </w:t>
      </w:r>
    </w:p>
    <w:p w:rsidR="0079231A" w:rsidRDefault="00D95375">
      <w:pPr>
        <w:numPr>
          <w:ilvl w:val="0"/>
          <w:numId w:val="1"/>
        </w:numPr>
        <w:spacing w:after="3" w:line="259" w:lineRule="auto"/>
        <w:ind w:right="0" w:hanging="240"/>
        <w:jc w:val="left"/>
      </w:pPr>
      <w:r>
        <w:rPr>
          <w:sz w:val="24"/>
        </w:rPr>
        <w:t xml:space="preserve">Příloha č. 3 - Způsob realizace postupného nákupu </w:t>
      </w:r>
    </w:p>
    <w:p w:rsidR="0079231A" w:rsidRDefault="00D95375">
      <w:pPr>
        <w:spacing w:after="208" w:line="259" w:lineRule="auto"/>
        <w:ind w:left="293" w:right="0" w:firstLine="0"/>
        <w:jc w:val="left"/>
      </w:pPr>
      <w:r>
        <w:rPr>
          <w:sz w:val="24"/>
        </w:rPr>
        <w:t xml:space="preserve"> </w:t>
      </w:r>
    </w:p>
    <w:p w:rsidR="0079231A" w:rsidRDefault="00D95375">
      <w:pPr>
        <w:spacing w:after="36" w:line="259" w:lineRule="auto"/>
        <w:ind w:left="293" w:right="0" w:firstLine="0"/>
        <w:jc w:val="left"/>
      </w:pPr>
      <w:r>
        <w:rPr>
          <w:b/>
          <w:sz w:val="52"/>
        </w:rPr>
        <w:t xml:space="preserve"> </w:t>
      </w:r>
    </w:p>
    <w:p w:rsidR="0079231A" w:rsidRDefault="00D95375">
      <w:pPr>
        <w:spacing w:after="35" w:line="259" w:lineRule="auto"/>
        <w:ind w:left="293" w:right="0" w:firstLine="0"/>
        <w:jc w:val="left"/>
      </w:pPr>
      <w:r>
        <w:rPr>
          <w:b/>
          <w:sz w:val="52"/>
        </w:rPr>
        <w:t xml:space="preserve"> </w:t>
      </w:r>
    </w:p>
    <w:p w:rsidR="0079231A" w:rsidRDefault="00D95375">
      <w:pPr>
        <w:spacing w:after="35" w:line="259" w:lineRule="auto"/>
        <w:ind w:left="293" w:right="0" w:firstLine="0"/>
        <w:jc w:val="left"/>
      </w:pPr>
      <w:r>
        <w:rPr>
          <w:b/>
          <w:sz w:val="52"/>
        </w:rPr>
        <w:t xml:space="preserve"> </w:t>
      </w:r>
    </w:p>
    <w:p w:rsidR="0079231A" w:rsidRDefault="00D95375">
      <w:pPr>
        <w:spacing w:after="0" w:line="259" w:lineRule="auto"/>
        <w:ind w:left="293" w:right="0" w:firstLine="0"/>
        <w:jc w:val="left"/>
      </w:pPr>
      <w:r>
        <w:rPr>
          <w:b/>
          <w:sz w:val="52"/>
        </w:rPr>
        <w:t xml:space="preserve"> </w:t>
      </w:r>
    </w:p>
    <w:p w:rsidR="0079231A" w:rsidRDefault="00D95375">
      <w:pPr>
        <w:spacing w:after="0" w:line="259" w:lineRule="auto"/>
        <w:ind w:left="293" w:right="0" w:firstLine="0"/>
        <w:jc w:val="left"/>
      </w:pPr>
      <w:r>
        <w:rPr>
          <w:b/>
          <w:sz w:val="28"/>
        </w:rPr>
        <w:t xml:space="preserve"> </w:t>
      </w:r>
    </w:p>
    <w:p w:rsidR="0079231A" w:rsidRDefault="00D95375">
      <w:pPr>
        <w:pStyle w:val="Nadpis2"/>
        <w:jc w:val="left"/>
      </w:pPr>
      <w:r>
        <w:t xml:space="preserve">VÝBĚROVÝ LIST SMLOUVY  </w:t>
      </w:r>
    </w:p>
    <w:p w:rsidR="0079231A" w:rsidRDefault="00D95375">
      <w:pPr>
        <w:spacing w:after="29" w:line="259" w:lineRule="auto"/>
        <w:ind w:left="293" w:right="0" w:firstLine="0"/>
        <w:jc w:val="left"/>
      </w:pPr>
      <w:r>
        <w:rPr>
          <w:sz w:val="20"/>
        </w:rPr>
        <w:t xml:space="preserve"> </w:t>
      </w:r>
    </w:p>
    <w:p w:rsidR="0079231A" w:rsidRDefault="00D95375">
      <w:pPr>
        <w:ind w:left="288" w:right="0"/>
      </w:pPr>
      <w:r>
        <w:t>Níže uvedené smluvní strany uzavírají podle ustanovení § 72 odst. 2 Energetického zákona Smlouvu o sdružených službách dodávky plynu ve znění obsaženém v tomto Výběrovém listu, Obecném znění Smlouvy a nedílných Přílohách (dále jen „</w:t>
      </w:r>
      <w:r>
        <w:rPr>
          <w:b/>
        </w:rPr>
        <w:t>Smlouva</w:t>
      </w:r>
      <w:r>
        <w:t xml:space="preserve">“): </w:t>
      </w:r>
    </w:p>
    <w:p w:rsidR="0079231A" w:rsidRDefault="00D95375">
      <w:pPr>
        <w:spacing w:after="41" w:line="259" w:lineRule="auto"/>
        <w:ind w:left="293" w:right="0" w:firstLine="0"/>
        <w:jc w:val="left"/>
      </w:pPr>
      <w:r>
        <w:rPr>
          <w:b/>
          <w:color w:val="0000FF"/>
        </w:rPr>
        <w:t xml:space="preserve"> </w:t>
      </w:r>
    </w:p>
    <w:p w:rsidR="0079231A" w:rsidRDefault="00D95375">
      <w:pPr>
        <w:spacing w:after="30"/>
        <w:ind w:left="288" w:right="3896"/>
      </w:pPr>
      <w:r>
        <w:rPr>
          <w:b/>
        </w:rPr>
        <w:t xml:space="preserve">Pražská plynárenská, a. s.  </w:t>
      </w:r>
      <w:r>
        <w:rPr>
          <w:b/>
        </w:rPr>
        <w:tab/>
        <w:t xml:space="preserve">  </w:t>
      </w:r>
      <w:r>
        <w:t xml:space="preserve">se sídlem Praha 1 – Nové Město, Národní 37, PSČ 110 00 </w:t>
      </w:r>
      <w:r>
        <w:tab/>
        <w:t xml:space="preserve"> </w:t>
      </w:r>
      <w:r>
        <w:tab/>
        <w:t xml:space="preserve"> </w:t>
      </w:r>
      <w:r>
        <w:tab/>
        <w:t xml:space="preserve"> </w:t>
      </w:r>
      <w:r>
        <w:tab/>
        <w:t xml:space="preserve">  </w:t>
      </w:r>
    </w:p>
    <w:p w:rsidR="0079231A" w:rsidRDefault="00D95375">
      <w:pPr>
        <w:ind w:left="288" w:right="0"/>
      </w:pPr>
      <w:r>
        <w:t xml:space="preserve">IČ: 60193492,  </w:t>
      </w:r>
    </w:p>
    <w:p w:rsidR="0079231A" w:rsidRDefault="00D95375">
      <w:pPr>
        <w:ind w:left="288" w:right="0"/>
      </w:pPr>
      <w:r>
        <w:t xml:space="preserve">DIČ: CZ60193492 </w:t>
      </w:r>
    </w:p>
    <w:p w:rsidR="0079231A" w:rsidRDefault="00D95375">
      <w:pPr>
        <w:spacing w:after="34"/>
        <w:ind w:left="288" w:right="0"/>
      </w:pPr>
      <w:r>
        <w:lastRenderedPageBreak/>
        <w:t xml:space="preserve">Společnost zapsána v obchodním rejstříku, vedeném Městským soudem v Praze, oddíl B, vložka 2337 zastoupená na základě plné moci: Jiřím Kuncem, manažerem pro veřejné zakázky a el. aukce  </w:t>
      </w:r>
    </w:p>
    <w:p w:rsidR="0079231A" w:rsidRDefault="00D95375">
      <w:pPr>
        <w:spacing w:after="44" w:line="259" w:lineRule="auto"/>
        <w:ind w:left="293" w:right="0" w:firstLine="0"/>
        <w:jc w:val="left"/>
      </w:pPr>
      <w:r>
        <w:t xml:space="preserve"> </w:t>
      </w:r>
      <w:r>
        <w:tab/>
        <w:t xml:space="preserve"> </w:t>
      </w:r>
      <w:r>
        <w:tab/>
        <w:t xml:space="preserve">  </w:t>
      </w:r>
    </w:p>
    <w:p w:rsidR="0079231A" w:rsidRDefault="00D95375">
      <w:pPr>
        <w:tabs>
          <w:tab w:val="center" w:pos="1068"/>
          <w:tab w:val="center" w:pos="4053"/>
          <w:tab w:val="center" w:pos="5958"/>
          <w:tab w:val="center" w:pos="6666"/>
        </w:tabs>
        <w:ind w:left="0" w:right="0" w:firstLine="0"/>
        <w:jc w:val="left"/>
      </w:pPr>
      <w:r>
        <w:rPr>
          <w:rFonts w:ascii="Calibri" w:eastAsia="Calibri" w:hAnsi="Calibri" w:cs="Calibri"/>
        </w:rPr>
        <w:tab/>
      </w:r>
      <w:r>
        <w:t xml:space="preserve">Bankovní spojení: </w:t>
      </w:r>
      <w:r>
        <w:tab/>
        <w:t xml:space="preserve">Československá obchodní banka, a.s. </w:t>
      </w:r>
      <w:r>
        <w:tab/>
        <w:t xml:space="preserve"> </w:t>
      </w:r>
      <w:r>
        <w:tab/>
        <w:t xml:space="preserve">  </w:t>
      </w:r>
    </w:p>
    <w:p w:rsidR="0079231A" w:rsidRDefault="00D95375">
      <w:pPr>
        <w:ind w:left="288" w:right="0"/>
      </w:pPr>
      <w:r>
        <w:t xml:space="preserve">Číslo účtu / kód banky: 117671123/0300 (CZK) </w:t>
      </w:r>
    </w:p>
    <w:p w:rsidR="0079231A" w:rsidRDefault="00D95375">
      <w:pPr>
        <w:ind w:left="288" w:right="0"/>
      </w:pPr>
      <w:r>
        <w:t xml:space="preserve">Kontaktní osoba: </w:t>
      </w:r>
      <w:r>
        <w:rPr>
          <w:shd w:val="clear" w:color="auto" w:fill="000000"/>
        </w:rPr>
        <w:t>Jiří Kunc</w:t>
      </w:r>
      <w:r>
        <w:t xml:space="preserve">, manažer pro veřejné zakázky a el. aukce, tel./fax.: </w:t>
      </w:r>
      <w:r>
        <w:rPr>
          <w:shd w:val="clear" w:color="auto" w:fill="000000"/>
        </w:rPr>
        <w:t>267175402</w:t>
      </w:r>
      <w:r>
        <w:t xml:space="preserve">, </w:t>
      </w:r>
    </w:p>
    <w:p w:rsidR="0079231A" w:rsidRDefault="00D95375">
      <w:pPr>
        <w:ind w:left="288" w:right="0"/>
      </w:pPr>
      <w:r>
        <w:rPr>
          <w:shd w:val="clear" w:color="auto" w:fill="000000"/>
        </w:rPr>
        <w:t>724315918/267175402</w:t>
      </w:r>
      <w:r>
        <w:t xml:space="preserve">, e-mail: </w:t>
      </w:r>
      <w:r>
        <w:rPr>
          <w:shd w:val="clear" w:color="auto" w:fill="000000"/>
        </w:rPr>
        <w:t>jiri.kunc@ppas.cz</w:t>
      </w:r>
      <w:r>
        <w:t xml:space="preserve">, místo stálého pracoviště: U Plynárny 500, Praha 4 - Michle </w:t>
      </w:r>
    </w:p>
    <w:p w:rsidR="0079231A" w:rsidRDefault="00D95375">
      <w:pPr>
        <w:spacing w:after="14" w:line="259" w:lineRule="auto"/>
        <w:ind w:left="293" w:right="0" w:firstLine="0"/>
        <w:jc w:val="left"/>
      </w:pPr>
      <w:r>
        <w:t xml:space="preserve"> </w:t>
      </w:r>
    </w:p>
    <w:p w:rsidR="0079231A" w:rsidRDefault="00D95375">
      <w:pPr>
        <w:spacing w:line="267" w:lineRule="auto"/>
        <w:ind w:left="288" w:right="172"/>
        <w:jc w:val="left"/>
      </w:pPr>
      <w:r>
        <w:t>(dále jen</w:t>
      </w:r>
      <w:r>
        <w:rPr>
          <w:b/>
        </w:rPr>
        <w:t xml:space="preserve"> „Obchodník“</w:t>
      </w:r>
      <w:r>
        <w:t>)</w:t>
      </w:r>
      <w:r>
        <w:rPr>
          <w:b/>
        </w:rPr>
        <w:t xml:space="preserve"> </w:t>
      </w:r>
    </w:p>
    <w:p w:rsidR="0079231A" w:rsidRDefault="00D95375">
      <w:pPr>
        <w:spacing w:after="14" w:line="259" w:lineRule="auto"/>
        <w:ind w:left="293" w:right="0" w:firstLine="0"/>
        <w:jc w:val="left"/>
      </w:pPr>
      <w:r>
        <w:rPr>
          <w:b/>
          <w:color w:val="0000FF"/>
        </w:rPr>
        <w:t xml:space="preserve"> </w:t>
      </w:r>
    </w:p>
    <w:p w:rsidR="0079231A" w:rsidRDefault="00D95375">
      <w:pPr>
        <w:spacing w:line="267" w:lineRule="auto"/>
        <w:ind w:left="288" w:right="172"/>
        <w:jc w:val="left"/>
      </w:pPr>
      <w:r>
        <w:rPr>
          <w:b/>
        </w:rPr>
        <w:t>a</w:t>
      </w:r>
      <w:r>
        <w:t xml:space="preserve"> </w:t>
      </w:r>
      <w:r>
        <w:rPr>
          <w:b/>
        </w:rPr>
        <w:t xml:space="preserve"> </w:t>
      </w:r>
    </w:p>
    <w:p w:rsidR="0079231A" w:rsidRDefault="00D95375">
      <w:pPr>
        <w:spacing w:after="14" w:line="259" w:lineRule="auto"/>
        <w:ind w:left="293" w:right="0" w:firstLine="0"/>
        <w:jc w:val="left"/>
      </w:pPr>
      <w:r>
        <w:rPr>
          <w:b/>
        </w:rPr>
        <w:t xml:space="preserve"> </w:t>
      </w:r>
    </w:p>
    <w:p w:rsidR="0079231A" w:rsidRDefault="00D95375">
      <w:pPr>
        <w:ind w:left="288" w:right="4294"/>
      </w:pPr>
      <w:r>
        <w:rPr>
          <w:b/>
        </w:rPr>
        <w:t xml:space="preserve">Obchodní akademie, Praha 3, Kubelíkova 37 </w:t>
      </w:r>
      <w:r>
        <w:t xml:space="preserve">se sídlem Praha 3, Žižkov, Kubelíkova 1221/37 </w:t>
      </w:r>
    </w:p>
    <w:p w:rsidR="0079231A" w:rsidRDefault="00D95375">
      <w:pPr>
        <w:ind w:left="288" w:right="0"/>
      </w:pPr>
      <w:r>
        <w:t xml:space="preserve">IČO: 70107050  </w:t>
      </w:r>
    </w:p>
    <w:p w:rsidR="0079231A" w:rsidRDefault="00D95375">
      <w:pPr>
        <w:ind w:left="288" w:right="0"/>
      </w:pPr>
      <w:r>
        <w:t xml:space="preserve">DIČ: CZ  </w:t>
      </w:r>
    </w:p>
    <w:p w:rsidR="0079231A" w:rsidRDefault="00D95375">
      <w:pPr>
        <w:ind w:left="288" w:right="0"/>
      </w:pPr>
      <w:r>
        <w:t xml:space="preserve">Zastoupená:  Mgr. Barbora Smutná, ředitelka </w:t>
      </w:r>
    </w:p>
    <w:p w:rsidR="0079231A" w:rsidRDefault="00D95375">
      <w:pPr>
        <w:ind w:left="288" w:right="0"/>
      </w:pPr>
      <w:r>
        <w:t xml:space="preserve">Bankovní spojení: viz Příloha B </w:t>
      </w:r>
    </w:p>
    <w:p w:rsidR="0079231A" w:rsidRDefault="00D95375">
      <w:pPr>
        <w:ind w:left="288" w:right="0"/>
      </w:pPr>
      <w:r>
        <w:t xml:space="preserve">Číslo účtu / kód banky: viz Příloha B </w:t>
      </w:r>
    </w:p>
    <w:p w:rsidR="0079231A" w:rsidRDefault="00D95375">
      <w:pPr>
        <w:ind w:left="288" w:right="0"/>
      </w:pPr>
      <w:r>
        <w:t xml:space="preserve">Adresa k zasílání fakturace a veškerých sdělení určených Zákazníkovi: viz Příloha B  </w:t>
      </w:r>
    </w:p>
    <w:p w:rsidR="0079231A" w:rsidRDefault="00D95375">
      <w:pPr>
        <w:spacing w:after="14" w:line="259" w:lineRule="auto"/>
        <w:ind w:left="293" w:right="0" w:firstLine="0"/>
        <w:jc w:val="left"/>
      </w:pPr>
      <w:r>
        <w:rPr>
          <w:color w:val="0000FF"/>
        </w:rPr>
        <w:t xml:space="preserve"> </w:t>
      </w:r>
    </w:p>
    <w:p w:rsidR="0079231A" w:rsidRDefault="00D95375">
      <w:pPr>
        <w:ind w:left="288" w:right="0"/>
      </w:pPr>
      <w:r>
        <w:t xml:space="preserve">Kontaktní osoby: viz Příloha C </w:t>
      </w:r>
    </w:p>
    <w:p w:rsidR="0079231A" w:rsidRDefault="00D95375">
      <w:pPr>
        <w:spacing w:after="16" w:line="259" w:lineRule="auto"/>
        <w:ind w:left="293" w:right="0" w:firstLine="0"/>
        <w:jc w:val="left"/>
      </w:pPr>
      <w:r>
        <w:rPr>
          <w:color w:val="0000FF"/>
        </w:rPr>
        <w:t xml:space="preserve"> </w:t>
      </w:r>
    </w:p>
    <w:p w:rsidR="0079231A" w:rsidRDefault="00D95375">
      <w:pPr>
        <w:ind w:left="288" w:right="0"/>
      </w:pPr>
      <w:r>
        <w:t>(dále jen</w:t>
      </w:r>
      <w:r>
        <w:rPr>
          <w:b/>
        </w:rPr>
        <w:t xml:space="preserve"> „Zákazník“</w:t>
      </w:r>
      <w:r>
        <w:t xml:space="preserve">) </w:t>
      </w:r>
    </w:p>
    <w:p w:rsidR="0079231A" w:rsidRDefault="00D95375">
      <w:pPr>
        <w:spacing w:after="14" w:line="259" w:lineRule="auto"/>
        <w:ind w:left="293" w:right="0" w:firstLine="0"/>
        <w:jc w:val="left"/>
      </w:pPr>
      <w:r>
        <w:t xml:space="preserve"> </w:t>
      </w:r>
    </w:p>
    <w:p w:rsidR="0079231A" w:rsidRDefault="00D95375">
      <w:pPr>
        <w:ind w:left="288" w:right="0"/>
      </w:pPr>
      <w:r>
        <w:t>(Obchodník a Zákazník dále společně jen „</w:t>
      </w:r>
      <w:r>
        <w:rPr>
          <w:b/>
        </w:rPr>
        <w:t>Smluvní strany</w:t>
      </w:r>
      <w:r>
        <w:t xml:space="preserve">“) </w:t>
      </w:r>
    </w:p>
    <w:p w:rsidR="0079231A" w:rsidRDefault="00D95375">
      <w:pPr>
        <w:spacing w:after="0" w:line="259" w:lineRule="auto"/>
        <w:ind w:left="293" w:right="0" w:firstLine="0"/>
        <w:jc w:val="left"/>
      </w:pPr>
      <w:r>
        <w:t xml:space="preserve"> </w:t>
      </w:r>
    </w:p>
    <w:p w:rsidR="0079231A" w:rsidRDefault="00D95375">
      <w:pPr>
        <w:ind w:left="288" w:right="0"/>
      </w:pPr>
      <w:r>
        <w:t xml:space="preserve">Obchodník se Smlouvou ve smyslu článku II. Obecného znění Smlouvy zavazuje v době odpovídající dále sjednanému Termínu dodávek dodávat Zákazníkovi zemní plyn a zajistit vlastním jménem a na vlastní účet související služby v plynárenství a Zákazník se zavazuje tento plyn ve sjednaném množství odebírat a zaplatit za něj a za související služby Obchodníkovi dohodnutou cenu.  </w:t>
      </w:r>
    </w:p>
    <w:p w:rsidR="0079231A" w:rsidRDefault="00D95375">
      <w:pPr>
        <w:spacing w:after="0" w:line="259" w:lineRule="auto"/>
        <w:ind w:left="293" w:right="0" w:firstLine="0"/>
        <w:jc w:val="left"/>
      </w:pPr>
      <w:r>
        <w:t xml:space="preserve"> </w:t>
      </w:r>
    </w:p>
    <w:p w:rsidR="0079231A" w:rsidRDefault="00D95375">
      <w:pPr>
        <w:ind w:left="288" w:right="0"/>
      </w:pPr>
      <w:r>
        <w:t xml:space="preserve">Pro určení rozsahu vzájemných práv a povinností Smluvních stran ze Smlouvy platí ujednání tohoto Výběrového listu, ujednání obsažená v Obecném znění Smlouvy a nedílných Přílohách Smlouvy.  </w:t>
      </w:r>
    </w:p>
    <w:p w:rsidR="0079231A" w:rsidRDefault="00D95375">
      <w:pPr>
        <w:spacing w:after="0" w:line="259" w:lineRule="auto"/>
        <w:ind w:left="293" w:right="0" w:firstLine="0"/>
        <w:jc w:val="left"/>
      </w:pPr>
      <w:r>
        <w:t xml:space="preserve"> </w:t>
      </w:r>
      <w:r>
        <w:tab/>
        <w:t xml:space="preserve"> </w:t>
      </w:r>
    </w:p>
    <w:p w:rsidR="0079231A" w:rsidRDefault="00D95375">
      <w:pPr>
        <w:ind w:left="288" w:right="0"/>
      </w:pPr>
      <w:r>
        <w:t xml:space="preserve">Termín dodávek dle Smlouvy se sjednává na dobu od 1. 1. 2018 6.00 hod. do 1. 1. 2021 6.00 hod.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rPr>
          <w:sz w:val="21"/>
        </w:rPr>
        <w:t xml:space="preserve">Doba trvání Smlouvy je doba určitá do </w:t>
      </w:r>
      <w:r>
        <w:t>31. 12. 2020</w:t>
      </w:r>
      <w:r>
        <w:rPr>
          <w:sz w:val="21"/>
        </w:rPr>
        <w:t>.</w:t>
      </w:r>
      <w:r>
        <w:t xml:space="preserve">  </w:t>
      </w:r>
    </w:p>
    <w:p w:rsidR="0079231A" w:rsidRDefault="00D95375">
      <w:pPr>
        <w:spacing w:after="0" w:line="259" w:lineRule="auto"/>
        <w:ind w:left="293" w:right="0" w:firstLine="0"/>
        <w:jc w:val="left"/>
      </w:pPr>
      <w:r>
        <w:t xml:space="preserve"> </w:t>
      </w:r>
    </w:p>
    <w:p w:rsidR="0079231A" w:rsidRDefault="00D95375">
      <w:pPr>
        <w:ind w:left="288" w:right="0"/>
      </w:pPr>
      <w:r>
        <w:t xml:space="preserve">Cena za dodávku plynu dodávaného dle Smlouvy se sjednává v nedílné Příloze č. 3 - Způsob realizace postupného nákupu ke Smlouvě. </w:t>
      </w:r>
    </w:p>
    <w:p w:rsidR="0079231A" w:rsidRDefault="00D95375">
      <w:pPr>
        <w:spacing w:after="0" w:line="259" w:lineRule="auto"/>
        <w:ind w:left="293" w:right="0" w:firstLine="0"/>
        <w:jc w:val="left"/>
      </w:pPr>
      <w:r>
        <w:t xml:space="preserve"> </w:t>
      </w:r>
    </w:p>
    <w:p w:rsidR="0079231A" w:rsidRDefault="00D95375">
      <w:pPr>
        <w:ind w:left="288" w:right="0"/>
      </w:pPr>
      <w:r>
        <w:t xml:space="preserve">Úplné ujednání o celkovém množství plynu dodávaného dle Smlouvy je obsaženo v Příloze A – Seznam Odběrných míst Zákazníka k Smlouvě. </w:t>
      </w:r>
    </w:p>
    <w:p w:rsidR="0079231A" w:rsidRDefault="00D95375">
      <w:pPr>
        <w:spacing w:after="0" w:line="259" w:lineRule="auto"/>
        <w:ind w:left="293" w:right="0" w:firstLine="0"/>
        <w:jc w:val="left"/>
      </w:pPr>
      <w:r>
        <w:t xml:space="preserve"> </w:t>
      </w:r>
    </w:p>
    <w:p w:rsidR="0079231A" w:rsidRDefault="00D95375">
      <w:pPr>
        <w:ind w:left="288" w:right="0"/>
      </w:pPr>
      <w:r>
        <w:t xml:space="preserve">Platba záloh je stanovena na základě dat z Přílohy B – Seznam korespondenčních adres a fakturačních dat Zákazníka . </w:t>
      </w:r>
    </w:p>
    <w:p w:rsidR="0079231A" w:rsidRDefault="00D95375">
      <w:pPr>
        <w:spacing w:after="0" w:line="259" w:lineRule="auto"/>
        <w:ind w:left="293" w:right="0" w:firstLine="0"/>
        <w:jc w:val="left"/>
      </w:pPr>
      <w:r>
        <w:t xml:space="preserve"> </w:t>
      </w:r>
    </w:p>
    <w:p w:rsidR="0079231A" w:rsidRDefault="00D95375">
      <w:pPr>
        <w:ind w:left="288" w:right="0"/>
      </w:pPr>
      <w:r>
        <w:t xml:space="preserve">Smluvní strany sjednávají splatnost faktur ve lhůtě 21 dnů po vystavení. </w:t>
      </w:r>
    </w:p>
    <w:p w:rsidR="0079231A" w:rsidRDefault="00D95375">
      <w:pPr>
        <w:spacing w:after="0" w:line="259" w:lineRule="auto"/>
        <w:ind w:left="293" w:right="0" w:firstLine="0"/>
        <w:jc w:val="left"/>
      </w:pPr>
      <w:r>
        <w:lastRenderedPageBreak/>
        <w:t xml:space="preserve"> </w:t>
      </w:r>
    </w:p>
    <w:p w:rsidR="0079231A" w:rsidRDefault="00D95375">
      <w:pPr>
        <w:ind w:left="288" w:right="0"/>
      </w:pPr>
      <w:r>
        <w:t xml:space="preserve">Smluvní strany sjednávají, že Zákazník je povinen hradit zálohy na dodávky zemního plynu v souladu s Přílohou B – Seznam korespondenčních adres a fakturačních dat Zákazníka. </w:t>
      </w:r>
    </w:p>
    <w:p w:rsidR="0079231A" w:rsidRDefault="00D95375">
      <w:pPr>
        <w:ind w:left="288" w:right="0"/>
      </w:pPr>
      <w:r>
        <w:t xml:space="preserve">.  </w:t>
      </w:r>
    </w:p>
    <w:p w:rsidR="0079231A" w:rsidRDefault="00D95375">
      <w:pPr>
        <w:ind w:left="288" w:right="0"/>
      </w:pPr>
      <w:r>
        <w:t xml:space="preserve">V případě, že Zákazník není povinen zálohy hradit, ustanovení Smlouvy o zálohách se nepoužijí. </w:t>
      </w:r>
    </w:p>
    <w:p w:rsidR="0079231A" w:rsidRDefault="00D95375">
      <w:pPr>
        <w:spacing w:after="0" w:line="259" w:lineRule="auto"/>
        <w:ind w:left="293" w:right="0" w:firstLine="0"/>
        <w:jc w:val="left"/>
      </w:pPr>
      <w:r>
        <w:t xml:space="preserve"> </w:t>
      </w:r>
    </w:p>
    <w:p w:rsidR="0079231A" w:rsidRDefault="00D95375">
      <w:pPr>
        <w:ind w:left="288" w:right="0"/>
      </w:pPr>
      <w:r>
        <w:t xml:space="preserve">Smluvní strany sjednávají, že veškeré úhrady peněžitých částek Zákazníkem Obchodníkovi budou prováděny bezhotovostní formou převodu na bankovní účet. </w:t>
      </w:r>
    </w:p>
    <w:p w:rsidR="0079231A" w:rsidRDefault="00D95375">
      <w:pPr>
        <w:spacing w:after="0" w:line="259" w:lineRule="auto"/>
        <w:ind w:left="293" w:right="0" w:firstLine="0"/>
        <w:jc w:val="left"/>
      </w:pPr>
      <w:r>
        <w:t xml:space="preserve"> </w:t>
      </w:r>
    </w:p>
    <w:p w:rsidR="0079231A" w:rsidRDefault="00D95375">
      <w:pPr>
        <w:ind w:left="288" w:right="0"/>
      </w:pPr>
      <w:r>
        <w:t xml:space="preserve">Zákazník souhlasí se zasíláním a doručováním faktur v elektronické podobě na adresu uvedenou v záhlaví Výběrového listu s odkazem na příslušnou přílohu.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line="267" w:lineRule="auto"/>
        <w:ind w:left="288" w:right="172"/>
        <w:jc w:val="left"/>
      </w:pPr>
      <w:r>
        <w:rPr>
          <w:b/>
        </w:rPr>
        <w:t xml:space="preserve">Zvláštních ujednání dle podmínek ZD </w:t>
      </w:r>
    </w:p>
    <w:p w:rsidR="0079231A" w:rsidRDefault="00D95375">
      <w:pPr>
        <w:spacing w:after="0" w:line="259" w:lineRule="auto"/>
        <w:ind w:left="293" w:right="0" w:firstLine="0"/>
        <w:jc w:val="left"/>
      </w:pPr>
      <w:r>
        <w:rPr>
          <w:b/>
        </w:rPr>
        <w:t xml:space="preserve"> </w:t>
      </w:r>
    </w:p>
    <w:p w:rsidR="0079231A" w:rsidRDefault="00D95375">
      <w:pPr>
        <w:numPr>
          <w:ilvl w:val="0"/>
          <w:numId w:val="2"/>
        </w:numPr>
        <w:ind w:right="0" w:hanging="230"/>
      </w:pPr>
      <w:r>
        <w:t xml:space="preserve">Smlouva je uzavřena na dobu určitou bez možnosti automatické prolongace. </w:t>
      </w:r>
    </w:p>
    <w:p w:rsidR="0079231A" w:rsidRDefault="00D95375">
      <w:pPr>
        <w:spacing w:after="0" w:line="259" w:lineRule="auto"/>
        <w:ind w:left="293" w:right="0" w:firstLine="0"/>
        <w:jc w:val="left"/>
      </w:pPr>
      <w:r>
        <w:t xml:space="preserve"> </w:t>
      </w:r>
    </w:p>
    <w:p w:rsidR="0079231A" w:rsidRDefault="00D95375">
      <w:pPr>
        <w:numPr>
          <w:ilvl w:val="0"/>
          <w:numId w:val="2"/>
        </w:numPr>
        <w:ind w:right="0" w:hanging="230"/>
      </w:pPr>
      <w:r>
        <w:t xml:space="preserve">Dodavatel se zavazuje udržovat veškerá oprávnění nezbytná pro plnění předmětu smlouvy po celou dobu plnění veřejné zakázky. </w:t>
      </w:r>
    </w:p>
    <w:p w:rsidR="0079231A" w:rsidRDefault="00D95375">
      <w:pPr>
        <w:spacing w:after="0" w:line="259" w:lineRule="auto"/>
        <w:ind w:left="293" w:right="0" w:firstLine="0"/>
        <w:jc w:val="left"/>
      </w:pPr>
      <w:r>
        <w:t xml:space="preserve"> </w:t>
      </w:r>
    </w:p>
    <w:p w:rsidR="0079231A" w:rsidRDefault="00D95375">
      <w:pPr>
        <w:numPr>
          <w:ilvl w:val="0"/>
          <w:numId w:val="2"/>
        </w:numPr>
        <w:ind w:right="0" w:hanging="230"/>
      </w:pPr>
      <w:r>
        <w:t xml:space="preserve">Na odběratele se nevztahují sankce za nedodržení množství odběru zemního plynu. </w:t>
      </w:r>
    </w:p>
    <w:p w:rsidR="0079231A" w:rsidRDefault="00D95375">
      <w:pPr>
        <w:spacing w:after="0" w:line="259" w:lineRule="auto"/>
        <w:ind w:left="293" w:right="0" w:firstLine="0"/>
        <w:jc w:val="left"/>
      </w:pPr>
      <w:r>
        <w:t xml:space="preserve"> </w:t>
      </w:r>
    </w:p>
    <w:p w:rsidR="0079231A" w:rsidRDefault="00D95375">
      <w:pPr>
        <w:numPr>
          <w:ilvl w:val="0"/>
          <w:numId w:val="2"/>
        </w:numPr>
        <w:ind w:right="0" w:hanging="230"/>
      </w:pPr>
      <w:r>
        <w:t xml:space="preserve">Dodavatel přebírá úplnou zodpovědnost za odchylku. Nebude se vyhodnocovat skutečně odebrané množství zemního plynu ve smyslu jakýchkoliv dalších poplatků, nebo sankcí. </w:t>
      </w:r>
    </w:p>
    <w:p w:rsidR="0079231A" w:rsidRDefault="00D95375">
      <w:pPr>
        <w:spacing w:after="0" w:line="259" w:lineRule="auto"/>
        <w:ind w:left="293" w:right="0" w:firstLine="0"/>
        <w:jc w:val="left"/>
      </w:pPr>
      <w:r>
        <w:t xml:space="preserve"> </w:t>
      </w:r>
    </w:p>
    <w:p w:rsidR="0079231A" w:rsidRDefault="00D95375">
      <w:pPr>
        <w:numPr>
          <w:ilvl w:val="0"/>
          <w:numId w:val="2"/>
        </w:numPr>
        <w:ind w:right="0" w:hanging="230"/>
      </w:pPr>
      <w:r>
        <w:t xml:space="preserve">Z důvodu provozních potřeb může odběratel v průběhu smluvního období počet měřících nebo odběrných míst změnit, a to jak zrušením stávajících, tak zřízením nových odběrných míst (případně i přepisem odběrných míst z jiného subjektu). Dodavatel i pro tyto případy odběrateli garantuje sjednané ceny, resp. koeficient, a neprodleně po oznámení odběratelem o zřízení nového odběrného místa zahájí dodávku zemního plynu za podmínek sjednaných v rámci této veřejné zakázky. </w:t>
      </w:r>
    </w:p>
    <w:p w:rsidR="0079231A" w:rsidRDefault="00D95375">
      <w:pPr>
        <w:spacing w:after="0" w:line="259" w:lineRule="auto"/>
        <w:ind w:left="293" w:right="0" w:firstLine="0"/>
        <w:jc w:val="left"/>
      </w:pPr>
      <w:r>
        <w:t xml:space="preserve"> </w:t>
      </w:r>
    </w:p>
    <w:p w:rsidR="0079231A" w:rsidRDefault="00D95375">
      <w:pPr>
        <w:numPr>
          <w:ilvl w:val="0"/>
          <w:numId w:val="2"/>
        </w:numPr>
        <w:ind w:right="0" w:hanging="230"/>
      </w:pPr>
      <w:r>
        <w:t xml:space="preserve">V případech zrušení odběrného místa u odběratele, zejména z důvodu převodu vlastnických práv k odběrnému místu, odstranění odběrného místa, demolice, zničení živelnou pohromou, je odběratel oprávněn ukončit smluvní vztah s dodavatelem k danému odběrnému místu nejpozději do 30 dnů ode dne oznámení dodavateli o zrušení odběrného místa, a to bez nároku na finanční kompenzaci. </w:t>
      </w:r>
    </w:p>
    <w:p w:rsidR="0079231A" w:rsidRDefault="00D95375">
      <w:pPr>
        <w:spacing w:after="0" w:line="259" w:lineRule="auto"/>
        <w:ind w:left="293" w:right="0" w:firstLine="0"/>
        <w:jc w:val="left"/>
      </w:pPr>
      <w:r>
        <w:t xml:space="preserve"> </w:t>
      </w:r>
    </w:p>
    <w:p w:rsidR="0079231A" w:rsidRDefault="00D95375">
      <w:pPr>
        <w:numPr>
          <w:ilvl w:val="0"/>
          <w:numId w:val="2"/>
        </w:numPr>
        <w:ind w:right="0" w:hanging="230"/>
      </w:pPr>
      <w:r>
        <w:t xml:space="preserve">Nedílnou součástí smlouvy je Příloha č. 3, jež specifikuje způsob realizace postupného nákupu. </w:t>
      </w:r>
    </w:p>
    <w:p w:rsidR="0079231A" w:rsidRDefault="00D95375">
      <w:pPr>
        <w:spacing w:after="0" w:line="259" w:lineRule="auto"/>
        <w:ind w:left="293" w:right="0" w:firstLine="0"/>
        <w:jc w:val="left"/>
      </w:pPr>
      <w:r>
        <w:t xml:space="preserve"> </w:t>
      </w:r>
    </w:p>
    <w:p w:rsidR="0079231A" w:rsidRDefault="00D95375">
      <w:pPr>
        <w:numPr>
          <w:ilvl w:val="0"/>
          <w:numId w:val="2"/>
        </w:numPr>
        <w:ind w:right="0" w:hanging="230"/>
      </w:pPr>
      <w:r>
        <w:rPr>
          <w:b/>
        </w:rPr>
        <w:t>Zadavatelé si v souladu s § 100 ZZVZ dále vyhrazují změnu závazku ze smlouvy na veřejnou zakázku</w:t>
      </w:r>
      <w:r>
        <w:t xml:space="preserve">, jejíž znění uvedené níže je účastník povinen uvést jako zvláštní ujednání do návrhu smlouvy (pro obě části VZ): </w:t>
      </w:r>
    </w:p>
    <w:p w:rsidR="0079231A" w:rsidRDefault="00D95375">
      <w:pPr>
        <w:spacing w:after="0" w:line="259" w:lineRule="auto"/>
        <w:ind w:left="293" w:right="0" w:firstLine="0"/>
        <w:jc w:val="left"/>
      </w:pPr>
      <w:r>
        <w:t xml:space="preserve">  </w:t>
      </w:r>
    </w:p>
    <w:p w:rsidR="0079231A" w:rsidRDefault="00D95375">
      <w:pPr>
        <w:ind w:left="288" w:right="0"/>
      </w:pPr>
      <w:r>
        <w:t xml:space="preserve">Odběratel je oprávněn kdykoli v průběhu smluvního období požádat dodavatele o zahájení dodávek zemního plynu do odběrných míst subjektů, které nebyly součástí veřejné zakázky, ale pro něž je centrální zadavatel zřizovatelem či majoritním vlastníkem a v průběhu smluvního období přistoupili ke smlouvě o centralizovaném zadávání formou dodatku. Dodavatel i pro tyto případy odběrateli garantuje sjednané ceny, resp. koeficient, a bez zbytečného odkladu po podání žádosti zadavatele zahájí dodávku zemního plynu do předmětných odběrných míst za podmínek sjednaných v rámci této veřejné zakázky.“ </w:t>
      </w:r>
    </w:p>
    <w:p w:rsidR="0079231A" w:rsidRDefault="00D95375">
      <w:pPr>
        <w:spacing w:after="0" w:line="259" w:lineRule="auto"/>
        <w:ind w:left="293" w:right="0" w:firstLine="0"/>
        <w:jc w:val="left"/>
      </w:pPr>
      <w:r>
        <w:t xml:space="preserve"> </w:t>
      </w:r>
    </w:p>
    <w:p w:rsidR="0079231A" w:rsidRDefault="00D95375">
      <w:pPr>
        <w:ind w:left="288" w:right="0"/>
      </w:pPr>
      <w:r>
        <w:t xml:space="preserve">Odběratel si v souladu s § 100 odst. 2 ZZVZ vyhrazuje v případě předčasného ukončení smlouvy o sdružených službách dodávky zemního plynu změnu v osobě dodavatele v průběhu realizace plnění a </w:t>
      </w:r>
      <w:r>
        <w:lastRenderedPageBreak/>
        <w:t xml:space="preserve">jeho nahrazení účastníkem zadávacího řízení, který se dle výsledku hodnocení umístil druhý v pořadí, a to za cenových podmínek (koeficient pro postupný nákup) obsažených v nabídce tohoto druhého účastníka zadávacího řízení v pořadí a v souladu se závazným návrhem smlouvy na plnění veřejné zakázky uzavřeným s dodavatelem, který má být nahrazen, přičemž odběratel je v takovém případě oprávněn závazný návrh smlouvy upravit vyjma cenových podmínek následujícím způsobem: </w:t>
      </w:r>
    </w:p>
    <w:p w:rsidR="0079231A" w:rsidRDefault="00D95375">
      <w:pPr>
        <w:spacing w:after="0" w:line="259" w:lineRule="auto"/>
        <w:ind w:left="293" w:right="0" w:firstLine="0"/>
        <w:jc w:val="left"/>
      </w:pPr>
      <w:r>
        <w:t xml:space="preserve"> </w:t>
      </w:r>
    </w:p>
    <w:p w:rsidR="0079231A" w:rsidRDefault="00D95375">
      <w:pPr>
        <w:numPr>
          <w:ilvl w:val="0"/>
          <w:numId w:val="3"/>
        </w:numPr>
        <w:ind w:left="412" w:right="0" w:hanging="134"/>
      </w:pPr>
      <w:r>
        <w:t xml:space="preserve">upravit rozsah plnění tak, aby odpovídal nedokončené části veřejné zakázky;   </w:t>
      </w:r>
    </w:p>
    <w:p w:rsidR="0079231A" w:rsidRDefault="00D95375">
      <w:pPr>
        <w:spacing w:after="0" w:line="259" w:lineRule="auto"/>
        <w:ind w:left="293" w:right="0" w:firstLine="0"/>
        <w:jc w:val="left"/>
      </w:pPr>
      <w:r>
        <w:t xml:space="preserve"> </w:t>
      </w:r>
    </w:p>
    <w:p w:rsidR="0079231A" w:rsidRDefault="00D95375">
      <w:pPr>
        <w:numPr>
          <w:ilvl w:val="0"/>
          <w:numId w:val="3"/>
        </w:numPr>
        <w:ind w:left="412" w:right="0" w:hanging="134"/>
      </w:pPr>
      <w:r>
        <w:t xml:space="preserve">upravit harmonogram a případná další smluvní ustanovení, která v důsledku předčasného ukončení původní smlouvy nejsou aktuální tak, a by v maximální možné míře odpovídaly původní smlouvě; </w:t>
      </w:r>
    </w:p>
    <w:p w:rsidR="0079231A" w:rsidRDefault="00D95375">
      <w:pPr>
        <w:spacing w:after="0" w:line="259" w:lineRule="auto"/>
        <w:ind w:left="293" w:right="0" w:firstLine="0"/>
        <w:jc w:val="left"/>
      </w:pPr>
      <w:r>
        <w:t xml:space="preserve"> </w:t>
      </w:r>
    </w:p>
    <w:p w:rsidR="0079231A" w:rsidRDefault="00D95375">
      <w:pPr>
        <w:numPr>
          <w:ilvl w:val="0"/>
          <w:numId w:val="3"/>
        </w:numPr>
        <w:ind w:left="412" w:right="0" w:hanging="134"/>
      </w:pPr>
      <w:r>
        <w:t xml:space="preserve">doplnit smlouvu o ustanovení týkající se předání a převzetí plnění od stávajícího dodavatele, je-li to nezbytné. </w:t>
      </w:r>
    </w:p>
    <w:p w:rsidR="0079231A" w:rsidRDefault="00D95375">
      <w:pPr>
        <w:spacing w:after="0" w:line="259" w:lineRule="auto"/>
        <w:ind w:left="293" w:right="0" w:firstLine="0"/>
        <w:jc w:val="left"/>
      </w:pPr>
      <w:r>
        <w:t xml:space="preserve"> </w:t>
      </w:r>
    </w:p>
    <w:p w:rsidR="0079231A" w:rsidRDefault="00D95375">
      <w:pPr>
        <w:ind w:left="288" w:right="0"/>
      </w:pPr>
      <w:r>
        <w:t xml:space="preserve">Pokud účastník zadávacího řízení, který se dle výsledku hodnocení umístil druhý v pořadí, odmítne poskytovat plnění namísto původně vybraného dodavatele za podmínek uvedených v předchozím odstavci, je odběratel oprávněn obrátit se za týchž podmínek na účastníka zadávacího řízení, který se umístil jako třetí v pořadí.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Smluvní strany této smlouvy výslovně souhlasí s tím, aby tato smlouva byla uvedena v Centrální evidenci smluv (CES) vedené hlavním městem Prahou, která je veřejně přístupná a která obsahuje údaje o jejích účastnících, předmětu, číselné označení této smlouvy, datum jejího podpisu a její text.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Smluvní strany prohlašují, že skutečnosti uvedené v této smlouvě nepovažují za obchodní tajemství ve smyslu § 504 občanského zákoníku a udělují svolení k jejich užití a zveřejnění bez stanovení jakýchkoliv dalších podmínek.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Smluvní strany této smlouvy výslovně sjednávají, že uveřejnění této smlouvy v registru smluv dle zákona č. 340/2015 Sb., o zvláštních podmínkách účinnosti některých smluv, uveřejňování těchto smluv a o registru smluv (zákon o registru smluv) zajistí hl. m. Praha.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Dodavatel prohlašuje, že bude zachovávat mlčenlivost o všech skutečnostech, o nichž se dozvěděl v souvislosti s touto smlouvou.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Dodavatel bere na vědomí, že odběratel je povinen na dotaz třetí osoby poskytovat informace v souladu se zákonem č. 106/1999 Sb., o svobodném přístupu k informacím, ve znění pozdějších předpisů, a souhlasí s tím, aby veškeré informace obsažené v této smlouvě byly v souladu s citovaným zákonem poskytnuty třetím osobám, pokud o ně požádají.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Dodavatel není oprávněn postoupit jakékoliv své pohledávky z této smlouvy na třetí osobu bez předchozího písemného souhlasu odběratele, a to ani částečně.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Pro případné spory smluvní strany sjednávají místní příslušnost obecného soudu odběratele.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Tato smlouva je vyhotovena ve čtyřech stejnopisech, z nichž tři obdrží odběratel a jeden dodavatel. </w:t>
      </w:r>
    </w:p>
    <w:p w:rsidR="0079231A" w:rsidRDefault="00D95375">
      <w:pPr>
        <w:spacing w:after="0" w:line="259" w:lineRule="auto"/>
        <w:ind w:left="293" w:right="0" w:firstLine="0"/>
        <w:jc w:val="left"/>
      </w:pPr>
      <w:r>
        <w:lastRenderedPageBreak/>
        <w:t xml:space="preserve"> </w:t>
      </w:r>
    </w:p>
    <w:p w:rsidR="0079231A" w:rsidRDefault="00D95375">
      <w:pPr>
        <w:numPr>
          <w:ilvl w:val="0"/>
          <w:numId w:val="4"/>
        </w:numPr>
        <w:ind w:left="522" w:right="0" w:hanging="244"/>
      </w:pPr>
      <w:r>
        <w:t xml:space="preserve">Tato smlouva může být měněna nebo zrušena pouze písemně, a to v případě změn smlouvy číslovanými dodatky, které musí být podepsány oběma smluvními stranami.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Tato smlouva nabývá platnosti dnem její akceptace oběma smluvními stranami a účinnosti dnem jejího uveřejnění v registru smluv dle zákona č. 340/2015 Sb., o zvláštních podmínkách účinnosti některých smluv, uveřejňování těchto smluv a o registru smluv (zákon o registru smluv). </w:t>
      </w:r>
    </w:p>
    <w:p w:rsidR="0079231A" w:rsidRDefault="00D95375">
      <w:pPr>
        <w:spacing w:after="0" w:line="259" w:lineRule="auto"/>
        <w:ind w:left="293" w:right="0" w:firstLine="0"/>
        <w:jc w:val="left"/>
      </w:pPr>
      <w:r>
        <w:t xml:space="preserve"> </w:t>
      </w:r>
    </w:p>
    <w:p w:rsidR="0079231A" w:rsidRDefault="00D95375">
      <w:pPr>
        <w:numPr>
          <w:ilvl w:val="0"/>
          <w:numId w:val="4"/>
        </w:numPr>
        <w:ind w:left="522" w:right="0" w:hanging="244"/>
      </w:pPr>
      <w:r>
        <w:t xml:space="preserve">Zúčtovací faktura je splatná do 21 kalendářních dní ode dne vystavení.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line="267" w:lineRule="auto"/>
        <w:ind w:left="288" w:right="172"/>
        <w:jc w:val="left"/>
      </w:pPr>
      <w:r>
        <w:rPr>
          <w:b/>
        </w:rPr>
        <w:t xml:space="preserve">Platební podmínky dle podmínek ZD </w:t>
      </w:r>
    </w:p>
    <w:p w:rsidR="0079231A" w:rsidRDefault="00D95375">
      <w:pPr>
        <w:spacing w:after="0" w:line="259" w:lineRule="auto"/>
        <w:ind w:left="293" w:right="0" w:firstLine="0"/>
        <w:jc w:val="left"/>
      </w:pPr>
      <w:r>
        <w:rPr>
          <w:b/>
        </w:rPr>
        <w:t xml:space="preserve"> </w:t>
      </w:r>
    </w:p>
    <w:p w:rsidR="0079231A" w:rsidRDefault="00D95375">
      <w:pPr>
        <w:ind w:left="288" w:right="0"/>
      </w:pPr>
      <w:r>
        <w:t xml:space="preserve">Frekvence úhrady zálohových plateb i zúčtovací období u jednotlivých odběrných míst jsou uvedeny v Příloze B – Seznam korespondenčních adres a fakturačních dat Zákazníka  </w:t>
      </w:r>
    </w:p>
    <w:p w:rsidR="0079231A" w:rsidRDefault="00D95375">
      <w:pPr>
        <w:spacing w:after="0" w:line="259" w:lineRule="auto"/>
        <w:ind w:left="293" w:right="0" w:firstLine="0"/>
        <w:jc w:val="left"/>
      </w:pPr>
      <w:r>
        <w:t xml:space="preserve"> </w:t>
      </w:r>
    </w:p>
    <w:p w:rsidR="0079231A" w:rsidRDefault="00D95375">
      <w:pPr>
        <w:ind w:left="288" w:right="0"/>
      </w:pPr>
      <w:r>
        <w:t xml:space="preserve">Doplatek ceny bude zaplacen na základě konečného vyúčtování (faktury), ve kterém budou zúčtovány řádně zaplacené zálohy. </w:t>
      </w:r>
      <w:r>
        <w:rPr>
          <w:b/>
        </w:rPr>
        <w:t xml:space="preserve">Zúčtovací faktura je splatná do 21 kalendářních dní ode dne vystavení. </w:t>
      </w:r>
      <w:r>
        <w:t xml:space="preserve">Dnem zaplacení se rozumí den odeslání platby dodavateli. Připadne-li den odeslání na den pracovního klidu, rozumí se dnem odeslání první následující pracovní den. </w:t>
      </w:r>
    </w:p>
    <w:p w:rsidR="0079231A" w:rsidRDefault="00D95375">
      <w:pPr>
        <w:spacing w:after="0" w:line="259" w:lineRule="auto"/>
        <w:ind w:left="293" w:right="0" w:firstLine="0"/>
        <w:jc w:val="left"/>
      </w:pPr>
      <w:r>
        <w:t xml:space="preserve"> </w:t>
      </w:r>
    </w:p>
    <w:p w:rsidR="0079231A" w:rsidRDefault="00D95375">
      <w:pPr>
        <w:ind w:left="288" w:right="0"/>
      </w:pPr>
      <w:r>
        <w:t xml:space="preserve">Zadavatelé jsou oprávněni požadovat mimořádnou fakturaci vždy k 31. 12. daného roku dodávky. Tato fakturace bude prováděna na základě samoodečtů zaslaných odběratelem nejpozději do 2. pracovního dne následujícího roku. Dodavatel není oprávněn účtovat odběrateli jakýkoli poplatek za takto provedenou fakturaci. V případě, že odběratel nezašle ve stanovené lhůtě samoodečet, není dodavatel povinen mimořádnou fakturu vystavit. </w:t>
      </w:r>
    </w:p>
    <w:p w:rsidR="0079231A" w:rsidRDefault="00D95375">
      <w:pPr>
        <w:spacing w:after="0" w:line="259" w:lineRule="auto"/>
        <w:ind w:left="293" w:right="0" w:firstLine="0"/>
        <w:jc w:val="left"/>
      </w:pPr>
      <w:r>
        <w:t xml:space="preserve"> </w:t>
      </w:r>
    </w:p>
    <w:p w:rsidR="0079231A" w:rsidRDefault="00D95375">
      <w:pPr>
        <w:ind w:left="288" w:right="0"/>
      </w:pPr>
      <w:r>
        <w:t xml:space="preserve">V případě, že budou Zadavatelé u některých odběrných míst (specifikováno v Příloze A – Seznam Odběrných míst Zákazníka a v Příloze B – Seznam korespondenčních adres a fakturačních dat Zákazníka) vyžadovat měsíční č i kvartální fakturaci pro odběrná místa s měřením typu C, zavazuje se, že bude pravidelně dodavateli zasílat samoodečty nejpozději do 2. pracovního dne následujícího měsíce. Dodavatel je pak povinen nejpozději do 15 dní od obdržení samoodečtu vystavit fakturu za dané období. V případě, že odběratel nezašle ve stanovené lhůtě samoodečet k měsíční či kvartální fakturaci, dodavatel vystaví fakturu na základě odhadu spotřeby. Odhad spotřeby pro odběrná místa typu C bude v případě, že odběratel nezašle ve stanovené lhůtě samoodečet, stanoven kvalifikovaným na základě kvalifikovaného odhadu provozovatele distribuční soustavy na základě TDD.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lastRenderedPageBreak/>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spacing w:after="0" w:line="259" w:lineRule="auto"/>
        <w:ind w:left="293" w:right="0" w:firstLine="0"/>
        <w:jc w:val="left"/>
      </w:pPr>
      <w:r>
        <w:t xml:space="preserve"> </w:t>
      </w:r>
    </w:p>
    <w:p w:rsidR="0079231A" w:rsidRDefault="00D95375">
      <w:pPr>
        <w:pStyle w:val="Nadpis2"/>
        <w:ind w:left="292"/>
      </w:pPr>
      <w:r>
        <w:t>OBECNÉ ZNĚNÍ SMLOUVY</w:t>
      </w:r>
      <w:r>
        <w:rPr>
          <w:b w:val="0"/>
          <w:sz w:val="22"/>
        </w:rPr>
        <w:t xml:space="preserve"> </w:t>
      </w:r>
    </w:p>
    <w:p w:rsidR="0079231A" w:rsidRDefault="00D95375">
      <w:pPr>
        <w:spacing w:after="74" w:line="259" w:lineRule="auto"/>
        <w:ind w:left="293" w:right="0" w:firstLine="0"/>
        <w:jc w:val="left"/>
      </w:pPr>
      <w:r>
        <w:rPr>
          <w:rFonts w:ascii="Calibri" w:eastAsia="Calibri" w:hAnsi="Calibri" w:cs="Calibri"/>
        </w:rPr>
        <w:t xml:space="preserve"> </w:t>
      </w:r>
    </w:p>
    <w:p w:rsidR="0079231A" w:rsidRDefault="00D95375">
      <w:pPr>
        <w:spacing w:after="15" w:line="259" w:lineRule="auto"/>
        <w:ind w:left="302" w:right="0"/>
        <w:jc w:val="center"/>
      </w:pPr>
      <w:r>
        <w:t xml:space="preserve">Článek I </w:t>
      </w:r>
    </w:p>
    <w:p w:rsidR="0079231A" w:rsidRDefault="00D95375">
      <w:pPr>
        <w:pStyle w:val="Nadpis3"/>
        <w:spacing w:after="61"/>
        <w:ind w:left="302" w:right="3"/>
      </w:pPr>
      <w:r>
        <w:t xml:space="preserve">Definice </w:t>
      </w:r>
      <w:r>
        <w:rPr>
          <w:b w:val="0"/>
        </w:rPr>
        <w:t xml:space="preserve"> </w:t>
      </w:r>
    </w:p>
    <w:p w:rsidR="0079231A" w:rsidRDefault="00D95375">
      <w:pPr>
        <w:spacing w:after="170"/>
        <w:ind w:left="705" w:right="0" w:hanging="427"/>
      </w:pPr>
      <w:r>
        <w:t>1.</w:t>
      </w:r>
      <w:r>
        <w:rPr>
          <w:rFonts w:ascii="Arial" w:eastAsia="Arial" w:hAnsi="Arial" w:cs="Arial"/>
        </w:rPr>
        <w:t xml:space="preserve"> </w:t>
      </w:r>
      <w:r>
        <w:t xml:space="preserve">Níže uvedené definice slouží pro účely Smlouvy.  Pojmy definované v tomto článku mohou být ve Smlouvě uvedeny v jednotném i množném čísle. </w:t>
      </w:r>
    </w:p>
    <w:p w:rsidR="0079231A" w:rsidRDefault="00D95375">
      <w:pPr>
        <w:numPr>
          <w:ilvl w:val="0"/>
          <w:numId w:val="5"/>
        </w:numPr>
        <w:spacing w:after="173"/>
        <w:ind w:left="1075" w:right="0" w:hanging="422"/>
      </w:pPr>
      <w:r>
        <w:t>„</w:t>
      </w:r>
      <w:r>
        <w:rPr>
          <w:b/>
        </w:rPr>
        <w:t>ACQ</w:t>
      </w:r>
      <w:r>
        <w:t xml:space="preserve">“ znamená celkové smluvní množství; </w:t>
      </w:r>
    </w:p>
    <w:p w:rsidR="0079231A" w:rsidRDefault="00D95375">
      <w:pPr>
        <w:numPr>
          <w:ilvl w:val="0"/>
          <w:numId w:val="5"/>
        </w:numPr>
        <w:spacing w:after="170"/>
        <w:ind w:left="1075" w:right="0" w:hanging="422"/>
      </w:pPr>
      <w:r>
        <w:t>„</w:t>
      </w:r>
      <w:r>
        <w:rPr>
          <w:b/>
        </w:rPr>
        <w:t>Energetický zákon</w:t>
      </w:r>
      <w:r>
        <w:t xml:space="preserve">“ je zákon č. 458/2000 Sb., o podmínkách podnikání a o výkonu státní správy v energetických odvětvích a o změně některých zákonů, ve znění pozdějších právních předpisů či obecně závazný právní předpis Energetický zákon nahrazující; </w:t>
      </w:r>
    </w:p>
    <w:p w:rsidR="0079231A" w:rsidRDefault="00D95375">
      <w:pPr>
        <w:numPr>
          <w:ilvl w:val="0"/>
          <w:numId w:val="5"/>
        </w:numPr>
        <w:spacing w:after="171"/>
        <w:ind w:left="1075" w:right="0" w:hanging="422"/>
      </w:pPr>
      <w:r>
        <w:t>„</w:t>
      </w:r>
      <w:r>
        <w:rPr>
          <w:b/>
        </w:rPr>
        <w:t>ERÚ</w:t>
      </w:r>
      <w:r>
        <w:t xml:space="preserve">“ – Energetický regulační úřad jako správní úřad pro výkon regulace v energetice ve smyslu Energetického zákona; </w:t>
      </w:r>
    </w:p>
    <w:p w:rsidR="0079231A" w:rsidRDefault="00D95375">
      <w:pPr>
        <w:numPr>
          <w:ilvl w:val="0"/>
          <w:numId w:val="5"/>
        </w:numPr>
        <w:spacing w:after="176"/>
        <w:ind w:left="1075" w:right="0" w:hanging="422"/>
      </w:pPr>
      <w:r>
        <w:t>„</w:t>
      </w:r>
      <w:r>
        <w:rPr>
          <w:b/>
        </w:rPr>
        <w:t>kWh</w:t>
      </w:r>
      <w:r>
        <w:t>“ je množství tepla ve výši 3 600 000 Joulů (J), „</w:t>
      </w:r>
      <w:r>
        <w:rPr>
          <w:b/>
        </w:rPr>
        <w:t>MWh</w:t>
      </w:r>
      <w:r>
        <w:t xml:space="preserve">“ představuje 1000 kWh; </w:t>
      </w:r>
    </w:p>
    <w:p w:rsidR="0079231A" w:rsidRDefault="00D95375">
      <w:pPr>
        <w:numPr>
          <w:ilvl w:val="0"/>
          <w:numId w:val="5"/>
        </w:numPr>
        <w:spacing w:after="171"/>
        <w:ind w:left="1075" w:right="0" w:hanging="422"/>
      </w:pPr>
      <w:r>
        <w:t>„</w:t>
      </w:r>
      <w:r>
        <w:rPr>
          <w:b/>
        </w:rPr>
        <w:t>MCQ</w:t>
      </w:r>
      <w:r>
        <w:t xml:space="preserve">“ znamená sjednané množství plynu pro jeden měsíc dodávané za cenu uvedenou v nedílné Příloze B ke Smlouvě;  </w:t>
      </w:r>
    </w:p>
    <w:p w:rsidR="0079231A" w:rsidRDefault="00D95375">
      <w:pPr>
        <w:numPr>
          <w:ilvl w:val="0"/>
          <w:numId w:val="5"/>
        </w:numPr>
        <w:spacing w:after="170"/>
        <w:ind w:left="1075" w:right="0" w:hanging="422"/>
      </w:pPr>
      <w:r>
        <w:t>„</w:t>
      </w:r>
      <w:r>
        <w:rPr>
          <w:b/>
        </w:rPr>
        <w:t>Nepřímé daně</w:t>
      </w:r>
      <w:r>
        <w:t xml:space="preserve">“ jsou daň z přidané hodnoty, daň ze zemního plynu a jiné obdobné daně vztahující se k prodeji zemního plynu ve smyslu obecně závazných právních předpisů obecně závazných v České republice; </w:t>
      </w:r>
    </w:p>
    <w:p w:rsidR="0079231A" w:rsidRDefault="00D95375">
      <w:pPr>
        <w:numPr>
          <w:ilvl w:val="0"/>
          <w:numId w:val="5"/>
        </w:numPr>
        <w:spacing w:after="170"/>
        <w:ind w:left="1075" w:right="0" w:hanging="422"/>
      </w:pPr>
      <w:r>
        <w:t>„</w:t>
      </w:r>
      <w:r>
        <w:rPr>
          <w:b/>
        </w:rPr>
        <w:t>Obecné znění Smlouvy</w:t>
      </w:r>
      <w:r>
        <w:t xml:space="preserve">“ 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 </w:t>
      </w:r>
    </w:p>
    <w:p w:rsidR="0079231A" w:rsidRDefault="00D95375">
      <w:pPr>
        <w:numPr>
          <w:ilvl w:val="0"/>
          <w:numId w:val="5"/>
        </w:numPr>
        <w:spacing w:after="164"/>
        <w:ind w:left="1075" w:right="0" w:hanging="422"/>
      </w:pPr>
      <w:r>
        <w:t>„</w:t>
      </w:r>
      <w:r>
        <w:rPr>
          <w:b/>
        </w:rPr>
        <w:t xml:space="preserve">Obchodní podmínky operátora trhu“ </w:t>
      </w:r>
      <w:r>
        <w:t xml:space="preserve">jsou obchodní podmínky Operátora trhu schválené ERÚ; </w:t>
      </w:r>
    </w:p>
    <w:p w:rsidR="0079231A" w:rsidRDefault="00D95375">
      <w:pPr>
        <w:numPr>
          <w:ilvl w:val="0"/>
          <w:numId w:val="5"/>
        </w:numPr>
        <w:spacing w:after="185"/>
        <w:ind w:left="1075" w:right="0" w:hanging="422"/>
      </w:pPr>
      <w:r>
        <w:t>„</w:t>
      </w:r>
      <w:r>
        <w:rPr>
          <w:b/>
        </w:rPr>
        <w:t>Objem plynu (m</w:t>
      </w:r>
      <w:r>
        <w:rPr>
          <w:b/>
          <w:vertAlign w:val="superscript"/>
        </w:rPr>
        <w:t>3</w:t>
      </w:r>
      <w:r>
        <w:rPr>
          <w:b/>
        </w:rPr>
        <w:t>)“</w:t>
      </w:r>
      <w:r>
        <w:t xml:space="preserve"> je objem plynu vyjádřený v m</w:t>
      </w:r>
      <w:r>
        <w:rPr>
          <w:vertAlign w:val="superscript"/>
        </w:rPr>
        <w:t>3</w:t>
      </w:r>
      <w:r>
        <w:t>, pro přepočet mezi m</w:t>
      </w:r>
      <w:r>
        <w:rPr>
          <w:vertAlign w:val="superscript"/>
        </w:rPr>
        <w:t>3</w:t>
      </w:r>
      <w:r>
        <w:t xml:space="preserve"> a kWh se použije hodnota 10,55 kWh/m</w:t>
      </w:r>
      <w:r>
        <w:rPr>
          <w:vertAlign w:val="superscript"/>
        </w:rPr>
        <w:t>3</w:t>
      </w:r>
      <w:r>
        <w:t xml:space="preserve">; </w:t>
      </w:r>
    </w:p>
    <w:p w:rsidR="0079231A" w:rsidRDefault="00D95375">
      <w:pPr>
        <w:numPr>
          <w:ilvl w:val="0"/>
          <w:numId w:val="5"/>
        </w:numPr>
        <w:spacing w:after="170"/>
        <w:ind w:left="1075" w:right="0" w:hanging="422"/>
      </w:pPr>
      <w:r>
        <w:t>„</w:t>
      </w:r>
      <w:r>
        <w:rPr>
          <w:b/>
        </w:rPr>
        <w:t>Odběrné místo</w:t>
      </w:r>
      <w:r>
        <w:t xml:space="preserve">“ 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ke  Smlouvě; </w:t>
      </w:r>
    </w:p>
    <w:p w:rsidR="0079231A" w:rsidRDefault="00D95375">
      <w:pPr>
        <w:numPr>
          <w:ilvl w:val="0"/>
          <w:numId w:val="5"/>
        </w:numPr>
        <w:spacing w:after="170"/>
        <w:ind w:left="1075" w:right="0" w:hanging="422"/>
      </w:pPr>
      <w:r>
        <w:t>„</w:t>
      </w:r>
      <w:r>
        <w:rPr>
          <w:b/>
        </w:rPr>
        <w:t>Odpovědnost za odchylku</w:t>
      </w:r>
      <w:r>
        <w:t xml:space="preserve">“ představuje odpovědnost za rozdíl mezi sjednaným množstvím a skutečným množstvím dodávek plynu do Odběrného místa ve smyslu ustanovení § 2 odstavce 2 písmene b) bodu 6 Energetického zákona a ve smyslu Pravidel trhu s plynem; </w:t>
      </w:r>
    </w:p>
    <w:p w:rsidR="0079231A" w:rsidRDefault="00D95375">
      <w:pPr>
        <w:numPr>
          <w:ilvl w:val="0"/>
          <w:numId w:val="5"/>
        </w:numPr>
        <w:spacing w:after="173"/>
        <w:ind w:left="1075" w:right="0" w:hanging="422"/>
      </w:pPr>
      <w:r>
        <w:t>„</w:t>
      </w:r>
      <w:r>
        <w:rPr>
          <w:b/>
        </w:rPr>
        <w:t>Operátor trhu“</w:t>
      </w:r>
      <w:r>
        <w:t xml:space="preserve"> je akciová společnost definovaná v ustanovení § 20a Energetického zákona; </w:t>
      </w:r>
    </w:p>
    <w:p w:rsidR="0079231A" w:rsidRDefault="00D95375">
      <w:pPr>
        <w:numPr>
          <w:ilvl w:val="0"/>
          <w:numId w:val="5"/>
        </w:numPr>
        <w:spacing w:after="170"/>
        <w:ind w:left="1075" w:right="0" w:hanging="422"/>
      </w:pPr>
      <w:r>
        <w:lastRenderedPageBreak/>
        <w:t>„</w:t>
      </w:r>
      <w:r>
        <w:rPr>
          <w:b/>
        </w:rPr>
        <w:t>Pravidla trhu s plynem</w:t>
      </w:r>
      <w:r>
        <w:t xml:space="preserve">“ jsou účinná ustanovení vyhlášky č. 365/2009 Sb., o Pravidlech trhu s plynem, v platném znění, případně vyhlášky č. 349/2015 Sb., o Pravidlech trhu s plynem či obecně závazného právního předpisu uvedené vyhlášky měnícího či nahrazujícího; </w:t>
      </w:r>
    </w:p>
    <w:p w:rsidR="0079231A" w:rsidRDefault="00D95375">
      <w:pPr>
        <w:numPr>
          <w:ilvl w:val="0"/>
          <w:numId w:val="5"/>
        </w:numPr>
        <w:ind w:left="1075" w:right="0" w:hanging="422"/>
      </w:pPr>
      <w:r>
        <w:rPr>
          <w:b/>
        </w:rPr>
        <w:t>„PDS“</w:t>
      </w:r>
      <w:r>
        <w:t xml:space="preserve"> – místně příslušný provozovatel distribuční soustavy, prostřednictvím kterého </w:t>
      </w:r>
    </w:p>
    <w:p w:rsidR="0079231A" w:rsidRDefault="00D95375">
      <w:pPr>
        <w:ind w:left="1023" w:right="0"/>
      </w:pPr>
      <w:r>
        <w:t xml:space="preserve">Obchodník Zákazníkovi zajišťuje služby distribuční soustavy plynu; </w:t>
      </w:r>
    </w:p>
    <w:p w:rsidR="0079231A" w:rsidRDefault="00D95375">
      <w:pPr>
        <w:numPr>
          <w:ilvl w:val="0"/>
          <w:numId w:val="5"/>
        </w:numPr>
        <w:spacing w:after="170"/>
        <w:ind w:left="1075" w:right="0" w:hanging="422"/>
      </w:pPr>
      <w:r>
        <w:t>„</w:t>
      </w:r>
      <w:r>
        <w:rPr>
          <w:b/>
        </w:rPr>
        <w:t>Sankční sazba</w:t>
      </w:r>
      <w:r>
        <w:t xml:space="preserve">“ je procentuální sazba uvedená v Příloze A Smlouvy pro určení výše smluvní pokuty v případě neodebrání sjednaného množství plynu. V případě, že procentuální sazba Sankční sazby v Příloze A Smlouvy bude uvedena jako nulová, případně nevyplněna, ustanovení Smlouvy o Sankční sazbě se nepoužijí; </w:t>
      </w:r>
    </w:p>
    <w:p w:rsidR="0079231A" w:rsidRDefault="00D95375">
      <w:pPr>
        <w:numPr>
          <w:ilvl w:val="0"/>
          <w:numId w:val="5"/>
        </w:numPr>
        <w:spacing w:after="175"/>
        <w:ind w:left="1075" w:right="0" w:hanging="422"/>
      </w:pPr>
      <w:r>
        <w:t>„</w:t>
      </w:r>
      <w:r>
        <w:rPr>
          <w:b/>
        </w:rPr>
        <w:t>Stav nouze</w:t>
      </w:r>
      <w:r>
        <w:t xml:space="preserve">“ stav definovaný v ustanovení § 73 Energetického zákona; </w:t>
      </w:r>
    </w:p>
    <w:p w:rsidR="0079231A" w:rsidRDefault="00D95375">
      <w:pPr>
        <w:numPr>
          <w:ilvl w:val="0"/>
          <w:numId w:val="5"/>
        </w:numPr>
        <w:spacing w:after="171"/>
        <w:ind w:left="1075" w:right="0" w:hanging="422"/>
      </w:pPr>
      <w:r>
        <w:t>„</w:t>
      </w:r>
      <w:r>
        <w:rPr>
          <w:b/>
        </w:rPr>
        <w:t>Termín dodávek</w:t>
      </w:r>
      <w:r>
        <w:t xml:space="preserve">“ je doba uvedená ve Výběrovém listu Smlouvy a specifikovaná v Přílohách Smlouvy; </w:t>
      </w:r>
    </w:p>
    <w:p w:rsidR="0079231A" w:rsidRDefault="00D95375">
      <w:pPr>
        <w:numPr>
          <w:ilvl w:val="0"/>
          <w:numId w:val="5"/>
        </w:numPr>
        <w:spacing w:after="171"/>
        <w:ind w:left="1075" w:right="0" w:hanging="422"/>
      </w:pPr>
      <w:r>
        <w:t>„</w:t>
      </w:r>
      <w:r>
        <w:rPr>
          <w:b/>
        </w:rPr>
        <w:t>Výběrový list</w:t>
      </w:r>
      <w:r>
        <w:t xml:space="preserve">“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 </w:t>
      </w:r>
    </w:p>
    <w:p w:rsidR="0079231A" w:rsidRDefault="00D95375">
      <w:pPr>
        <w:numPr>
          <w:ilvl w:val="0"/>
          <w:numId w:val="5"/>
        </w:numPr>
        <w:ind w:left="1075" w:right="0" w:hanging="422"/>
      </w:pPr>
      <w:r>
        <w:t>„</w:t>
      </w:r>
      <w:r>
        <w:rPr>
          <w:b/>
        </w:rPr>
        <w:t xml:space="preserve">Zemní plyn“ </w:t>
      </w:r>
      <w:r>
        <w:t>nebo</w:t>
      </w:r>
      <w:r>
        <w:rPr>
          <w:b/>
        </w:rPr>
        <w:t xml:space="preserve"> „plyn</w:t>
      </w:r>
      <w:r>
        <w:t>“ je přírodní směs plynných uhlovodíků s převažujícím podílem metanu CH</w:t>
      </w:r>
      <w:r>
        <w:rPr>
          <w:vertAlign w:val="subscript"/>
        </w:rPr>
        <w:t>4</w:t>
      </w:r>
      <w:r>
        <w:t xml:space="preserve"> a proměnlivým množstvím neuhlovodíkových plynů. </w:t>
      </w:r>
    </w:p>
    <w:p w:rsidR="0079231A" w:rsidRDefault="00D95375">
      <w:pPr>
        <w:spacing w:after="16" w:line="259" w:lineRule="auto"/>
        <w:ind w:left="351" w:right="0" w:firstLine="0"/>
        <w:jc w:val="center"/>
      </w:pPr>
      <w:r>
        <w:t xml:space="preserve"> </w:t>
      </w:r>
    </w:p>
    <w:p w:rsidR="0079231A" w:rsidRDefault="00D95375">
      <w:pPr>
        <w:spacing w:after="15" w:line="259" w:lineRule="auto"/>
        <w:ind w:left="302"/>
        <w:jc w:val="center"/>
      </w:pPr>
      <w:r>
        <w:t xml:space="preserve">Článek II </w:t>
      </w:r>
    </w:p>
    <w:p w:rsidR="0079231A" w:rsidRDefault="00D95375">
      <w:pPr>
        <w:pStyle w:val="Nadpis3"/>
        <w:ind w:left="302" w:right="1"/>
      </w:pPr>
      <w:r>
        <w:t>Předmět Smlouvy</w:t>
      </w:r>
      <w:r>
        <w:rPr>
          <w:b w:val="0"/>
        </w:rPr>
        <w:t xml:space="preserve"> </w:t>
      </w:r>
    </w:p>
    <w:p w:rsidR="0079231A" w:rsidRDefault="00D95375">
      <w:pPr>
        <w:numPr>
          <w:ilvl w:val="0"/>
          <w:numId w:val="6"/>
        </w:numPr>
        <w:spacing w:after="173"/>
        <w:ind w:right="0" w:hanging="437"/>
      </w:pPr>
      <w:r>
        <w:t xml:space="preserve">Obchodník se touto Smlouvou zavazuje v době odpovídající Termínu dodávek dodávat Zákazníkovi zemní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  </w:t>
      </w:r>
    </w:p>
    <w:p w:rsidR="0079231A" w:rsidRDefault="00D95375">
      <w:pPr>
        <w:numPr>
          <w:ilvl w:val="0"/>
          <w:numId w:val="6"/>
        </w:numPr>
        <w:spacing w:after="171"/>
        <w:ind w:right="0" w:hanging="437"/>
      </w:pPr>
      <w:r>
        <w:t xml:space="preserve">Obchodník se ve smyslu ujednání článku V. Obecného znění Smlouvy zavazuje převzít za Zákazníka v dále specifikovaných Odběrných místech Odpovědnost za odchylku ve smyslu Energetického zákona a Pravidel trhu s plynem.  </w:t>
      </w:r>
    </w:p>
    <w:p w:rsidR="0079231A" w:rsidRDefault="00D95375">
      <w:pPr>
        <w:numPr>
          <w:ilvl w:val="0"/>
          <w:numId w:val="6"/>
        </w:numPr>
        <w:spacing w:after="30"/>
        <w:ind w:right="0" w:hanging="437"/>
      </w:pPr>
      <w:r>
        <w:t xml:space="preserve">Obchodník se dále zavazuje vlastním jménem a na vlastní účet zajistit pro Zákazníka v dále specifikovaných Odběrných místech službu distribuční soustavy plynu u příslušného PDS v souladu s podmínkami Pravidel trhu s plynem a Řádem provozovatele příslušné distribuční soustavy a Zákazník se zavazuje Obchodníkovi uhradit za zajištění distribuce plynu cenu stanovenou v souladu s cenovou regulací dále v článku IV. Obecného znění Smlouvy. </w:t>
      </w:r>
    </w:p>
    <w:p w:rsidR="0079231A" w:rsidRDefault="00D95375">
      <w:pPr>
        <w:spacing w:after="74" w:line="259" w:lineRule="auto"/>
        <w:ind w:left="293" w:right="0" w:firstLine="0"/>
        <w:jc w:val="left"/>
      </w:pPr>
      <w:r>
        <w:rPr>
          <w:rFonts w:ascii="Calibri" w:eastAsia="Calibri" w:hAnsi="Calibri" w:cs="Calibri"/>
        </w:rPr>
        <w:t xml:space="preserve"> </w:t>
      </w:r>
    </w:p>
    <w:p w:rsidR="0079231A" w:rsidRDefault="00D95375">
      <w:pPr>
        <w:spacing w:after="15" w:line="259" w:lineRule="auto"/>
        <w:ind w:left="302" w:right="0"/>
        <w:jc w:val="center"/>
      </w:pPr>
      <w:r>
        <w:t xml:space="preserve">Článek III </w:t>
      </w:r>
    </w:p>
    <w:p w:rsidR="0079231A" w:rsidRDefault="00D95375">
      <w:pPr>
        <w:pStyle w:val="Nadpis3"/>
        <w:ind w:left="302" w:right="8"/>
      </w:pPr>
      <w:r>
        <w:t xml:space="preserve">Doba plnění, sjednané množství plynu a dodací podmínky </w:t>
      </w:r>
    </w:p>
    <w:p w:rsidR="0079231A" w:rsidRDefault="00D95375">
      <w:pPr>
        <w:numPr>
          <w:ilvl w:val="0"/>
          <w:numId w:val="7"/>
        </w:numPr>
        <w:spacing w:after="170"/>
        <w:ind w:right="0" w:hanging="427"/>
      </w:pPr>
      <w:r>
        <w:t xml:space="preserve">Smluvní strany ve smyslu článku I. Obecného znění Smlouvy sjednávají, že Obchodník bude Zákazníkovi v dále uvedeném rozsahu dodávat plyn v období sjednaném ve Výběrovém listu Smlouvy jako Termín dodávek.  </w:t>
      </w:r>
    </w:p>
    <w:p w:rsidR="0079231A" w:rsidRDefault="00D95375">
      <w:pPr>
        <w:numPr>
          <w:ilvl w:val="0"/>
          <w:numId w:val="7"/>
        </w:numPr>
        <w:ind w:right="0" w:hanging="427"/>
      </w:pPr>
      <w:r>
        <w:t xml:space="preserve">Sjednané množství plynu v MWh pro Termín dodávek je sjednáno jako odběr plynu ve všech Odběrných místech Zákazníka uvedených v nedílné Příloze A Smlouvy a je platné po celou dobu </w:t>
      </w:r>
      <w:r>
        <w:lastRenderedPageBreak/>
        <w:t>trvání Smlouvy, pokud se Smluvní strany nedohodnou jinak formou písemného dodatku ke Smlouvě. Sjednané celkové množství plynu (ACQ) je rozděleno na množství plynu MCQ pro každý měsíc Termínu dodávek.</w:t>
      </w:r>
      <w:r>
        <w:rPr>
          <w:vertAlign w:val="subscript"/>
        </w:rPr>
        <w:t xml:space="preserve"> </w:t>
      </w:r>
      <w:r>
        <w:t xml:space="preserve">Jednotlivá Odběrná místa Zákazníka jsou specifikovaná názvem a kódem Odběrného místa uvedeným v Příloze A Smlouvy. </w:t>
      </w:r>
    </w:p>
    <w:p w:rsidR="0079231A" w:rsidRDefault="00D95375">
      <w:pPr>
        <w:numPr>
          <w:ilvl w:val="0"/>
          <w:numId w:val="7"/>
        </w:numPr>
        <w:spacing w:after="170"/>
        <w:ind w:right="0" w:hanging="427"/>
      </w:pPr>
      <w:r>
        <w:t xml:space="preserve">Pro účely sjednání distribuční kapacity pro jednotlivá Odběrná místa Zákazníka v souvislosti se zajištěním služby distribuční soustavy plynu je v Příloze A Smlouvy specifikována pro každé Odběrné místo smluvní distribuční kapacita. Obchodník vynaloží veškeré úsilí, které od něho lze rozumně v této souvislosti očekávat, k tomu, aby byla v souladu s Pravidly trhu s plynem formou Smlouvy o zajištění služby distribuční soustavy plynu na roční bázi uzavřené s příslušným PDS pro tato Odběrná místa přidělena taková distribuční kapacita, jejíž výše odpovídá výši smluvní distribuční kapacitě. U Odběrných míst s měřením typu C se distribuční kapacita stanovuje postupem uvedeným v Pravidlech trhu s plynem.  </w:t>
      </w:r>
    </w:p>
    <w:p w:rsidR="0079231A" w:rsidRDefault="00D95375">
      <w:pPr>
        <w:numPr>
          <w:ilvl w:val="0"/>
          <w:numId w:val="7"/>
        </w:numPr>
        <w:spacing w:after="170"/>
        <w:ind w:right="0" w:hanging="427"/>
      </w:pPr>
      <w:r>
        <w:t xml:space="preserve">Za dodané množství plynu se považují skutečné hodnoty spotřeby plynu uvedené na fakturách za službu distribuční soustavy plynu od příslušného PDS za Odběrná místa Zákazníka.  </w:t>
      </w:r>
    </w:p>
    <w:p w:rsidR="0079231A" w:rsidRDefault="00D95375">
      <w:pPr>
        <w:numPr>
          <w:ilvl w:val="0"/>
          <w:numId w:val="7"/>
        </w:numPr>
        <w:spacing w:after="28"/>
        <w:ind w:right="0" w:hanging="427"/>
      </w:pPr>
      <w:r>
        <w:t xml:space="preserve">Obchodník se zavazuje dodávat na základě Smlouvy plyn splňující podmínky jakosti plynu v souladu s Řádem provozovatele přepravní soustavy. </w:t>
      </w:r>
    </w:p>
    <w:p w:rsidR="0079231A" w:rsidRDefault="00D95375">
      <w:pPr>
        <w:spacing w:after="74" w:line="259" w:lineRule="auto"/>
        <w:ind w:left="293" w:right="0" w:firstLine="0"/>
        <w:jc w:val="left"/>
      </w:pPr>
      <w:r>
        <w:rPr>
          <w:rFonts w:ascii="Calibri" w:eastAsia="Calibri" w:hAnsi="Calibri" w:cs="Calibri"/>
        </w:rPr>
        <w:t xml:space="preserve"> </w:t>
      </w:r>
    </w:p>
    <w:p w:rsidR="0079231A" w:rsidRDefault="00D95375">
      <w:pPr>
        <w:spacing w:after="15" w:line="259" w:lineRule="auto"/>
        <w:ind w:left="302" w:right="1"/>
        <w:jc w:val="center"/>
      </w:pPr>
      <w:r>
        <w:t xml:space="preserve">Článek IV </w:t>
      </w:r>
    </w:p>
    <w:p w:rsidR="0079231A" w:rsidRDefault="00D95375">
      <w:pPr>
        <w:pStyle w:val="Nadpis3"/>
        <w:ind w:left="302" w:right="3"/>
      </w:pPr>
      <w:r>
        <w:t xml:space="preserve"> Cena </w:t>
      </w:r>
    </w:p>
    <w:p w:rsidR="0079231A" w:rsidRDefault="00D95375">
      <w:pPr>
        <w:numPr>
          <w:ilvl w:val="0"/>
          <w:numId w:val="8"/>
        </w:numPr>
        <w:spacing w:after="171"/>
        <w:ind w:right="0" w:hanging="427"/>
      </w:pPr>
      <w:r>
        <w:t xml:space="preserve">Zákazník se zavazuje Obchodníkovi uhradit za jeho plnění dle Smlouvy (článek II. Obecného znění Smlouvy) dále uvedenou cenu (cena za dodávky plynu a související služby) složenou  </w:t>
      </w:r>
    </w:p>
    <w:p w:rsidR="0079231A" w:rsidRDefault="00D95375">
      <w:pPr>
        <w:numPr>
          <w:ilvl w:val="1"/>
          <w:numId w:val="8"/>
        </w:numPr>
        <w:spacing w:after="50"/>
        <w:ind w:right="0" w:hanging="360"/>
      </w:pPr>
      <w:r>
        <w:t xml:space="preserve">z ceny za dodávku plynu (za ostatní služby dodávky) zahrnující cenu za přepravu plynu, za strukturování a za odebrané množství plynu,  </w:t>
      </w:r>
    </w:p>
    <w:p w:rsidR="0079231A" w:rsidRDefault="00D95375">
      <w:pPr>
        <w:numPr>
          <w:ilvl w:val="1"/>
          <w:numId w:val="8"/>
        </w:numPr>
        <w:spacing w:after="53"/>
        <w:ind w:right="0" w:hanging="360"/>
      </w:pPr>
      <w:r>
        <w:t xml:space="preserve">z ceny za službu distribuční soustavy plynu a  </w:t>
      </w:r>
    </w:p>
    <w:p w:rsidR="0079231A" w:rsidRDefault="00D95375">
      <w:pPr>
        <w:numPr>
          <w:ilvl w:val="1"/>
          <w:numId w:val="8"/>
        </w:numPr>
        <w:spacing w:after="53"/>
        <w:ind w:right="0" w:hanging="360"/>
      </w:pPr>
      <w:r>
        <w:t xml:space="preserve">z dalších obecně závaznými právními předpisy, případně cenovými rozhodnutími Energetického regulačního úřadu stanovených plnění. </w:t>
      </w:r>
    </w:p>
    <w:p w:rsidR="0079231A" w:rsidRDefault="00D95375">
      <w:pPr>
        <w:numPr>
          <w:ilvl w:val="0"/>
          <w:numId w:val="8"/>
        </w:numPr>
        <w:spacing w:after="173"/>
        <w:ind w:right="0" w:hanging="427"/>
      </w:pPr>
      <w:r>
        <w:t xml:space="preserve">Smluvní strany výslovně sjednávají, že Zákazník je povinen uhradit Obchodníkovi za dodávky plynu v období Termínu dodávek cenu za dodávku plynu sjednanou v Příloze č. 3, která je nedílnou součástí Smlouvy. Cena za dodávku plynu se hradí formou měsíčních plateb, není-li v Smlouvě uvedeno jinak. </w:t>
      </w:r>
    </w:p>
    <w:p w:rsidR="0079231A" w:rsidRDefault="00D95375">
      <w:pPr>
        <w:numPr>
          <w:ilvl w:val="0"/>
          <w:numId w:val="8"/>
        </w:numPr>
        <w:spacing w:after="124"/>
        <w:ind w:right="0" w:hanging="427"/>
      </w:pPr>
      <w:r>
        <w:t xml:space="preserve">Smluvní strany sjednávají, že měsíční platba za dodávku plynu pro příslušný plynárenský měsíc je stanovena jako součet měsíčních plateb za jednotlivá Odběrná místa Zákazníka.  </w:t>
      </w:r>
    </w:p>
    <w:p w:rsidR="0079231A" w:rsidRDefault="00D95375">
      <w:pPr>
        <w:spacing w:after="170"/>
        <w:ind w:left="730" w:right="0"/>
      </w:pPr>
      <w:r>
        <w:t xml:space="preserve">Pro stanovení dodaného a odebraného množství plynu za příslušný měsíc se použije postup podle článku III. odstavce 4. Obecného znění Smlouvy pro všechny plynárenské dny příslušného kalendářního měsíce.  </w:t>
      </w:r>
    </w:p>
    <w:p w:rsidR="0079231A" w:rsidRDefault="00D95375">
      <w:pPr>
        <w:numPr>
          <w:ilvl w:val="0"/>
          <w:numId w:val="8"/>
        </w:numPr>
        <w:spacing w:after="170"/>
        <w:ind w:right="0" w:hanging="427"/>
      </w:pPr>
      <w:r>
        <w:t xml:space="preserve">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   </w:t>
      </w:r>
    </w:p>
    <w:p w:rsidR="0079231A" w:rsidRDefault="00D95375">
      <w:pPr>
        <w:numPr>
          <w:ilvl w:val="0"/>
          <w:numId w:val="8"/>
        </w:numPr>
        <w:spacing w:after="27"/>
        <w:ind w:right="0" w:hanging="427"/>
      </w:pPr>
      <w:r>
        <w:t xml:space="preserve">Uvedené ceny jsou stanoveny bez Nepřímých daní. V případech, stanoví-li tak obecně závazný právní předpis Nepřímé daně budou Obchodníkem k cenám dle Smlouvy připočítávány dle účinné </w:t>
      </w:r>
      <w:r>
        <w:lastRenderedPageBreak/>
        <w:t xml:space="preserve">legislativy s tím, že Zákazník je v takovém případě povinen uhradit cenu stanovenou dle Smlouvy včetně Nepřímých daní. </w:t>
      </w:r>
    </w:p>
    <w:p w:rsidR="0079231A" w:rsidRDefault="00D95375">
      <w:pPr>
        <w:spacing w:after="74" w:line="259" w:lineRule="auto"/>
        <w:ind w:left="293" w:right="0" w:firstLine="0"/>
        <w:jc w:val="left"/>
      </w:pPr>
      <w:r>
        <w:rPr>
          <w:rFonts w:ascii="Calibri" w:eastAsia="Calibri" w:hAnsi="Calibri" w:cs="Calibri"/>
        </w:rPr>
        <w:t xml:space="preserve"> </w:t>
      </w:r>
    </w:p>
    <w:p w:rsidR="0079231A" w:rsidRDefault="00D95375">
      <w:pPr>
        <w:spacing w:after="15" w:line="259" w:lineRule="auto"/>
        <w:ind w:left="302" w:right="4"/>
        <w:jc w:val="center"/>
      </w:pPr>
      <w:r>
        <w:t xml:space="preserve">Článek V </w:t>
      </w:r>
    </w:p>
    <w:p w:rsidR="0079231A" w:rsidRDefault="00D95375">
      <w:pPr>
        <w:pStyle w:val="Nadpis3"/>
        <w:ind w:left="302" w:right="5"/>
      </w:pPr>
      <w:r>
        <w:t xml:space="preserve">Odpovědnost za odchylku </w:t>
      </w:r>
    </w:p>
    <w:p w:rsidR="0079231A" w:rsidRDefault="00D95375">
      <w:pPr>
        <w:spacing w:after="27"/>
        <w:ind w:left="705" w:right="0" w:hanging="427"/>
      </w:pPr>
      <w:r>
        <w:t>1.</w:t>
      </w:r>
      <w:r>
        <w:rPr>
          <w:rFonts w:ascii="Arial" w:eastAsia="Arial" w:hAnsi="Arial" w:cs="Arial"/>
        </w:rPr>
        <w:t xml:space="preserve"> </w:t>
      </w:r>
      <w:r>
        <w:rPr>
          <w:rFonts w:ascii="Arial" w:eastAsia="Arial" w:hAnsi="Arial" w:cs="Arial"/>
        </w:rPr>
        <w:tab/>
      </w:r>
      <w:r>
        <w:t xml:space="preserve">Smluvní strany výslovně sjednávají, že po dobu Termínu dodávek přebírá Obchodník jako subjekt zúčtování za Zákazníka v Odběrných místech Zákazníka Odpovědnost za odchylku.  </w:t>
      </w:r>
    </w:p>
    <w:p w:rsidR="0079231A" w:rsidRDefault="00D95375">
      <w:pPr>
        <w:spacing w:after="74" w:line="259" w:lineRule="auto"/>
        <w:ind w:left="293" w:right="0" w:firstLine="0"/>
        <w:jc w:val="left"/>
      </w:pPr>
      <w:r>
        <w:rPr>
          <w:rFonts w:ascii="Calibri" w:eastAsia="Calibri" w:hAnsi="Calibri" w:cs="Calibri"/>
        </w:rPr>
        <w:t xml:space="preserve"> </w:t>
      </w:r>
    </w:p>
    <w:p w:rsidR="0079231A" w:rsidRDefault="00D95375">
      <w:pPr>
        <w:spacing w:after="15" w:line="259" w:lineRule="auto"/>
        <w:ind w:left="302" w:right="0"/>
        <w:jc w:val="center"/>
      </w:pPr>
      <w:r>
        <w:t xml:space="preserve">Článek VI </w:t>
      </w:r>
    </w:p>
    <w:p w:rsidR="0079231A" w:rsidRDefault="00D95375">
      <w:pPr>
        <w:pStyle w:val="Nadpis3"/>
        <w:ind w:left="302" w:right="5"/>
      </w:pPr>
      <w:r>
        <w:t xml:space="preserve">Fakturační a platební podmínky  </w:t>
      </w:r>
    </w:p>
    <w:p w:rsidR="0079231A" w:rsidRDefault="00D95375">
      <w:pPr>
        <w:numPr>
          <w:ilvl w:val="0"/>
          <w:numId w:val="9"/>
        </w:numPr>
        <w:spacing w:after="170"/>
        <w:ind w:right="0" w:hanging="427"/>
      </w:pPr>
      <w:r>
        <w:t xml:space="preserve">Výši zálohy na cenu určuje Obchodník v souladu s ustanoveními tohoto článku. Výše zálohy je vypočtena ze sjednaného množství plynu, jež se Obchodník zavazuje dle Smlouvy dodat a Zákazník odebrat za jednotlivá čtvrtletí, v měsíčním členění ve výši sjednané ve Výběrovém listu jako procentní části z celkové předpokládané ceny dodávky včetně DPH, odvádí-li z ceny dle Smlouvy DPH jako její plátce Obchodník, v ostatních případech bez DPH, zaokrouhlená na tisíce Kč.  </w:t>
      </w:r>
    </w:p>
    <w:p w:rsidR="0079231A" w:rsidRDefault="00D95375">
      <w:pPr>
        <w:numPr>
          <w:ilvl w:val="0"/>
          <w:numId w:val="9"/>
        </w:numPr>
        <w:spacing w:after="174"/>
        <w:ind w:right="0" w:hanging="427"/>
      </w:pPr>
      <w:r>
        <w:t xml:space="preserve">Splatnost zálohy na cenu pro kalendářní měsíc je sjednána ve Výběrovém listu. V případě, že bude sjednaný den splatnosti dnem pracovního volna nebo klidu, uhradí Zákazník splátku zálohy nejbližší následující pracovní den.  </w:t>
      </w:r>
    </w:p>
    <w:p w:rsidR="0079231A" w:rsidRDefault="00D95375">
      <w:pPr>
        <w:numPr>
          <w:ilvl w:val="0"/>
          <w:numId w:val="9"/>
        </w:numPr>
        <w:spacing w:after="171"/>
        <w:ind w:right="0" w:hanging="427"/>
      </w:pPr>
      <w:r>
        <w:t xml:space="preserve">Oznámení s rozpisem zálohových splátek na celé čtvrtletí zašle Obchodník Zákazníkovi písemně (možno použít i e-mail a fax) nejpozději do 7 dnů před dnem splatnosti první splátky daného čtvrtletí. </w:t>
      </w:r>
    </w:p>
    <w:p w:rsidR="0079231A" w:rsidRDefault="00D95375">
      <w:pPr>
        <w:numPr>
          <w:ilvl w:val="0"/>
          <w:numId w:val="9"/>
        </w:numPr>
        <w:spacing w:after="173"/>
        <w:ind w:right="0" w:hanging="427"/>
      </w:pPr>
      <w:r>
        <w:t xml:space="preserve">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Touto fakturou budou vyúčtovány uhrazené zálohy. </w:t>
      </w:r>
    </w:p>
    <w:p w:rsidR="0079231A" w:rsidRDefault="00D95375">
      <w:pPr>
        <w:numPr>
          <w:ilvl w:val="0"/>
          <w:numId w:val="9"/>
        </w:numPr>
        <w:spacing w:after="170"/>
        <w:ind w:right="0" w:hanging="427"/>
      </w:pPr>
      <w:r>
        <w:t xml:space="preserve">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 </w:t>
      </w:r>
    </w:p>
    <w:p w:rsidR="0079231A" w:rsidRDefault="00D95375">
      <w:pPr>
        <w:numPr>
          <w:ilvl w:val="0"/>
          <w:numId w:val="9"/>
        </w:numPr>
        <w:spacing w:after="173"/>
        <w:ind w:right="0" w:hanging="427"/>
      </w:pPr>
      <w:r>
        <w:t xml:space="preserve">Zákazník bude hradit zálohy a faktury za dodávky Obchodníka na bankovní účet Obchodníka uvedený v záhlaví Výběrové listu, případně na faktuře bezhotovostně způsobem sjednaným ve Výběrovém listu Smlouvy.  </w:t>
      </w:r>
    </w:p>
    <w:p w:rsidR="0079231A" w:rsidRDefault="00D95375">
      <w:pPr>
        <w:numPr>
          <w:ilvl w:val="0"/>
          <w:numId w:val="9"/>
        </w:numPr>
        <w:spacing w:after="170"/>
        <w:ind w:right="0" w:hanging="427"/>
      </w:pPr>
      <w:r>
        <w:t xml:space="preserve">Při nedodržení termínů a lhůt sjednaného způsobu úhrady záloh a faktur a jejich výše na straně Zákazníka vzniká Obchodníkovi právo na smluvní úrok z prodlení ve výši 0,05 %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  </w:t>
      </w:r>
    </w:p>
    <w:p w:rsidR="0079231A" w:rsidRDefault="00D95375">
      <w:pPr>
        <w:numPr>
          <w:ilvl w:val="0"/>
          <w:numId w:val="9"/>
        </w:numPr>
        <w:spacing w:after="170"/>
        <w:ind w:right="0" w:hanging="427"/>
      </w:pPr>
      <w:r>
        <w:t xml:space="preserve">Při nedodržení termínů a lhůt sjednaného způsobu placení faktur, které v důsledku přeplatků hradí Obchodník Zákazníkovi, vzniká Zákazníkovi právo na smluvní úrok z prodlení ve výši 0,05 % z dlužné částky za každý den prodlení. Obchodník je povinen uhradit smluvní úrok z prodlení Zákazníkovi na základě vystavené faktury do 14 dnů od data doručení.  </w:t>
      </w:r>
    </w:p>
    <w:p w:rsidR="0079231A" w:rsidRDefault="00D95375">
      <w:pPr>
        <w:numPr>
          <w:ilvl w:val="0"/>
          <w:numId w:val="9"/>
        </w:numPr>
        <w:ind w:right="0" w:hanging="427"/>
      </w:pPr>
      <w:r>
        <w:lastRenderedPageBreak/>
        <w:t xml:space="preserve">Nedojde-li k úhradě dlužných částek a k nápravě v plnění fakturačních a platebních podmínek ze strany Zákazníka nebo nedojde-li k dohodě o úhradě mezi Obchodníkem a Zákazníkem do 30 kalendářních dnů ode dne, kdy došlo ze strany Zákazníka k prodlení s plněním povinnosti dle Smlouvy, je Obchodník oprávněn vypovědět Smlouvu bez ohledu na ustanovení článku VIII. Obecného znění Smlouvy. Výpověď je účinná uplynutím pětidenní výpovědní lhůty od dne jejího doručení Zákazníkovi. Tím však není dotčena povinnost Zákazníka uhradit veškeré dlužné částky Obchodníkovi.  </w:t>
      </w:r>
    </w:p>
    <w:p w:rsidR="0079231A" w:rsidRDefault="00D95375">
      <w:pPr>
        <w:spacing w:after="74" w:line="259" w:lineRule="auto"/>
        <w:ind w:left="293" w:right="0" w:firstLine="0"/>
        <w:jc w:val="left"/>
      </w:pPr>
      <w:r>
        <w:rPr>
          <w:rFonts w:ascii="Calibri" w:eastAsia="Calibri" w:hAnsi="Calibri" w:cs="Calibri"/>
        </w:rPr>
        <w:t xml:space="preserve"> </w:t>
      </w:r>
    </w:p>
    <w:p w:rsidR="0079231A" w:rsidRDefault="00D95375">
      <w:pPr>
        <w:spacing w:after="15" w:line="259" w:lineRule="auto"/>
        <w:ind w:left="302" w:right="1"/>
        <w:jc w:val="center"/>
      </w:pPr>
      <w:r>
        <w:t xml:space="preserve">Článek VII </w:t>
      </w:r>
    </w:p>
    <w:p w:rsidR="0079231A" w:rsidRDefault="00D95375">
      <w:pPr>
        <w:pStyle w:val="Nadpis3"/>
        <w:ind w:left="302" w:right="8"/>
      </w:pPr>
      <w:r>
        <w:t xml:space="preserve">Vypořádání rozdílů skutečně odebraného a sjednaného množství plynu </w:t>
      </w:r>
    </w:p>
    <w:p w:rsidR="0079231A" w:rsidRDefault="00D95375">
      <w:pPr>
        <w:numPr>
          <w:ilvl w:val="0"/>
          <w:numId w:val="10"/>
        </w:numPr>
        <w:spacing w:after="173"/>
        <w:ind w:right="0" w:hanging="427"/>
      </w:pPr>
      <w:r>
        <w:t xml:space="preserve">V případě nesplnění povinnosti Zákazníka odebrat Smlouvou sjednané množství plynu, a to neodebrání celkového množství plynu (ACQ) sjednaného pro Termín dodávek mimo rozsah tolerance uvedené v Příloze A Smlouvy ve vztahu ke sjednanému množství, vzniká Obchodníkovi právo požadovat na Zákazníkovi úhradu smluvní pokuty za celé neodebrané množství ve výši rovnající se součinu neodebraného množství, aritmetického průměru ceny za dodávky plynu v průběhu Termínu dodávek a Sankční sazby. Zákazník je povinen tuto smluvní pokutu za neodebrané množství uhradit na základě vystavené faktury s vyčíslením výše této smluvní pokuty.  </w:t>
      </w:r>
    </w:p>
    <w:p w:rsidR="0079231A" w:rsidRDefault="00D95375">
      <w:pPr>
        <w:numPr>
          <w:ilvl w:val="0"/>
          <w:numId w:val="10"/>
        </w:numPr>
        <w:spacing w:after="173"/>
        <w:ind w:right="0" w:hanging="427"/>
      </w:pPr>
      <w:r>
        <w:t xml:space="preserve">V případě nesplnění povinnosti Zákazníka odebrat plyn pouze do výše ve Smlouvě sjednaného množství plynu (ACQ), tj. v případě, že Zákazník odebere v Termínu dodávek větší množství plynu než ve Smlouvě sjednané, a to mimo rozsah tolerance uvedené v Příloze A Smlouvy, vzniká Obchodníkovi právo požadovat na Zákazníkovi úhradu smluvní pokuty za celé množství odebrané nad rámec ACQ ve výši rovnající se součinu množství odebraného nad rámec ACQ, aritmetického průměru ceny za dodávky plynu v průběhu Termínu dodávek a Sankční sazby. Zákazník je povinen tuto smluvní pokutu za překročení sjednaného množství uhradit na základě vystavené faktury s vyčíslením výše této smluvní pokuty. </w:t>
      </w:r>
    </w:p>
    <w:p w:rsidR="0079231A" w:rsidRDefault="00D95375">
      <w:pPr>
        <w:numPr>
          <w:ilvl w:val="0"/>
          <w:numId w:val="10"/>
        </w:numPr>
        <w:spacing w:after="173"/>
        <w:ind w:right="0" w:hanging="427"/>
      </w:pPr>
      <w:r>
        <w:t xml:space="preserve">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smluvní pokutu ve výši podílu 10 % na rozdílu mezi cenou sjednaného celkového množství plynu ACQ platnou ke dni účinnosti odstoupení a souhrnnou cenou dodávek plynu uskutečněných dle Smlouvy až do dne účinnosti odstoupení. Bude-li mít takto vypočtený rozdíl negativní hodnotu, nárok na smluvní pokutu nevzniká. Smluvní pokuta je splatná do 3 dnů od doručení odstoupení Zákazníkovi. </w:t>
      </w:r>
    </w:p>
    <w:p w:rsidR="0079231A" w:rsidRDefault="00D95375">
      <w:pPr>
        <w:numPr>
          <w:ilvl w:val="0"/>
          <w:numId w:val="10"/>
        </w:numPr>
        <w:spacing w:after="124"/>
        <w:ind w:right="0" w:hanging="427"/>
      </w:pPr>
      <w:r>
        <w:t xml:space="preserve">Smluvní pokuta dle odstavce 1 tohoto článku nebude uplatňována za neodebrané (respektive nedodané) množství v případech omezení nebo přerušení dodávaného množství plynu z důvodů Stavu nouze nebo při předcházení jejich vzniku, a z důvodů, dojde-li k nim živelními pohromami.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smluvní pokutě dle tohoto článku není jakkoli dotčeno právo Obchodníka na náhradu škody v celé výši způsobené porušením povinnosti Zákazníka odebrat sjednané množství plynu. Smluvní pokuty sjednané v tomto článku nezanikají zánikem Smlouvy. </w:t>
      </w:r>
    </w:p>
    <w:p w:rsidR="0079231A" w:rsidRDefault="00D95375">
      <w:pPr>
        <w:spacing w:after="134" w:line="259" w:lineRule="auto"/>
        <w:ind w:left="351" w:right="0" w:firstLine="0"/>
        <w:jc w:val="center"/>
      </w:pPr>
      <w:r>
        <w:t xml:space="preserve"> </w:t>
      </w:r>
    </w:p>
    <w:p w:rsidR="0079231A" w:rsidRDefault="00D95375">
      <w:pPr>
        <w:spacing w:after="15" w:line="259" w:lineRule="auto"/>
        <w:ind w:left="302"/>
        <w:jc w:val="center"/>
      </w:pPr>
      <w:r>
        <w:t xml:space="preserve">Článek VIII </w:t>
      </w:r>
    </w:p>
    <w:p w:rsidR="0079231A" w:rsidRDefault="00D95375">
      <w:pPr>
        <w:pStyle w:val="Nadpis3"/>
        <w:ind w:left="302" w:right="7"/>
      </w:pPr>
      <w:r>
        <w:t xml:space="preserve">Omezení nebo přerušení dodávek plynu </w:t>
      </w:r>
    </w:p>
    <w:p w:rsidR="0079231A" w:rsidRDefault="00D95375">
      <w:pPr>
        <w:numPr>
          <w:ilvl w:val="0"/>
          <w:numId w:val="11"/>
        </w:numPr>
        <w:spacing w:after="171"/>
        <w:ind w:right="0" w:hanging="427"/>
      </w:pPr>
      <w:r>
        <w:t xml:space="preserve">Omezení nebo přerušení dodávek a odběru plynu se řídí Energetickým zákonem a předpisy vydanými k jeho provedení. </w:t>
      </w:r>
    </w:p>
    <w:p w:rsidR="0079231A" w:rsidRDefault="00D95375">
      <w:pPr>
        <w:numPr>
          <w:ilvl w:val="0"/>
          <w:numId w:val="11"/>
        </w:numPr>
        <w:ind w:right="0" w:hanging="427"/>
      </w:pPr>
      <w:r>
        <w:lastRenderedPageBreak/>
        <w:t xml:space="preserve">K omezení nebo přerušení dodávek a odběru plynu může dojít zejména v případech, kdy provozovatel přepravní soustavy,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provozovatele distribuční soustavy a Řádu provozovatele podzemního zásobníku plynu. </w:t>
      </w:r>
    </w:p>
    <w:p w:rsidR="0079231A" w:rsidRDefault="00D95375">
      <w:pPr>
        <w:numPr>
          <w:ilvl w:val="0"/>
          <w:numId w:val="11"/>
        </w:numPr>
        <w:spacing w:after="30"/>
        <w:ind w:right="0" w:hanging="427"/>
      </w:pPr>
      <w:r>
        <w:t xml:space="preserve">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případě oznámeno Zákazníkovi 10 dnů předem. Omezením nebo přerušením dodávky plynu není dotčena povinnost Zákazníka uhradit veškeré dlužné částky Obchodníkovi. </w:t>
      </w:r>
    </w:p>
    <w:p w:rsidR="0079231A" w:rsidRDefault="00D95375">
      <w:pPr>
        <w:spacing w:after="74" w:line="259" w:lineRule="auto"/>
        <w:ind w:left="293" w:right="0" w:firstLine="0"/>
        <w:jc w:val="left"/>
      </w:pPr>
      <w:r>
        <w:rPr>
          <w:rFonts w:ascii="Calibri" w:eastAsia="Calibri" w:hAnsi="Calibri" w:cs="Calibri"/>
        </w:rPr>
        <w:t xml:space="preserve"> </w:t>
      </w:r>
    </w:p>
    <w:p w:rsidR="0079231A" w:rsidRDefault="00D95375">
      <w:pPr>
        <w:spacing w:after="15" w:line="259" w:lineRule="auto"/>
        <w:ind w:left="302" w:right="2"/>
        <w:jc w:val="center"/>
      </w:pPr>
      <w:r>
        <w:t xml:space="preserve">Článek IX </w:t>
      </w:r>
    </w:p>
    <w:p w:rsidR="0079231A" w:rsidRDefault="00D95375">
      <w:pPr>
        <w:pStyle w:val="Nadpis3"/>
        <w:ind w:left="302"/>
      </w:pPr>
      <w:r>
        <w:t xml:space="preserve">Oddělitelnost </w:t>
      </w:r>
    </w:p>
    <w:p w:rsidR="0079231A" w:rsidRDefault="00D95375">
      <w:pPr>
        <w:ind w:left="705" w:right="0" w:hanging="427"/>
      </w:pPr>
      <w:r>
        <w:t>1.</w:t>
      </w:r>
      <w:r>
        <w:rPr>
          <w:rFonts w:ascii="Arial" w:eastAsia="Arial" w:hAnsi="Arial" w:cs="Arial"/>
        </w:rPr>
        <w:t xml:space="preserve"> </w:t>
      </w:r>
      <w:r>
        <w:t xml:space="preserve">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1. </w:t>
      </w:r>
    </w:p>
    <w:p w:rsidR="0079231A" w:rsidRDefault="00D95375">
      <w:pPr>
        <w:spacing w:after="30"/>
        <w:ind w:left="730" w:right="0"/>
      </w:pPr>
      <w:r>
        <w:t xml:space="preserve">písmeni r) Obecného znění Smlouvy. </w:t>
      </w:r>
    </w:p>
    <w:p w:rsidR="0079231A" w:rsidRDefault="00D95375">
      <w:pPr>
        <w:spacing w:after="0" w:line="259" w:lineRule="auto"/>
        <w:ind w:left="293" w:right="0" w:firstLine="0"/>
        <w:jc w:val="left"/>
      </w:pPr>
      <w:r>
        <w:rPr>
          <w:rFonts w:ascii="Calibri" w:eastAsia="Calibri" w:hAnsi="Calibri" w:cs="Calibri"/>
        </w:rPr>
        <w:t xml:space="preserve"> </w:t>
      </w:r>
    </w:p>
    <w:p w:rsidR="0079231A" w:rsidRDefault="00D95375">
      <w:pPr>
        <w:spacing w:after="15" w:line="259" w:lineRule="auto"/>
        <w:ind w:left="302" w:right="0"/>
        <w:jc w:val="center"/>
      </w:pPr>
      <w:r>
        <w:t xml:space="preserve">Článek X </w:t>
      </w:r>
    </w:p>
    <w:p w:rsidR="0079231A" w:rsidRDefault="00D95375">
      <w:pPr>
        <w:pStyle w:val="Nadpis3"/>
        <w:ind w:left="302" w:right="1"/>
      </w:pPr>
      <w:r>
        <w:t xml:space="preserve">Řešení sporů </w:t>
      </w:r>
    </w:p>
    <w:p w:rsidR="0079231A" w:rsidRDefault="00D95375">
      <w:pPr>
        <w:ind w:left="705" w:right="0" w:hanging="427"/>
      </w:pPr>
      <w:r>
        <w:t>1.</w:t>
      </w:r>
      <w:r>
        <w:rPr>
          <w:rFonts w:ascii="Arial" w:eastAsia="Arial" w:hAnsi="Arial" w:cs="Arial"/>
        </w:rPr>
        <w:t xml:space="preserve"> </w:t>
      </w:r>
      <w:r>
        <w:t xml:space="preserve">Všechny spory mezi Smluvními stranami, které vzniknou na základě či v souvislosti s Smlouvou se Smluvní strany zavazují řešit dohodou. Nedojde-li k dohodě, bude spor s konečnou platností rozhodován podle českého práva, příslušnými českými soudy. </w:t>
      </w:r>
    </w:p>
    <w:p w:rsidR="0079231A" w:rsidRDefault="00D95375">
      <w:pPr>
        <w:spacing w:after="14" w:line="259" w:lineRule="auto"/>
        <w:ind w:left="293" w:right="0" w:firstLine="0"/>
        <w:jc w:val="left"/>
      </w:pPr>
      <w:r>
        <w:t xml:space="preserve"> </w:t>
      </w:r>
    </w:p>
    <w:p w:rsidR="0079231A" w:rsidRDefault="00D95375">
      <w:pPr>
        <w:spacing w:after="15" w:line="259" w:lineRule="auto"/>
        <w:ind w:left="302" w:right="2"/>
        <w:jc w:val="center"/>
      </w:pPr>
      <w:r>
        <w:t xml:space="preserve">Článek XI </w:t>
      </w:r>
    </w:p>
    <w:p w:rsidR="0079231A" w:rsidRDefault="00D95375">
      <w:pPr>
        <w:pStyle w:val="Nadpis3"/>
        <w:ind w:left="302" w:right="3"/>
      </w:pPr>
      <w:r>
        <w:t xml:space="preserve">Utajení </w:t>
      </w:r>
    </w:p>
    <w:p w:rsidR="0079231A" w:rsidRDefault="00D95375">
      <w:pPr>
        <w:ind w:left="720" w:right="0" w:hanging="720"/>
      </w:pPr>
      <w:r>
        <w:t>1.</w:t>
      </w:r>
      <w:r>
        <w:rPr>
          <w:rFonts w:ascii="Arial" w:eastAsia="Arial" w:hAnsi="Arial" w:cs="Arial"/>
        </w:rPr>
        <w:t xml:space="preserve"> </w:t>
      </w:r>
      <w: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rsidR="0079231A" w:rsidRDefault="00D95375">
      <w:pPr>
        <w:spacing w:after="16" w:line="259" w:lineRule="auto"/>
        <w:ind w:left="293" w:right="0" w:firstLine="0"/>
        <w:jc w:val="left"/>
      </w:pPr>
      <w:r>
        <w:t xml:space="preserve"> </w:t>
      </w:r>
    </w:p>
    <w:p w:rsidR="0079231A" w:rsidRDefault="00D95375">
      <w:pPr>
        <w:spacing w:after="134" w:line="259" w:lineRule="auto"/>
        <w:ind w:left="302" w:right="0"/>
        <w:jc w:val="center"/>
      </w:pPr>
      <w:r>
        <w:t xml:space="preserve">Článek XII </w:t>
      </w:r>
    </w:p>
    <w:p w:rsidR="0079231A" w:rsidRDefault="00D95375">
      <w:pPr>
        <w:pStyle w:val="Nadpis3"/>
        <w:spacing w:after="134"/>
        <w:ind w:left="302"/>
      </w:pPr>
      <w:r>
        <w:t xml:space="preserve">Přílohy </w:t>
      </w:r>
    </w:p>
    <w:p w:rsidR="0079231A" w:rsidRDefault="00D95375">
      <w:pPr>
        <w:spacing w:after="126"/>
        <w:ind w:left="288" w:right="0"/>
      </w:pPr>
      <w:r>
        <w:t xml:space="preserve">Nedílnou součástí Smlouvy jsou následující Přílohy:  </w:t>
      </w:r>
    </w:p>
    <w:p w:rsidR="0079231A" w:rsidRDefault="00D95375">
      <w:pPr>
        <w:numPr>
          <w:ilvl w:val="0"/>
          <w:numId w:val="12"/>
        </w:numPr>
        <w:ind w:left="592" w:right="0" w:hanging="314"/>
      </w:pPr>
      <w:r>
        <w:t xml:space="preserve">Příloha A –  Seznam Odběrných míst Zákazníka, distribuční kapacity do jednotlivých Odběrných míst, ACQ, MCQ </w:t>
      </w:r>
    </w:p>
    <w:p w:rsidR="0079231A" w:rsidRDefault="00D95375">
      <w:pPr>
        <w:numPr>
          <w:ilvl w:val="0"/>
          <w:numId w:val="12"/>
        </w:numPr>
        <w:ind w:left="592" w:right="0" w:hanging="314"/>
      </w:pPr>
      <w:r>
        <w:t xml:space="preserve">Příloha B –  Seznam korespondenčních adres a fakturačních dat Zákazníka </w:t>
      </w:r>
    </w:p>
    <w:p w:rsidR="0079231A" w:rsidRDefault="00D95375">
      <w:pPr>
        <w:numPr>
          <w:ilvl w:val="0"/>
          <w:numId w:val="12"/>
        </w:numPr>
        <w:ind w:left="592" w:right="0" w:hanging="314"/>
      </w:pPr>
      <w:r>
        <w:t xml:space="preserve">Příloha C – Seznam kontaktních osob, osob pro fakturaci Zákazníka </w:t>
      </w:r>
    </w:p>
    <w:p w:rsidR="0079231A" w:rsidRDefault="00D95375">
      <w:pPr>
        <w:numPr>
          <w:ilvl w:val="0"/>
          <w:numId w:val="12"/>
        </w:numPr>
        <w:spacing w:after="3" w:line="259" w:lineRule="auto"/>
        <w:ind w:left="592" w:right="0" w:hanging="314"/>
      </w:pPr>
      <w:r>
        <w:t xml:space="preserve">Příloha č. 3 – </w:t>
      </w:r>
      <w:r>
        <w:rPr>
          <w:sz w:val="24"/>
        </w:rPr>
        <w:t>Způsob realizace postupného nákupu</w:t>
      </w:r>
      <w:r>
        <w:t xml:space="preserve"> </w:t>
      </w:r>
    </w:p>
    <w:p w:rsidR="0079231A" w:rsidRDefault="00D95375">
      <w:pPr>
        <w:spacing w:after="14" w:line="259" w:lineRule="auto"/>
        <w:ind w:left="293" w:right="0" w:firstLine="0"/>
        <w:jc w:val="left"/>
      </w:pPr>
      <w:r>
        <w:t xml:space="preserve"> </w:t>
      </w:r>
    </w:p>
    <w:p w:rsidR="0079231A" w:rsidRDefault="00D95375">
      <w:pPr>
        <w:spacing w:after="15" w:line="259" w:lineRule="auto"/>
        <w:ind w:left="302" w:right="2"/>
        <w:jc w:val="center"/>
      </w:pPr>
      <w:r>
        <w:t xml:space="preserve">Článek XIII </w:t>
      </w:r>
    </w:p>
    <w:p w:rsidR="0079231A" w:rsidRDefault="00D95375">
      <w:pPr>
        <w:pStyle w:val="Nadpis3"/>
        <w:ind w:left="302" w:right="3"/>
      </w:pPr>
      <w:r>
        <w:lastRenderedPageBreak/>
        <w:t xml:space="preserve">Závěrečná ustanovení </w:t>
      </w:r>
    </w:p>
    <w:p w:rsidR="0079231A" w:rsidRDefault="00D95375">
      <w:pPr>
        <w:numPr>
          <w:ilvl w:val="0"/>
          <w:numId w:val="13"/>
        </w:numPr>
        <w:spacing w:after="178"/>
        <w:ind w:right="0" w:hanging="427"/>
      </w:pPr>
      <w:r>
        <w:t xml:space="preserve">Smlouva nabývá platnosti a účinnosti dnem podpisu oběma Smluvními stranami. </w:t>
      </w:r>
    </w:p>
    <w:p w:rsidR="0079231A" w:rsidRDefault="00D95375">
      <w:pPr>
        <w:numPr>
          <w:ilvl w:val="0"/>
          <w:numId w:val="13"/>
        </w:numPr>
        <w:ind w:right="0" w:hanging="427"/>
      </w:pPr>
      <w:r>
        <w:t xml:space="preserve">Smluvní strany sjednaly, že v případě podstatného porušení Smlouvy druhou smluvní stranou mohou od Smlouvy odstoupit. Za podstatné porušení Smlouvy ze strany Zákazníka je </w:t>
      </w:r>
    </w:p>
    <w:p w:rsidR="0079231A" w:rsidRDefault="00D95375">
      <w:pPr>
        <w:spacing w:after="0" w:line="259" w:lineRule="auto"/>
        <w:ind w:left="0" w:firstLine="0"/>
        <w:jc w:val="right"/>
      </w:pPr>
      <w:r>
        <w:t xml:space="preserve">Obchodníkem považováno zejména neplnění platebních povinností dle článků IV. a VI. Obecného </w:t>
      </w:r>
    </w:p>
    <w:p w:rsidR="0079231A" w:rsidRDefault="00D95375">
      <w:pPr>
        <w:spacing w:after="50"/>
        <w:ind w:left="730" w:right="0"/>
      </w:pPr>
      <w:r>
        <w:t xml:space="preserve">znění Smlouvy. Za podstatné porušení Smlouvy ze strany Obchodníka je Zákazníkem považováno nedodání sjednaného množství plynu dle článku III. Obecného znění Smlouvy. V případě nepodstatného porušení Smlouvy Obchodníkem je Zákazník oprávněn od Smlouvy odstoupit, jestliže Obchodník svou povinnost nesplní či jinak nezjedná nápravu, je-li taková náprava možná, na základě písemné výzvy Zákazníka ani v dodatečné 45tidenní lhůtě od doručení výzvy Zákazníka.  </w:t>
      </w:r>
    </w:p>
    <w:p w:rsidR="0079231A" w:rsidRDefault="00D95375">
      <w:pPr>
        <w:numPr>
          <w:ilvl w:val="0"/>
          <w:numId w:val="13"/>
        </w:numPr>
        <w:spacing w:after="53"/>
        <w:ind w:right="0" w:hanging="427"/>
      </w:pPr>
      <w:r>
        <w:t xml:space="preserve">Zákazník není bez výslovného souhlasu Obchodníka oprávněn započíst jakékoli své splatné peněžité pohledávky za Obchodníkem proti jakýmkoli peněžitým pohledávkám Obchodníka za Zákazníkem. </w:t>
      </w:r>
    </w:p>
    <w:p w:rsidR="0079231A" w:rsidRDefault="00D95375">
      <w:pPr>
        <w:numPr>
          <w:ilvl w:val="0"/>
          <w:numId w:val="13"/>
        </w:numPr>
        <w:spacing w:after="51"/>
        <w:ind w:right="0" w:hanging="427"/>
      </w:pPr>
      <w:r>
        <w:t xml:space="preserve">Zákazník a Obchodník prohlašují, že na sebe přebírají nebezpečí změny okolností ve smyslu § 1765 odst.1OZ. </w:t>
      </w:r>
    </w:p>
    <w:p w:rsidR="0079231A" w:rsidRDefault="00D95375">
      <w:pPr>
        <w:numPr>
          <w:ilvl w:val="0"/>
          <w:numId w:val="13"/>
        </w:numPr>
        <w:spacing w:after="53"/>
        <w:ind w:right="0" w:hanging="427"/>
      </w:pPr>
      <w:r>
        <w:t xml:space="preserve">Zákazník, který je právnickou osobou prohlašuje, že se podpisem Smlouvy ve smyslu § 2000 odst. 1 OZ vzdává práva, domáhat se zrušení závazků založených Smlouvou. </w:t>
      </w:r>
    </w:p>
    <w:p w:rsidR="0079231A" w:rsidRDefault="00D95375">
      <w:pPr>
        <w:numPr>
          <w:ilvl w:val="0"/>
          <w:numId w:val="13"/>
        </w:numPr>
        <w:spacing w:after="51"/>
        <w:ind w:right="0" w:hanging="427"/>
      </w:pPr>
      <w:r>
        <w:t xml:space="preserve">Zákazník se zavazuje nesjednávat dodávku plynu, resp. dodávku sdružených služeb dodávky plynu do Odběrného místa v Termínu dodávek od více dodavatelů plynu (obchodníků) ve smyslu Energetického zákona. </w:t>
      </w:r>
    </w:p>
    <w:p w:rsidR="0079231A" w:rsidRDefault="00D95375">
      <w:pPr>
        <w:numPr>
          <w:ilvl w:val="0"/>
          <w:numId w:val="13"/>
        </w:numPr>
        <w:spacing w:after="170"/>
        <w:ind w:right="0" w:hanging="427"/>
      </w:pPr>
      <w:r>
        <w:t xml:space="preserve">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čtyřech vyhotoveních s platností originálu, přičemž společnost: Hlavní Město Praha obdrží tři vyhotovení a společnost: Pražská plynárenská, a.s. stran obdrží jedno vyhotovení. </w:t>
      </w:r>
    </w:p>
    <w:p w:rsidR="0079231A" w:rsidRDefault="00D95375">
      <w:pPr>
        <w:numPr>
          <w:ilvl w:val="0"/>
          <w:numId w:val="13"/>
        </w:numPr>
        <w:ind w:right="0" w:hanging="427"/>
      </w:pPr>
      <w:r>
        <w:t xml:space="preserve">Uzavření Smlouvy žádným způsobem neovlivňuje platnost ani účinnost jakýchkoli smluv uzavřených mezi Smluvními stranami.  </w:t>
      </w:r>
    </w:p>
    <w:p w:rsidR="0079231A" w:rsidRDefault="00D95375">
      <w:pPr>
        <w:spacing w:after="14" w:line="259" w:lineRule="auto"/>
        <w:ind w:left="293" w:right="0" w:firstLine="0"/>
        <w:jc w:val="left"/>
      </w:pPr>
      <w:r>
        <w:t xml:space="preserve"> </w:t>
      </w:r>
    </w:p>
    <w:p w:rsidR="0079231A" w:rsidRDefault="00D95375">
      <w:pPr>
        <w:spacing w:after="14" w:line="259" w:lineRule="auto"/>
        <w:ind w:left="293" w:right="0" w:firstLine="0"/>
        <w:jc w:val="left"/>
      </w:pPr>
      <w:r>
        <w:t xml:space="preserve"> </w:t>
      </w:r>
    </w:p>
    <w:p w:rsidR="0079231A" w:rsidRDefault="00D95375">
      <w:pPr>
        <w:spacing w:after="14" w:line="259" w:lineRule="auto"/>
        <w:ind w:left="293" w:right="0" w:firstLine="0"/>
        <w:jc w:val="left"/>
      </w:pPr>
      <w:r>
        <w:t xml:space="preserve"> </w:t>
      </w:r>
    </w:p>
    <w:p w:rsidR="0079231A" w:rsidRDefault="00D95375">
      <w:pPr>
        <w:spacing w:after="16" w:line="259" w:lineRule="auto"/>
        <w:ind w:left="293" w:right="0" w:firstLine="0"/>
        <w:jc w:val="left"/>
      </w:pPr>
      <w:r>
        <w:t xml:space="preserve"> </w:t>
      </w:r>
    </w:p>
    <w:p w:rsidR="0079231A" w:rsidRDefault="00D95375">
      <w:pPr>
        <w:spacing w:after="41" w:line="259" w:lineRule="auto"/>
        <w:ind w:left="293" w:right="0" w:firstLine="0"/>
        <w:jc w:val="left"/>
      </w:pPr>
      <w:r>
        <w:t xml:space="preserve"> </w:t>
      </w:r>
    </w:p>
    <w:p w:rsidR="0079231A" w:rsidRDefault="00D95375">
      <w:pPr>
        <w:tabs>
          <w:tab w:val="center" w:pos="1410"/>
          <w:tab w:val="center" w:pos="3126"/>
          <w:tab w:val="center" w:pos="4542"/>
          <w:tab w:val="center" w:pos="6367"/>
        </w:tabs>
        <w:ind w:left="0" w:right="0" w:firstLine="0"/>
        <w:jc w:val="left"/>
      </w:pPr>
      <w:r>
        <w:rPr>
          <w:rFonts w:ascii="Calibri" w:eastAsia="Calibri" w:hAnsi="Calibri" w:cs="Calibri"/>
        </w:rPr>
        <w:tab/>
      </w:r>
      <w:r>
        <w:t xml:space="preserve">V Praze dne </w:t>
      </w:r>
      <w:r>
        <w:tab/>
        <w:t xml:space="preserve">             </w:t>
      </w:r>
      <w:r>
        <w:tab/>
        <w:t xml:space="preserve"> </w:t>
      </w:r>
      <w:r>
        <w:tab/>
        <w:t xml:space="preserve">V Praze dne  </w:t>
      </w:r>
    </w:p>
    <w:p w:rsidR="0079231A" w:rsidRDefault="00D95375">
      <w:pPr>
        <w:spacing w:after="41" w:line="259" w:lineRule="auto"/>
        <w:ind w:left="293" w:right="0" w:firstLine="0"/>
        <w:jc w:val="left"/>
      </w:pPr>
      <w:r>
        <w:t xml:space="preserve"> </w:t>
      </w:r>
    </w:p>
    <w:p w:rsidR="0079231A" w:rsidRDefault="00D95375">
      <w:pPr>
        <w:tabs>
          <w:tab w:val="center" w:pos="1595"/>
          <w:tab w:val="center" w:pos="3834"/>
          <w:tab w:val="center" w:pos="4542"/>
          <w:tab w:val="center" w:pos="6765"/>
        </w:tabs>
        <w:spacing w:after="39" w:line="267" w:lineRule="auto"/>
        <w:ind w:left="0" w:right="0" w:firstLine="0"/>
        <w:jc w:val="left"/>
      </w:pPr>
      <w:r>
        <w:rPr>
          <w:rFonts w:ascii="Calibri" w:eastAsia="Calibri" w:hAnsi="Calibri" w:cs="Calibri"/>
        </w:rPr>
        <w:tab/>
      </w:r>
      <w:r>
        <w:rPr>
          <w:b/>
        </w:rPr>
        <w:t>Pražská plynárenská, a. s.</w:t>
      </w:r>
      <w:r>
        <w:t xml:space="preserve">  </w:t>
      </w:r>
      <w:r>
        <w:tab/>
        <w:t xml:space="preserve"> </w:t>
      </w:r>
      <w:r>
        <w:tab/>
        <w:t xml:space="preserve"> </w:t>
      </w:r>
      <w:r>
        <w:tab/>
      </w:r>
      <w:r>
        <w:rPr>
          <w:b/>
        </w:rPr>
        <w:t xml:space="preserve">Obchodní akademie, Praha 3,  </w:t>
      </w:r>
    </w:p>
    <w:p w:rsidR="0079231A" w:rsidRDefault="00D95375">
      <w:pPr>
        <w:tabs>
          <w:tab w:val="center" w:pos="293"/>
          <w:tab w:val="center" w:pos="1001"/>
          <w:tab w:val="center" w:pos="1709"/>
          <w:tab w:val="center" w:pos="2417"/>
          <w:tab w:val="center" w:pos="3126"/>
          <w:tab w:val="center" w:pos="3834"/>
          <w:tab w:val="center" w:pos="4542"/>
          <w:tab w:val="center" w:pos="5970"/>
        </w:tabs>
        <w:spacing w:line="267" w:lineRule="auto"/>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Kubelíkova 37 </w:t>
      </w:r>
    </w:p>
    <w:p w:rsidR="0079231A" w:rsidRDefault="00D95375">
      <w:pPr>
        <w:spacing w:after="14" w:line="259" w:lineRule="auto"/>
        <w:ind w:left="293" w:right="0" w:firstLine="0"/>
        <w:jc w:val="left"/>
      </w:pPr>
      <w:r>
        <w:t xml:space="preserve"> </w:t>
      </w:r>
    </w:p>
    <w:p w:rsidR="0079231A" w:rsidRDefault="00D95375">
      <w:pPr>
        <w:spacing w:after="14" w:line="259" w:lineRule="auto"/>
        <w:ind w:left="293" w:right="0" w:firstLine="0"/>
        <w:jc w:val="left"/>
      </w:pPr>
      <w:r>
        <w:t xml:space="preserve"> </w:t>
      </w:r>
    </w:p>
    <w:p w:rsidR="0079231A" w:rsidRDefault="00D95375">
      <w:pPr>
        <w:spacing w:after="16" w:line="259" w:lineRule="auto"/>
        <w:ind w:left="293" w:right="0" w:firstLine="0"/>
        <w:jc w:val="left"/>
      </w:pPr>
      <w:r>
        <w:t xml:space="preserve"> </w:t>
      </w:r>
    </w:p>
    <w:p w:rsidR="0079231A" w:rsidRDefault="00D95375" w:rsidP="00B0318E">
      <w:pPr>
        <w:spacing w:after="14" w:line="259" w:lineRule="auto"/>
        <w:ind w:right="0"/>
        <w:jc w:val="left"/>
      </w:pPr>
      <w:r>
        <w:t xml:space="preserve"> </w:t>
      </w:r>
    </w:p>
    <w:p w:rsidR="0079231A" w:rsidRDefault="0079231A" w:rsidP="00B0318E">
      <w:pPr>
        <w:spacing w:after="41" w:line="259" w:lineRule="auto"/>
        <w:ind w:right="0"/>
        <w:jc w:val="left"/>
      </w:pPr>
    </w:p>
    <w:p w:rsidR="0079231A" w:rsidRDefault="00D95375">
      <w:pPr>
        <w:tabs>
          <w:tab w:val="center" w:pos="1724"/>
          <w:tab w:val="center" w:pos="3834"/>
          <w:tab w:val="center" w:pos="4542"/>
          <w:tab w:val="center" w:pos="6680"/>
          <w:tab w:val="center" w:pos="8791"/>
        </w:tabs>
        <w:spacing w:line="267" w:lineRule="auto"/>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p>
    <w:p w:rsidR="00B0318E" w:rsidRDefault="00D95375">
      <w:pPr>
        <w:spacing w:line="267" w:lineRule="auto"/>
        <w:ind w:left="288" w:right="172"/>
        <w:jc w:val="left"/>
        <w:rPr>
          <w:b/>
        </w:rPr>
      </w:pPr>
      <w:r>
        <w:rPr>
          <w:b/>
        </w:rPr>
        <w:t xml:space="preserve"> </w:t>
      </w:r>
      <w:r>
        <w:rPr>
          <w:b/>
          <w:shd w:val="clear" w:color="auto" w:fill="000000"/>
        </w:rPr>
        <w:t>Jiří Kunc</w:t>
      </w:r>
      <w:r>
        <w:rPr>
          <w:b/>
        </w:rPr>
        <w:t xml:space="preserve">                  </w:t>
      </w:r>
      <w:r w:rsidR="00B0318E">
        <w:rPr>
          <w:b/>
        </w:rPr>
        <w:tab/>
      </w:r>
      <w:r w:rsidR="00B0318E">
        <w:rPr>
          <w:b/>
        </w:rPr>
        <w:tab/>
      </w:r>
      <w:r w:rsidR="00B0318E">
        <w:rPr>
          <w:b/>
        </w:rPr>
        <w:tab/>
      </w:r>
      <w:r w:rsidR="00B0318E">
        <w:rPr>
          <w:b/>
        </w:rPr>
        <w:tab/>
      </w:r>
      <w:r w:rsidR="00B0318E">
        <w:rPr>
          <w:b/>
        </w:rPr>
        <w:tab/>
        <w:t>|Mgr. Barbora Smutná</w:t>
      </w:r>
    </w:p>
    <w:p w:rsidR="0079231A" w:rsidRDefault="00D95375">
      <w:pPr>
        <w:spacing w:line="267" w:lineRule="auto"/>
        <w:ind w:left="288" w:right="172"/>
        <w:jc w:val="left"/>
      </w:pPr>
      <w:r>
        <w:rPr>
          <w:b/>
        </w:rPr>
        <w:t xml:space="preserve"> </w:t>
      </w:r>
    </w:p>
    <w:sectPr w:rsidR="0079231A">
      <w:footerReference w:type="even" r:id="rId7"/>
      <w:footerReference w:type="default" r:id="rId8"/>
      <w:footerReference w:type="first" r:id="rId9"/>
      <w:pgSz w:w="11906" w:h="16838"/>
      <w:pgMar w:top="1162" w:right="1413" w:bottom="1064" w:left="1123" w:header="708" w:footer="7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A5" w:rsidRDefault="00796DA5">
      <w:pPr>
        <w:spacing w:after="0" w:line="240" w:lineRule="auto"/>
      </w:pPr>
      <w:r>
        <w:separator/>
      </w:r>
    </w:p>
  </w:endnote>
  <w:endnote w:type="continuationSeparator" w:id="0">
    <w:p w:rsidR="00796DA5" w:rsidRDefault="0079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31A" w:rsidRDefault="00D95375">
    <w:pPr>
      <w:tabs>
        <w:tab w:val="center" w:pos="293"/>
        <w:tab w:val="right" w:pos="9370"/>
      </w:tabs>
      <w:spacing w:after="0" w:line="259" w:lineRule="auto"/>
      <w:ind w:left="0" w:righ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31A" w:rsidRDefault="00D95375">
    <w:pPr>
      <w:tabs>
        <w:tab w:val="center" w:pos="293"/>
        <w:tab w:val="right" w:pos="9370"/>
      </w:tabs>
      <w:spacing w:after="0" w:line="259" w:lineRule="auto"/>
      <w:ind w:left="0" w:righ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C845EE" w:rsidRPr="00C845EE">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31A" w:rsidRDefault="00D95375">
    <w:pPr>
      <w:tabs>
        <w:tab w:val="center" w:pos="293"/>
        <w:tab w:val="right" w:pos="9370"/>
      </w:tabs>
      <w:spacing w:after="0" w:line="259" w:lineRule="auto"/>
      <w:ind w:left="0" w:righ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A5" w:rsidRDefault="00796DA5">
      <w:pPr>
        <w:spacing w:after="0" w:line="240" w:lineRule="auto"/>
      </w:pPr>
      <w:r>
        <w:separator/>
      </w:r>
    </w:p>
  </w:footnote>
  <w:footnote w:type="continuationSeparator" w:id="0">
    <w:p w:rsidR="00796DA5" w:rsidRDefault="00796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229D"/>
    <w:multiLevelType w:val="hybridMultilevel"/>
    <w:tmpl w:val="362EE702"/>
    <w:lvl w:ilvl="0" w:tplc="FBA6CAAC">
      <w:start w:val="1"/>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1802142">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CA2A672">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1D4797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FD6E5C2">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BF5229B4">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C46CEB2">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0DE5642">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F52F542">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5D2017"/>
    <w:multiLevelType w:val="hybridMultilevel"/>
    <w:tmpl w:val="741A8FFC"/>
    <w:lvl w:ilvl="0" w:tplc="56A0C4FE">
      <w:start w:val="1"/>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024D8F0">
      <w:start w:val="1"/>
      <w:numFmt w:val="lowerLetter"/>
      <w:lvlText w:val="%2"/>
      <w:lvlJc w:val="left"/>
      <w:pPr>
        <w:ind w:left="108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D207E0E">
      <w:start w:val="1"/>
      <w:numFmt w:val="lowerRoman"/>
      <w:lvlText w:val="%3"/>
      <w:lvlJc w:val="left"/>
      <w:pPr>
        <w:ind w:left="180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538485B4">
      <w:start w:val="1"/>
      <w:numFmt w:val="decimal"/>
      <w:lvlText w:val="%4"/>
      <w:lvlJc w:val="left"/>
      <w:pPr>
        <w:ind w:left="252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2CEBCC4">
      <w:start w:val="1"/>
      <w:numFmt w:val="lowerLetter"/>
      <w:lvlText w:val="%5"/>
      <w:lvlJc w:val="left"/>
      <w:pPr>
        <w:ind w:left="324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DF22CD2">
      <w:start w:val="1"/>
      <w:numFmt w:val="lowerRoman"/>
      <w:lvlText w:val="%6"/>
      <w:lvlJc w:val="left"/>
      <w:pPr>
        <w:ind w:left="396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A16FFF4">
      <w:start w:val="1"/>
      <w:numFmt w:val="decimal"/>
      <w:lvlText w:val="%7"/>
      <w:lvlJc w:val="left"/>
      <w:pPr>
        <w:ind w:left="468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2F0B83A">
      <w:start w:val="1"/>
      <w:numFmt w:val="lowerLetter"/>
      <w:lvlText w:val="%8"/>
      <w:lvlJc w:val="left"/>
      <w:pPr>
        <w:ind w:left="540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BC8274E">
      <w:start w:val="1"/>
      <w:numFmt w:val="lowerRoman"/>
      <w:lvlText w:val="%9"/>
      <w:lvlJc w:val="left"/>
      <w:pPr>
        <w:ind w:left="612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2B4C34"/>
    <w:multiLevelType w:val="hybridMultilevel"/>
    <w:tmpl w:val="56F69B3E"/>
    <w:lvl w:ilvl="0" w:tplc="36BC246C">
      <w:start w:val="1"/>
      <w:numFmt w:val="bullet"/>
      <w:lvlText w:val="-"/>
      <w:lvlJc w:val="left"/>
      <w:pPr>
        <w:ind w:left="41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F061508">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31E8E88">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5FECFF0">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D8C04C4">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E66ED50">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E9ACADA">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DCC4F32">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55A413A">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E56D33"/>
    <w:multiLevelType w:val="hybridMultilevel"/>
    <w:tmpl w:val="1570BC9A"/>
    <w:lvl w:ilvl="0" w:tplc="199013DC">
      <w:start w:val="1"/>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0C0E7FC">
      <w:start w:val="1"/>
      <w:numFmt w:val="lowerLetter"/>
      <w:lvlText w:val="%2"/>
      <w:lvlJc w:val="left"/>
      <w:pPr>
        <w:ind w:left="115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5AC87AC">
      <w:start w:val="1"/>
      <w:numFmt w:val="lowerRoman"/>
      <w:lvlText w:val="%3"/>
      <w:lvlJc w:val="left"/>
      <w:pPr>
        <w:ind w:left="187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958EECE">
      <w:start w:val="1"/>
      <w:numFmt w:val="decimal"/>
      <w:lvlText w:val="%4"/>
      <w:lvlJc w:val="left"/>
      <w:pPr>
        <w:ind w:left="25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07688AE">
      <w:start w:val="1"/>
      <w:numFmt w:val="lowerLetter"/>
      <w:lvlText w:val="%5"/>
      <w:lvlJc w:val="left"/>
      <w:pPr>
        <w:ind w:left="331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23EA3E10">
      <w:start w:val="1"/>
      <w:numFmt w:val="lowerRoman"/>
      <w:lvlText w:val="%6"/>
      <w:lvlJc w:val="left"/>
      <w:pPr>
        <w:ind w:left="40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72604A54">
      <w:start w:val="1"/>
      <w:numFmt w:val="decimal"/>
      <w:lvlText w:val="%7"/>
      <w:lvlJc w:val="left"/>
      <w:pPr>
        <w:ind w:left="475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D20FBAA">
      <w:start w:val="1"/>
      <w:numFmt w:val="lowerLetter"/>
      <w:lvlText w:val="%8"/>
      <w:lvlJc w:val="left"/>
      <w:pPr>
        <w:ind w:left="547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7EC331E">
      <w:start w:val="1"/>
      <w:numFmt w:val="lowerRoman"/>
      <w:lvlText w:val="%9"/>
      <w:lvlJc w:val="left"/>
      <w:pPr>
        <w:ind w:left="61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883C91"/>
    <w:multiLevelType w:val="hybridMultilevel"/>
    <w:tmpl w:val="9C420CBC"/>
    <w:lvl w:ilvl="0" w:tplc="EF146794">
      <w:start w:val="1"/>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89C15DE">
      <w:start w:val="1"/>
      <w:numFmt w:val="lowerLetter"/>
      <w:lvlText w:val="%2)"/>
      <w:lvlJc w:val="left"/>
      <w:pPr>
        <w:ind w:left="136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92C7932">
      <w:start w:val="1"/>
      <w:numFmt w:val="lowerRoman"/>
      <w:lvlText w:val="%3"/>
      <w:lvlJc w:val="left"/>
      <w:pPr>
        <w:ind w:left="179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E58635A">
      <w:start w:val="1"/>
      <w:numFmt w:val="decimal"/>
      <w:lvlText w:val="%4"/>
      <w:lvlJc w:val="left"/>
      <w:pPr>
        <w:ind w:left="251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BCC81EE">
      <w:start w:val="1"/>
      <w:numFmt w:val="lowerLetter"/>
      <w:lvlText w:val="%5"/>
      <w:lvlJc w:val="left"/>
      <w:pPr>
        <w:ind w:left="323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6181670">
      <w:start w:val="1"/>
      <w:numFmt w:val="lowerRoman"/>
      <w:lvlText w:val="%6"/>
      <w:lvlJc w:val="left"/>
      <w:pPr>
        <w:ind w:left="395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186403A">
      <w:start w:val="1"/>
      <w:numFmt w:val="decimal"/>
      <w:lvlText w:val="%7"/>
      <w:lvlJc w:val="left"/>
      <w:pPr>
        <w:ind w:left="467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FDEFECE">
      <w:start w:val="1"/>
      <w:numFmt w:val="lowerLetter"/>
      <w:lvlText w:val="%8"/>
      <w:lvlJc w:val="left"/>
      <w:pPr>
        <w:ind w:left="539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280EEAA">
      <w:start w:val="1"/>
      <w:numFmt w:val="lowerRoman"/>
      <w:lvlText w:val="%9"/>
      <w:lvlJc w:val="left"/>
      <w:pPr>
        <w:ind w:left="611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E5580C"/>
    <w:multiLevelType w:val="hybridMultilevel"/>
    <w:tmpl w:val="08DAE2D6"/>
    <w:lvl w:ilvl="0" w:tplc="D56C2E9A">
      <w:start w:val="1"/>
      <w:numFmt w:val="decimal"/>
      <w:lvlText w:val="(%1)"/>
      <w:lvlJc w:val="left"/>
      <w:pPr>
        <w:ind w:left="5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15E48CC">
      <w:start w:val="1"/>
      <w:numFmt w:val="lowerLetter"/>
      <w:lvlText w:val="%2"/>
      <w:lvlJc w:val="left"/>
      <w:pPr>
        <w:ind w:left="137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D041E4C">
      <w:start w:val="1"/>
      <w:numFmt w:val="lowerRoman"/>
      <w:lvlText w:val="%3"/>
      <w:lvlJc w:val="left"/>
      <w:pPr>
        <w:ind w:left="20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FDEC9DC">
      <w:start w:val="1"/>
      <w:numFmt w:val="decimal"/>
      <w:lvlText w:val="%4"/>
      <w:lvlJc w:val="left"/>
      <w:pPr>
        <w:ind w:left="281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A806EBE">
      <w:start w:val="1"/>
      <w:numFmt w:val="lowerLetter"/>
      <w:lvlText w:val="%5"/>
      <w:lvlJc w:val="left"/>
      <w:pPr>
        <w:ind w:left="35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9124ABA">
      <w:start w:val="1"/>
      <w:numFmt w:val="lowerRoman"/>
      <w:lvlText w:val="%6"/>
      <w:lvlJc w:val="left"/>
      <w:pPr>
        <w:ind w:left="425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B3EE5E0">
      <w:start w:val="1"/>
      <w:numFmt w:val="decimal"/>
      <w:lvlText w:val="%7"/>
      <w:lvlJc w:val="left"/>
      <w:pPr>
        <w:ind w:left="497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44C1154">
      <w:start w:val="1"/>
      <w:numFmt w:val="lowerLetter"/>
      <w:lvlText w:val="%8"/>
      <w:lvlJc w:val="left"/>
      <w:pPr>
        <w:ind w:left="56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140EACC">
      <w:start w:val="1"/>
      <w:numFmt w:val="lowerRoman"/>
      <w:lvlText w:val="%9"/>
      <w:lvlJc w:val="left"/>
      <w:pPr>
        <w:ind w:left="641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61461E"/>
    <w:multiLevelType w:val="hybridMultilevel"/>
    <w:tmpl w:val="41F83C52"/>
    <w:lvl w:ilvl="0" w:tplc="620CD1F2">
      <w:start w:val="1"/>
      <w:numFmt w:val="decimal"/>
      <w:lvlText w:val="%1."/>
      <w:lvlJc w:val="left"/>
      <w:pPr>
        <w:ind w:left="51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C5E6C042">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2596482C">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56009020">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99AC02AE">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0D20CE96">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C5303D2A">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E6002440">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0400EDEA">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616C77"/>
    <w:multiLevelType w:val="hybridMultilevel"/>
    <w:tmpl w:val="A6BAB380"/>
    <w:lvl w:ilvl="0" w:tplc="D3E45838">
      <w:start w:val="1"/>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E8604A88">
      <w:start w:val="1"/>
      <w:numFmt w:val="lowerLetter"/>
      <w:lvlText w:val="%2"/>
      <w:lvlJc w:val="left"/>
      <w:pPr>
        <w:ind w:left="1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977C1A74">
      <w:start w:val="1"/>
      <w:numFmt w:val="lowerRoman"/>
      <w:lvlText w:val="%3"/>
      <w:lvlJc w:val="left"/>
      <w:pPr>
        <w:ind w:left="18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548A9D0">
      <w:start w:val="1"/>
      <w:numFmt w:val="decimal"/>
      <w:lvlText w:val="%4"/>
      <w:lvlJc w:val="left"/>
      <w:pPr>
        <w:ind w:left="26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3A83B22">
      <w:start w:val="1"/>
      <w:numFmt w:val="lowerLetter"/>
      <w:lvlText w:val="%5"/>
      <w:lvlJc w:val="left"/>
      <w:pPr>
        <w:ind w:left="33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4CC89F4">
      <w:start w:val="1"/>
      <w:numFmt w:val="lowerRoman"/>
      <w:lvlText w:val="%6"/>
      <w:lvlJc w:val="left"/>
      <w:pPr>
        <w:ind w:left="40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15C1856">
      <w:start w:val="1"/>
      <w:numFmt w:val="decimal"/>
      <w:lvlText w:val="%7"/>
      <w:lvlJc w:val="left"/>
      <w:pPr>
        <w:ind w:left="47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A7E5EE2">
      <w:start w:val="1"/>
      <w:numFmt w:val="lowerLetter"/>
      <w:lvlText w:val="%8"/>
      <w:lvlJc w:val="left"/>
      <w:pPr>
        <w:ind w:left="54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0444152">
      <w:start w:val="1"/>
      <w:numFmt w:val="lowerRoman"/>
      <w:lvlText w:val="%9"/>
      <w:lvlJc w:val="left"/>
      <w:pPr>
        <w:ind w:left="62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2450A3"/>
    <w:multiLevelType w:val="hybridMultilevel"/>
    <w:tmpl w:val="656AED36"/>
    <w:lvl w:ilvl="0" w:tplc="E72E8180">
      <w:start w:val="1"/>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AEE041A">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9CC12AE">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EFC00A2">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9CA6276">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4E28AB2">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2C49A82">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2163E4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A48D54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3746AA"/>
    <w:multiLevelType w:val="hybridMultilevel"/>
    <w:tmpl w:val="68061C74"/>
    <w:lvl w:ilvl="0" w:tplc="17A68ABC">
      <w:start w:val="1"/>
      <w:numFmt w:val="decimal"/>
      <w:lvlText w:val="%1."/>
      <w:lvlJc w:val="left"/>
      <w:pPr>
        <w:ind w:left="71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30498C8">
      <w:start w:val="1"/>
      <w:numFmt w:val="lowerLetter"/>
      <w:lvlText w:val="%2"/>
      <w:lvlJc w:val="left"/>
      <w:pPr>
        <w:ind w:left="108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C2189120">
      <w:start w:val="1"/>
      <w:numFmt w:val="lowerRoman"/>
      <w:lvlText w:val="%3"/>
      <w:lvlJc w:val="left"/>
      <w:pPr>
        <w:ind w:left="18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1DAC5D6">
      <w:start w:val="1"/>
      <w:numFmt w:val="decimal"/>
      <w:lvlText w:val="%4"/>
      <w:lvlJc w:val="left"/>
      <w:pPr>
        <w:ind w:left="252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070A78A">
      <w:start w:val="1"/>
      <w:numFmt w:val="lowerLetter"/>
      <w:lvlText w:val="%5"/>
      <w:lvlJc w:val="left"/>
      <w:pPr>
        <w:ind w:left="324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0864F56">
      <w:start w:val="1"/>
      <w:numFmt w:val="lowerRoman"/>
      <w:lvlText w:val="%6"/>
      <w:lvlJc w:val="left"/>
      <w:pPr>
        <w:ind w:left="39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A8A3824">
      <w:start w:val="1"/>
      <w:numFmt w:val="decimal"/>
      <w:lvlText w:val="%7"/>
      <w:lvlJc w:val="left"/>
      <w:pPr>
        <w:ind w:left="468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4AAFE36">
      <w:start w:val="1"/>
      <w:numFmt w:val="lowerLetter"/>
      <w:lvlText w:val="%8"/>
      <w:lvlJc w:val="left"/>
      <w:pPr>
        <w:ind w:left="54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B0CE49E">
      <w:start w:val="1"/>
      <w:numFmt w:val="lowerRoman"/>
      <w:lvlText w:val="%9"/>
      <w:lvlJc w:val="left"/>
      <w:pPr>
        <w:ind w:left="612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7A0336"/>
    <w:multiLevelType w:val="hybridMultilevel"/>
    <w:tmpl w:val="D91460B2"/>
    <w:lvl w:ilvl="0" w:tplc="EFB0D7CE">
      <w:start w:val="1"/>
      <w:numFmt w:val="lowerLetter"/>
      <w:lvlText w:val="%1)"/>
      <w:lvlJc w:val="left"/>
      <w:pPr>
        <w:ind w:left="107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4D45AB0">
      <w:start w:val="1"/>
      <w:numFmt w:val="lowerLetter"/>
      <w:lvlText w:val="%2"/>
      <w:lvlJc w:val="left"/>
      <w:pPr>
        <w:ind w:left="144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A48B272">
      <w:start w:val="1"/>
      <w:numFmt w:val="lowerRoman"/>
      <w:lvlText w:val="%3"/>
      <w:lvlJc w:val="left"/>
      <w:pPr>
        <w:ind w:left="216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182155C">
      <w:start w:val="1"/>
      <w:numFmt w:val="decimal"/>
      <w:lvlText w:val="%4"/>
      <w:lvlJc w:val="left"/>
      <w:pPr>
        <w:ind w:left="288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456F67E">
      <w:start w:val="1"/>
      <w:numFmt w:val="lowerLetter"/>
      <w:lvlText w:val="%5"/>
      <w:lvlJc w:val="left"/>
      <w:pPr>
        <w:ind w:left="360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0628F28">
      <w:start w:val="1"/>
      <w:numFmt w:val="lowerRoman"/>
      <w:lvlText w:val="%6"/>
      <w:lvlJc w:val="left"/>
      <w:pPr>
        <w:ind w:left="432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82CD78A">
      <w:start w:val="1"/>
      <w:numFmt w:val="decimal"/>
      <w:lvlText w:val="%7"/>
      <w:lvlJc w:val="left"/>
      <w:pPr>
        <w:ind w:left="504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11ED922">
      <w:start w:val="1"/>
      <w:numFmt w:val="lowerLetter"/>
      <w:lvlText w:val="%8"/>
      <w:lvlJc w:val="left"/>
      <w:pPr>
        <w:ind w:left="576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722C64A">
      <w:start w:val="1"/>
      <w:numFmt w:val="lowerRoman"/>
      <w:lvlText w:val="%9"/>
      <w:lvlJc w:val="left"/>
      <w:pPr>
        <w:ind w:left="648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B130B6"/>
    <w:multiLevelType w:val="hybridMultilevel"/>
    <w:tmpl w:val="C39CC5C4"/>
    <w:lvl w:ilvl="0" w:tplc="98F0BD6A">
      <w:start w:val="9"/>
      <w:numFmt w:val="lowerLetter"/>
      <w:lvlText w:val="%1)"/>
      <w:lvlJc w:val="left"/>
      <w:pPr>
        <w:ind w:left="52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606E308">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424C540">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A4D06E8C">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1C8A28A">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6C0B304">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A36EA6A">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D06E21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57C4B42">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D86A9F"/>
    <w:multiLevelType w:val="hybridMultilevel"/>
    <w:tmpl w:val="5A3E5EA8"/>
    <w:lvl w:ilvl="0" w:tplc="B796A6F6">
      <w:start w:val="1"/>
      <w:numFmt w:val="lowerLetter"/>
      <w:lvlText w:val="%1)"/>
      <w:lvlJc w:val="left"/>
      <w:pPr>
        <w:ind w:left="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046B116">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0C408F8">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F64077C">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5D2346A">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3E14F852">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CF223D2">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0E0D102">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D5ADF2C">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2"/>
  </w:num>
  <w:num w:numId="3">
    <w:abstractNumId w:val="2"/>
  </w:num>
  <w:num w:numId="4">
    <w:abstractNumId w:val="11"/>
  </w:num>
  <w:num w:numId="5">
    <w:abstractNumId w:val="10"/>
  </w:num>
  <w:num w:numId="6">
    <w:abstractNumId w:val="9"/>
  </w:num>
  <w:num w:numId="7">
    <w:abstractNumId w:val="1"/>
  </w:num>
  <w:num w:numId="8">
    <w:abstractNumId w:val="4"/>
  </w:num>
  <w:num w:numId="9">
    <w:abstractNumId w:val="8"/>
  </w:num>
  <w:num w:numId="10">
    <w:abstractNumId w:val="0"/>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1A"/>
    <w:rsid w:val="004509E8"/>
    <w:rsid w:val="005C0A7A"/>
    <w:rsid w:val="0079231A"/>
    <w:rsid w:val="00796DA5"/>
    <w:rsid w:val="00B0318E"/>
    <w:rsid w:val="00C845EE"/>
    <w:rsid w:val="00D95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46D6D-D989-4DE8-B7E2-4A128551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8" w:lineRule="auto"/>
      <w:ind w:left="303" w:right="3" w:hanging="10"/>
      <w:jc w:val="both"/>
    </w:pPr>
    <w:rPr>
      <w:rFonts w:ascii="Gill Sans MT" w:eastAsia="Gill Sans MT" w:hAnsi="Gill Sans MT" w:cs="Gill Sans MT"/>
      <w:color w:val="000000"/>
    </w:rPr>
  </w:style>
  <w:style w:type="paragraph" w:styleId="Nadpis1">
    <w:name w:val="heading 1"/>
    <w:next w:val="Normln"/>
    <w:link w:val="Nadpis1Char"/>
    <w:uiPriority w:val="9"/>
    <w:unhideWhenUsed/>
    <w:qFormat/>
    <w:pPr>
      <w:keepNext/>
      <w:keepLines/>
      <w:spacing w:after="0"/>
      <w:ind w:left="418" w:hanging="10"/>
      <w:outlineLvl w:val="0"/>
    </w:pPr>
    <w:rPr>
      <w:rFonts w:ascii="Gill Sans MT" w:eastAsia="Gill Sans MT" w:hAnsi="Gill Sans MT" w:cs="Gill Sans MT"/>
      <w:b/>
      <w:color w:val="000000"/>
      <w:sz w:val="52"/>
    </w:rPr>
  </w:style>
  <w:style w:type="paragraph" w:styleId="Nadpis2">
    <w:name w:val="heading 2"/>
    <w:next w:val="Normln"/>
    <w:link w:val="Nadpis2Char"/>
    <w:uiPriority w:val="9"/>
    <w:unhideWhenUsed/>
    <w:qFormat/>
    <w:pPr>
      <w:keepNext/>
      <w:keepLines/>
      <w:spacing w:after="0"/>
      <w:ind w:left="293"/>
      <w:jc w:val="center"/>
      <w:outlineLvl w:val="1"/>
    </w:pPr>
    <w:rPr>
      <w:rFonts w:ascii="Gill Sans MT" w:eastAsia="Gill Sans MT" w:hAnsi="Gill Sans MT" w:cs="Gill Sans MT"/>
      <w:b/>
      <w:color w:val="000000"/>
      <w:sz w:val="28"/>
    </w:rPr>
  </w:style>
  <w:style w:type="paragraph" w:styleId="Nadpis3">
    <w:name w:val="heading 3"/>
    <w:next w:val="Normln"/>
    <w:link w:val="Nadpis3Char"/>
    <w:uiPriority w:val="9"/>
    <w:unhideWhenUsed/>
    <w:qFormat/>
    <w:pPr>
      <w:keepNext/>
      <w:keepLines/>
      <w:spacing w:after="180"/>
      <w:ind w:left="298" w:hanging="10"/>
      <w:jc w:val="center"/>
      <w:outlineLvl w:val="2"/>
    </w:pPr>
    <w:rPr>
      <w:rFonts w:ascii="Gill Sans MT" w:eastAsia="Gill Sans MT" w:hAnsi="Gill Sans MT" w:cs="Gill Sans MT"/>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Gill Sans MT" w:eastAsia="Gill Sans MT" w:hAnsi="Gill Sans MT" w:cs="Gill Sans MT"/>
      <w:b/>
      <w:color w:val="000000"/>
      <w:sz w:val="28"/>
    </w:rPr>
  </w:style>
  <w:style w:type="character" w:customStyle="1" w:styleId="Nadpis1Char">
    <w:name w:val="Nadpis 1 Char"/>
    <w:link w:val="Nadpis1"/>
    <w:rPr>
      <w:rFonts w:ascii="Gill Sans MT" w:eastAsia="Gill Sans MT" w:hAnsi="Gill Sans MT" w:cs="Gill Sans MT"/>
      <w:b/>
      <w:color w:val="000000"/>
      <w:sz w:val="52"/>
    </w:rPr>
  </w:style>
  <w:style w:type="character" w:customStyle="1" w:styleId="Nadpis3Char">
    <w:name w:val="Nadpis 3 Char"/>
    <w:link w:val="Nadpis3"/>
    <w:rPr>
      <w:rFonts w:ascii="Gill Sans MT" w:eastAsia="Gill Sans MT" w:hAnsi="Gill Sans MT" w:cs="Gill Sans MT"/>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27589</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
  <LinksUpToDate>false</LinksUpToDate>
  <CharactersWithSpaces>32201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subject/>
  <dc:creator>lkrec</dc:creator>
  <cp:keywords/>
  <cp:lastModifiedBy>Zuzana Marková</cp:lastModifiedBy>
  <cp:revision>2</cp:revision>
  <dcterms:created xsi:type="dcterms:W3CDTF">2018-01-05T09:46:00Z</dcterms:created>
  <dcterms:modified xsi:type="dcterms:W3CDTF">2018-01-05T09:46:00Z</dcterms:modified>
</cp:coreProperties>
</file>