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6F99" w14:textId="6EC54782" w:rsidR="00D73F59" w:rsidRPr="0041780A" w:rsidRDefault="00D73F59" w:rsidP="0080066B">
      <w:pPr>
        <w:pStyle w:val="Vyizujeadresadaldky"/>
        <w:tabs>
          <w:tab w:val="clear" w:pos="4536"/>
          <w:tab w:val="left" w:pos="2268"/>
        </w:tabs>
        <w:spacing w:before="240" w:line="264" w:lineRule="auto"/>
        <w:ind w:left="851" w:hanging="851"/>
        <w:rPr>
          <w:rFonts w:cs="Segoe UI"/>
        </w:rPr>
      </w:pPr>
      <w:r w:rsidRPr="0041780A">
        <w:rPr>
          <w:rFonts w:cs="Segoe UI"/>
        </w:rPr>
        <w:t xml:space="preserve">Č. </w:t>
      </w:r>
      <w:r w:rsidR="001E03A3" w:rsidRPr="0041780A">
        <w:rPr>
          <w:rFonts w:cs="Segoe UI"/>
        </w:rPr>
        <w:t>smlouvy</w:t>
      </w:r>
      <w:r w:rsidRPr="0041780A">
        <w:rPr>
          <w:rFonts w:cs="Segoe UI"/>
        </w:rPr>
        <w:t>:</w:t>
      </w:r>
      <w:r w:rsidRPr="0041780A">
        <w:rPr>
          <w:rFonts w:cs="Segoe UI"/>
        </w:rPr>
        <w:tab/>
      </w:r>
      <w:r w:rsidR="00FE1E95">
        <w:rPr>
          <w:rFonts w:cs="Segoe UI"/>
        </w:rPr>
        <w:t>809/2017</w:t>
      </w:r>
    </w:p>
    <w:p w14:paraId="3AD60E0F" w14:textId="1DB4D8A0" w:rsidR="00D73F59" w:rsidRPr="0041780A" w:rsidRDefault="00D73F59" w:rsidP="00165C32">
      <w:pPr>
        <w:pStyle w:val="Vyizujeadresadaldky"/>
        <w:tabs>
          <w:tab w:val="clear" w:pos="4536"/>
          <w:tab w:val="left" w:pos="2268"/>
          <w:tab w:val="left" w:pos="3480"/>
        </w:tabs>
        <w:spacing w:line="264" w:lineRule="auto"/>
        <w:rPr>
          <w:rFonts w:cs="Segoe UI"/>
        </w:rPr>
      </w:pPr>
      <w:r w:rsidRPr="0041780A">
        <w:rPr>
          <w:rFonts w:cs="Segoe UI"/>
        </w:rPr>
        <w:t>Pořadové č. VZ:</w:t>
      </w:r>
      <w:r w:rsidRPr="0041780A">
        <w:rPr>
          <w:rFonts w:cs="Segoe UI"/>
        </w:rPr>
        <w:tab/>
      </w:r>
      <w:r w:rsidR="004145F8" w:rsidRPr="0041780A">
        <w:rPr>
          <w:rFonts w:cs="Segoe UI"/>
        </w:rPr>
        <w:t>1/2017</w:t>
      </w:r>
      <w:r w:rsidRPr="0041780A">
        <w:rPr>
          <w:rFonts w:cs="Segoe UI"/>
        </w:rPr>
        <w:tab/>
      </w:r>
    </w:p>
    <w:p w14:paraId="40E6283F" w14:textId="42E8E83C" w:rsidR="00D73F59" w:rsidRPr="0041780A" w:rsidRDefault="00D73F59" w:rsidP="00165C32">
      <w:pPr>
        <w:pStyle w:val="Vyizujeadresadaldky"/>
        <w:tabs>
          <w:tab w:val="clear" w:pos="4536"/>
          <w:tab w:val="left" w:pos="2268"/>
        </w:tabs>
        <w:spacing w:line="264" w:lineRule="auto"/>
        <w:rPr>
          <w:rFonts w:cs="Segoe UI"/>
        </w:rPr>
      </w:pPr>
      <w:r w:rsidRPr="0041780A">
        <w:rPr>
          <w:rFonts w:cs="Segoe UI"/>
        </w:rPr>
        <w:t>Systémové č. VZ:</w:t>
      </w:r>
      <w:r w:rsidRPr="0041780A">
        <w:rPr>
          <w:rFonts w:cs="Segoe UI"/>
        </w:rPr>
        <w:tab/>
      </w:r>
      <w:r w:rsidR="00493389" w:rsidRPr="00493389">
        <w:rPr>
          <w:rFonts w:cs="Segoe UI"/>
        </w:rPr>
        <w:t>P17V00001052</w:t>
      </w:r>
    </w:p>
    <w:p w14:paraId="77D46E40" w14:textId="5260F720" w:rsidR="007F3A00" w:rsidRPr="004A3651" w:rsidRDefault="003733EF" w:rsidP="00D802CF">
      <w:pPr>
        <w:pStyle w:val="Hlavninadpis"/>
        <w:spacing w:before="480" w:after="480" w:line="240" w:lineRule="auto"/>
        <w:jc w:val="both"/>
        <w:rPr>
          <w:rFonts w:ascii="Segoe UI" w:hAnsi="Segoe UI" w:cs="Segoe UI"/>
          <w:caps/>
          <w:spacing w:val="-6"/>
          <w:szCs w:val="32"/>
        </w:rPr>
      </w:pPr>
      <w:r w:rsidRPr="004A3651">
        <w:rPr>
          <w:rFonts w:ascii="Segoe UI" w:hAnsi="Segoe UI" w:cs="Segoe UI"/>
          <w:caps/>
          <w:spacing w:val="-6"/>
          <w:szCs w:val="32"/>
        </w:rPr>
        <w:t xml:space="preserve">Rámcová dohoda </w:t>
      </w:r>
      <w:r w:rsidR="00377474" w:rsidRPr="004A3651">
        <w:rPr>
          <w:rFonts w:ascii="Segoe UI" w:hAnsi="Segoe UI" w:cs="Segoe UI"/>
          <w:caps/>
          <w:spacing w:val="-6"/>
          <w:szCs w:val="32"/>
        </w:rPr>
        <w:t>o</w:t>
      </w:r>
      <w:r w:rsidRPr="004A3651">
        <w:rPr>
          <w:rFonts w:ascii="Segoe UI" w:hAnsi="Segoe UI" w:cs="Segoe UI"/>
          <w:caps/>
          <w:spacing w:val="-6"/>
          <w:szCs w:val="32"/>
        </w:rPr>
        <w:t xml:space="preserve"> poskytování </w:t>
      </w:r>
      <w:r w:rsidR="003202AF" w:rsidRPr="004A3651">
        <w:rPr>
          <w:rFonts w:ascii="Segoe UI" w:hAnsi="Segoe UI" w:cs="Segoe UI"/>
          <w:caps/>
          <w:spacing w:val="-6"/>
          <w:szCs w:val="32"/>
        </w:rPr>
        <w:t xml:space="preserve">právních </w:t>
      </w:r>
      <w:r w:rsidRPr="004A3651">
        <w:rPr>
          <w:rFonts w:ascii="Segoe UI" w:hAnsi="Segoe UI" w:cs="Segoe UI"/>
          <w:caps/>
          <w:spacing w:val="-6"/>
          <w:szCs w:val="32"/>
        </w:rPr>
        <w:t>služeb</w:t>
      </w:r>
    </w:p>
    <w:p w14:paraId="2B9684FD" w14:textId="4E4FD82C" w:rsidR="007F3A00" w:rsidRPr="0041780A" w:rsidRDefault="0018331C" w:rsidP="00D802CF">
      <w:pPr>
        <w:pStyle w:val="rove1"/>
        <w:numPr>
          <w:ilvl w:val="0"/>
          <w:numId w:val="0"/>
        </w:numPr>
        <w:spacing w:before="0"/>
      </w:pPr>
      <w:r w:rsidRPr="0041780A">
        <w:t>strany uzavírající dohodu</w:t>
      </w:r>
      <w:r w:rsidR="00D73F59" w:rsidRPr="0041780A">
        <w:t>:</w:t>
      </w:r>
    </w:p>
    <w:p w14:paraId="48789B93" w14:textId="58A9C602" w:rsidR="007F3A00" w:rsidRPr="0041780A" w:rsidRDefault="004A3651" w:rsidP="00165C32">
      <w:pPr>
        <w:spacing w:line="264" w:lineRule="auto"/>
        <w:rPr>
          <w:rFonts w:ascii="Segoe UI" w:hAnsi="Segoe UI" w:cs="Segoe UI"/>
          <w:b/>
          <w:i w:val="0"/>
        </w:rPr>
      </w:pPr>
      <w:r>
        <w:rPr>
          <w:rFonts w:ascii="Segoe UI" w:hAnsi="Segoe UI" w:cs="Segoe UI"/>
          <w:b/>
          <w:bCs/>
          <w:i w:val="0"/>
        </w:rPr>
        <w:t>PELIKÁN KROFTA KOHOUTEK advokátní kancelář s. r. o.</w:t>
      </w:r>
    </w:p>
    <w:p w14:paraId="55F5430C" w14:textId="3E3EE3E0" w:rsidR="007F3A00" w:rsidRPr="0041780A" w:rsidRDefault="007F3A00" w:rsidP="00165C32">
      <w:pPr>
        <w:spacing w:line="264" w:lineRule="auto"/>
        <w:rPr>
          <w:rFonts w:ascii="Segoe UI" w:hAnsi="Segoe UI" w:cs="Segoe UI"/>
          <w:i w:val="0"/>
        </w:rPr>
      </w:pPr>
      <w:r w:rsidRPr="0041780A">
        <w:rPr>
          <w:rFonts w:ascii="Segoe UI" w:hAnsi="Segoe UI" w:cs="Segoe UI"/>
          <w:i w:val="0"/>
        </w:rPr>
        <w:t>se sídlem</w:t>
      </w:r>
      <w:r w:rsidR="00FE1E95">
        <w:rPr>
          <w:rFonts w:ascii="Segoe UI" w:hAnsi="Segoe UI" w:cs="Segoe UI"/>
          <w:i w:val="0"/>
        </w:rPr>
        <w:t>:</w:t>
      </w:r>
      <w:r w:rsidR="004145F8" w:rsidRPr="0041780A">
        <w:rPr>
          <w:rFonts w:ascii="Segoe UI" w:hAnsi="Segoe UI" w:cs="Segoe UI"/>
          <w:i w:val="0"/>
        </w:rPr>
        <w:t xml:space="preserve"> </w:t>
      </w:r>
      <w:r w:rsidR="004A3651">
        <w:rPr>
          <w:rFonts w:ascii="Segoe UI" w:hAnsi="Segoe UI" w:cs="Segoe UI"/>
          <w:i w:val="0"/>
        </w:rPr>
        <w:t>Újezd 450/40, 118 01 Praha 1 – Malá Strana</w:t>
      </w:r>
      <w:r w:rsidRPr="0041780A">
        <w:rPr>
          <w:rFonts w:ascii="Segoe UI" w:hAnsi="Segoe UI" w:cs="Segoe UI"/>
          <w:i w:val="0"/>
        </w:rPr>
        <w:t xml:space="preserve"> </w:t>
      </w:r>
    </w:p>
    <w:p w14:paraId="3D1A0BBC" w14:textId="08C95C57" w:rsidR="007F3A00" w:rsidRPr="0041780A" w:rsidRDefault="007F3A00" w:rsidP="00165C32">
      <w:pPr>
        <w:spacing w:line="264" w:lineRule="auto"/>
        <w:rPr>
          <w:rFonts w:ascii="Segoe UI" w:hAnsi="Segoe UI" w:cs="Segoe UI"/>
          <w:i w:val="0"/>
        </w:rPr>
      </w:pPr>
      <w:r w:rsidRPr="0041780A">
        <w:rPr>
          <w:rFonts w:ascii="Segoe UI" w:hAnsi="Segoe UI" w:cs="Segoe UI"/>
          <w:i w:val="0"/>
        </w:rPr>
        <w:t xml:space="preserve">IČ: </w:t>
      </w:r>
      <w:r w:rsidR="004A3651">
        <w:rPr>
          <w:rFonts w:ascii="Segoe UI" w:hAnsi="Segoe UI" w:cs="Segoe UI"/>
          <w:i w:val="0"/>
        </w:rPr>
        <w:t>27592936</w:t>
      </w:r>
    </w:p>
    <w:p w14:paraId="2B41061D" w14:textId="140BEEBB" w:rsidR="00BA43FC" w:rsidRPr="0041780A" w:rsidRDefault="007F3A00" w:rsidP="00165C32">
      <w:pPr>
        <w:spacing w:line="264" w:lineRule="auto"/>
        <w:rPr>
          <w:rFonts w:ascii="Segoe UI" w:hAnsi="Segoe UI" w:cs="Segoe UI"/>
          <w:i w:val="0"/>
        </w:rPr>
      </w:pPr>
      <w:r w:rsidRPr="0041780A">
        <w:rPr>
          <w:rFonts w:ascii="Segoe UI" w:hAnsi="Segoe UI" w:cs="Segoe UI"/>
          <w:i w:val="0"/>
        </w:rPr>
        <w:t xml:space="preserve">DIČ: </w:t>
      </w:r>
      <w:r w:rsidR="00FE1E95">
        <w:rPr>
          <w:rFonts w:ascii="Segoe UI" w:hAnsi="Segoe UI" w:cs="Segoe UI"/>
          <w:i w:val="0"/>
        </w:rPr>
        <w:t>CZ</w:t>
      </w:r>
      <w:r w:rsidR="004A3651">
        <w:rPr>
          <w:rFonts w:ascii="Segoe UI" w:hAnsi="Segoe UI" w:cs="Segoe UI"/>
          <w:i w:val="0"/>
        </w:rPr>
        <w:t>27592936</w:t>
      </w:r>
    </w:p>
    <w:p w14:paraId="6A5CCCEE" w14:textId="016B8315" w:rsidR="007F3A00" w:rsidRPr="0041780A" w:rsidRDefault="00C46C8E" w:rsidP="00165C32">
      <w:pPr>
        <w:tabs>
          <w:tab w:val="left" w:pos="851"/>
        </w:tabs>
        <w:spacing w:line="264" w:lineRule="auto"/>
        <w:rPr>
          <w:rFonts w:ascii="Segoe UI" w:hAnsi="Segoe UI" w:cs="Segoe UI"/>
          <w:i w:val="0"/>
        </w:rPr>
      </w:pPr>
      <w:r w:rsidRPr="0041780A">
        <w:rPr>
          <w:rFonts w:ascii="Segoe UI" w:hAnsi="Segoe UI" w:cs="Segoe UI"/>
          <w:i w:val="0"/>
        </w:rPr>
        <w:t>zast</w:t>
      </w:r>
      <w:r w:rsidR="003E7F27" w:rsidRPr="0041780A">
        <w:rPr>
          <w:rFonts w:ascii="Segoe UI" w:hAnsi="Segoe UI" w:cs="Segoe UI"/>
          <w:i w:val="0"/>
        </w:rPr>
        <w:t>o</w:t>
      </w:r>
      <w:r w:rsidRPr="0041780A">
        <w:rPr>
          <w:rFonts w:ascii="Segoe UI" w:hAnsi="Segoe UI" w:cs="Segoe UI"/>
          <w:i w:val="0"/>
        </w:rPr>
        <w:t>upen</w:t>
      </w:r>
      <w:r w:rsidR="00600C27">
        <w:rPr>
          <w:rFonts w:ascii="Segoe UI" w:hAnsi="Segoe UI" w:cs="Segoe UI"/>
          <w:i w:val="0"/>
        </w:rPr>
        <w:t>a</w:t>
      </w:r>
      <w:r w:rsidR="00BA43FC" w:rsidRPr="0041780A">
        <w:rPr>
          <w:rFonts w:ascii="Segoe UI" w:hAnsi="Segoe UI" w:cs="Segoe UI"/>
          <w:i w:val="0"/>
        </w:rPr>
        <w:t>:</w:t>
      </w:r>
      <w:r w:rsidRPr="0041780A">
        <w:rPr>
          <w:rFonts w:ascii="Segoe UI" w:hAnsi="Segoe UI" w:cs="Segoe UI"/>
          <w:i w:val="0"/>
        </w:rPr>
        <w:t xml:space="preserve"> </w:t>
      </w:r>
      <w:r w:rsidR="00FE1E95">
        <w:rPr>
          <w:rFonts w:ascii="Segoe UI" w:hAnsi="Segoe UI" w:cs="Segoe UI"/>
          <w:i w:val="0"/>
        </w:rPr>
        <w:t xml:space="preserve">Mgr. </w:t>
      </w:r>
      <w:r w:rsidR="004A3651">
        <w:rPr>
          <w:rFonts w:ascii="Segoe UI" w:hAnsi="Segoe UI" w:cs="Segoe UI"/>
          <w:i w:val="0"/>
        </w:rPr>
        <w:t>Matějem Váchou</w:t>
      </w:r>
      <w:r w:rsidR="00FE1E95">
        <w:rPr>
          <w:rFonts w:ascii="Segoe UI" w:hAnsi="Segoe UI" w:cs="Segoe UI"/>
          <w:i w:val="0"/>
        </w:rPr>
        <w:t>, jednatelem</w:t>
      </w:r>
    </w:p>
    <w:p w14:paraId="6D8B44CF" w14:textId="5F02E19F" w:rsidR="007F3A00" w:rsidRPr="0041780A" w:rsidRDefault="004145F8" w:rsidP="00377474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  <w:snapToGrid w:val="0"/>
        </w:rPr>
      </w:pPr>
      <w:r w:rsidRPr="0041780A">
        <w:rPr>
          <w:rFonts w:ascii="Segoe UI" w:hAnsi="Segoe UI" w:cs="Segoe UI"/>
          <w:i w:val="0"/>
          <w:snapToGrid w:val="0"/>
        </w:rPr>
        <w:t>bankovní spojení:</w:t>
      </w:r>
      <w:r w:rsidR="00FE1E95">
        <w:rPr>
          <w:rFonts w:ascii="Segoe UI" w:hAnsi="Segoe UI" w:cs="Segoe UI"/>
          <w:i w:val="0"/>
          <w:snapToGrid w:val="0"/>
        </w:rPr>
        <w:t xml:space="preserve"> </w:t>
      </w:r>
      <w:r w:rsidR="00ED5847" w:rsidRPr="00ED5847">
        <w:rPr>
          <w:rFonts w:ascii="Segoe UI" w:hAnsi="Segoe UI" w:cs="Segoe UI"/>
          <w:i w:val="0"/>
          <w:snapToGrid w:val="0"/>
          <w:highlight w:val="yellow"/>
        </w:rPr>
        <w:t>xxx</w:t>
      </w:r>
      <w:r w:rsidR="00FE1E95">
        <w:rPr>
          <w:rFonts w:ascii="Segoe UI" w:hAnsi="Segoe UI" w:cs="Segoe UI"/>
          <w:i w:val="0"/>
          <w:snapToGrid w:val="0"/>
        </w:rPr>
        <w:t xml:space="preserve">, č. účtu: </w:t>
      </w:r>
      <w:r w:rsidR="00ED5847" w:rsidRPr="00ED5847">
        <w:rPr>
          <w:rFonts w:ascii="Segoe UI" w:hAnsi="Segoe UI" w:cs="Segoe UI"/>
          <w:i w:val="0"/>
          <w:snapToGrid w:val="0"/>
          <w:highlight w:val="yellow"/>
        </w:rPr>
        <w:t>xxx</w:t>
      </w:r>
      <w:r w:rsidR="00FE1E95">
        <w:rPr>
          <w:rFonts w:ascii="Segoe UI" w:hAnsi="Segoe UI" w:cs="Segoe UI"/>
          <w:i w:val="0"/>
          <w:snapToGrid w:val="0"/>
        </w:rPr>
        <w:t xml:space="preserve"> </w:t>
      </w:r>
    </w:p>
    <w:p w14:paraId="0F2E5B28" w14:textId="4671C631" w:rsidR="007F3A00" w:rsidRPr="0041780A" w:rsidRDefault="007F3A00" w:rsidP="00D802CF">
      <w:pPr>
        <w:spacing w:before="120"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 xml:space="preserve">(dále jen </w:t>
      </w:r>
      <w:r w:rsidRPr="0041780A">
        <w:rPr>
          <w:rFonts w:ascii="Segoe UI" w:hAnsi="Segoe UI" w:cs="Segoe UI"/>
          <w:b/>
          <w:i w:val="0"/>
          <w:iCs w:val="0"/>
        </w:rPr>
        <w:t>„</w:t>
      </w:r>
      <w:r w:rsidR="003733EF" w:rsidRPr="0041780A">
        <w:rPr>
          <w:rFonts w:ascii="Segoe UI" w:hAnsi="Segoe UI" w:cs="Segoe UI"/>
          <w:b/>
          <w:i w:val="0"/>
          <w:iCs w:val="0"/>
        </w:rPr>
        <w:t>Poskytovatel</w:t>
      </w:r>
      <w:r w:rsidRPr="0041780A">
        <w:rPr>
          <w:rFonts w:ascii="Segoe UI" w:hAnsi="Segoe UI" w:cs="Segoe UI"/>
          <w:b/>
          <w:i w:val="0"/>
          <w:iCs w:val="0"/>
        </w:rPr>
        <w:t>“</w:t>
      </w:r>
      <w:r w:rsidRPr="0041780A">
        <w:rPr>
          <w:rFonts w:ascii="Segoe UI" w:hAnsi="Segoe UI" w:cs="Segoe UI"/>
          <w:i w:val="0"/>
          <w:iCs w:val="0"/>
        </w:rPr>
        <w:t>)</w:t>
      </w:r>
    </w:p>
    <w:p w14:paraId="006BBCE4" w14:textId="77777777" w:rsidR="007F3A00" w:rsidRPr="0041780A" w:rsidRDefault="007F3A00" w:rsidP="001E6E5F">
      <w:pPr>
        <w:spacing w:before="120" w:after="120" w:line="264" w:lineRule="auto"/>
        <w:rPr>
          <w:rFonts w:ascii="Segoe UI" w:hAnsi="Segoe UI" w:cs="Segoe UI"/>
          <w:i w:val="0"/>
        </w:rPr>
      </w:pPr>
      <w:r w:rsidRPr="0041780A">
        <w:rPr>
          <w:rFonts w:ascii="Segoe UI" w:hAnsi="Segoe UI" w:cs="Segoe UI"/>
          <w:i w:val="0"/>
        </w:rPr>
        <w:t>a</w:t>
      </w:r>
    </w:p>
    <w:p w14:paraId="403A2283" w14:textId="77777777" w:rsidR="007F3A00" w:rsidRPr="0041780A" w:rsidRDefault="007F3A00" w:rsidP="00165C32">
      <w:pPr>
        <w:spacing w:line="264" w:lineRule="auto"/>
        <w:jc w:val="both"/>
        <w:rPr>
          <w:rFonts w:ascii="Segoe UI" w:hAnsi="Segoe UI" w:cs="Segoe UI"/>
          <w:b/>
          <w:i w:val="0"/>
          <w:iCs w:val="0"/>
        </w:rPr>
      </w:pPr>
      <w:r w:rsidRPr="0041780A">
        <w:rPr>
          <w:rFonts w:ascii="Segoe UI" w:hAnsi="Segoe UI" w:cs="Segoe UI"/>
          <w:b/>
          <w:i w:val="0"/>
          <w:iCs w:val="0"/>
        </w:rPr>
        <w:t>Státní fond životního prostředí České republiky</w:t>
      </w:r>
    </w:p>
    <w:p w14:paraId="114AD176" w14:textId="323D8F92" w:rsidR="007F3A00" w:rsidRPr="0041780A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>se sídlem</w:t>
      </w:r>
      <w:r w:rsidR="00FE1E95">
        <w:rPr>
          <w:rFonts w:ascii="Segoe UI" w:hAnsi="Segoe UI" w:cs="Segoe UI"/>
          <w:i w:val="0"/>
          <w:iCs w:val="0"/>
        </w:rPr>
        <w:t>:</w:t>
      </w:r>
      <w:r w:rsidR="007F3A00" w:rsidRPr="0041780A">
        <w:rPr>
          <w:rFonts w:ascii="Segoe UI" w:hAnsi="Segoe UI" w:cs="Segoe UI"/>
          <w:i w:val="0"/>
          <w:iCs w:val="0"/>
        </w:rPr>
        <w:t xml:space="preserve"> Kaplanova 1931/1, 148 00 Praha 11 – Chodov</w:t>
      </w:r>
    </w:p>
    <w:p w14:paraId="7E5260F3" w14:textId="77777777" w:rsidR="007F3A00" w:rsidRPr="0041780A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 w:rsidRPr="0041780A">
        <w:rPr>
          <w:rFonts w:ascii="Segoe UI" w:hAnsi="Segoe UI" w:cs="Segoe UI"/>
          <w:i w:val="0"/>
          <w:iCs w:val="0"/>
        </w:rPr>
        <w:t>–</w:t>
      </w:r>
      <w:r w:rsidRPr="0041780A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77777" w:rsidR="007F3A00" w:rsidRPr="0041780A" w:rsidRDefault="00D75A36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>IČ</w:t>
      </w:r>
      <w:r w:rsidR="007F3A00" w:rsidRPr="0041780A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Pr="0041780A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41780A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68B4A8E0" w14:textId="14EE39A9" w:rsidR="007F3A00" w:rsidRPr="0041780A" w:rsidRDefault="007F3A00" w:rsidP="00165C32">
      <w:pPr>
        <w:spacing w:line="264" w:lineRule="auto"/>
        <w:jc w:val="both"/>
        <w:rPr>
          <w:rFonts w:ascii="Segoe UI" w:hAnsi="Segoe UI" w:cs="Segoe UI"/>
          <w:i w:val="0"/>
        </w:rPr>
      </w:pPr>
      <w:r w:rsidRPr="0041780A">
        <w:rPr>
          <w:rFonts w:ascii="Segoe UI" w:hAnsi="Segoe UI" w:cs="Segoe UI"/>
          <w:i w:val="0"/>
        </w:rPr>
        <w:t xml:space="preserve">bankovní spojení: </w:t>
      </w:r>
      <w:r w:rsidR="00ED5847" w:rsidRPr="00ED5847">
        <w:rPr>
          <w:rFonts w:ascii="Segoe UI" w:hAnsi="Segoe UI" w:cs="Segoe UI"/>
          <w:i w:val="0"/>
          <w:highlight w:val="yellow"/>
        </w:rPr>
        <w:t>xxx</w:t>
      </w:r>
      <w:r w:rsidRPr="0041780A">
        <w:rPr>
          <w:rFonts w:ascii="Segoe UI" w:hAnsi="Segoe UI" w:cs="Segoe UI"/>
          <w:i w:val="0"/>
        </w:rPr>
        <w:t xml:space="preserve">, č. účtu: </w:t>
      </w:r>
      <w:r w:rsidR="00ED5847" w:rsidRPr="00ED5847">
        <w:rPr>
          <w:rFonts w:ascii="Segoe UI" w:hAnsi="Segoe UI" w:cs="Segoe UI"/>
          <w:i w:val="0"/>
          <w:snapToGrid w:val="0"/>
          <w:highlight w:val="yellow"/>
        </w:rPr>
        <w:t>xxx</w:t>
      </w:r>
    </w:p>
    <w:p w14:paraId="1CC783CD" w14:textId="1B0C80B9" w:rsidR="00D802CF" w:rsidRPr="0041780A" w:rsidRDefault="003202AF" w:rsidP="0073199F">
      <w:pPr>
        <w:tabs>
          <w:tab w:val="left" w:pos="3544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>kontaktní osob</w:t>
      </w:r>
      <w:r w:rsidR="00E65127" w:rsidRPr="0041780A">
        <w:rPr>
          <w:rFonts w:ascii="Segoe UI" w:hAnsi="Segoe UI" w:cs="Segoe UI"/>
          <w:i w:val="0"/>
          <w:iCs w:val="0"/>
        </w:rPr>
        <w:t>a</w:t>
      </w:r>
      <w:r w:rsidRPr="0041780A">
        <w:rPr>
          <w:rFonts w:ascii="Segoe UI" w:hAnsi="Segoe UI" w:cs="Segoe UI"/>
          <w:i w:val="0"/>
          <w:iCs w:val="0"/>
        </w:rPr>
        <w:t xml:space="preserve">: </w:t>
      </w:r>
      <w:r w:rsidR="00ED5847" w:rsidRPr="00ED5847">
        <w:rPr>
          <w:rFonts w:ascii="Segoe UI" w:hAnsi="Segoe UI" w:cs="Segoe UI"/>
          <w:i w:val="0"/>
          <w:snapToGrid w:val="0"/>
          <w:highlight w:val="yellow"/>
        </w:rPr>
        <w:t>xxx</w:t>
      </w:r>
      <w:r w:rsidR="00E65127" w:rsidRPr="0041780A">
        <w:rPr>
          <w:rFonts w:ascii="Segoe UI" w:hAnsi="Segoe UI" w:cs="Segoe UI"/>
          <w:i w:val="0"/>
          <w:iCs w:val="0"/>
        </w:rPr>
        <w:t xml:space="preserve">, tel.: </w:t>
      </w:r>
      <w:r w:rsidR="00ED5847" w:rsidRPr="00ED5847">
        <w:rPr>
          <w:rFonts w:ascii="Segoe UI" w:hAnsi="Segoe UI" w:cs="Segoe UI"/>
          <w:i w:val="0"/>
          <w:snapToGrid w:val="0"/>
          <w:highlight w:val="yellow"/>
        </w:rPr>
        <w:t>xxx</w:t>
      </w:r>
      <w:r w:rsidR="00E65127" w:rsidRPr="0041780A">
        <w:rPr>
          <w:rFonts w:ascii="Segoe UI" w:hAnsi="Segoe UI" w:cs="Segoe UI"/>
          <w:i w:val="0"/>
          <w:iCs w:val="0"/>
        </w:rPr>
        <w:t xml:space="preserve">, e-mail: </w:t>
      </w:r>
      <w:r w:rsidR="00ED5847" w:rsidRPr="00ED5847">
        <w:rPr>
          <w:rFonts w:ascii="Segoe UI" w:hAnsi="Segoe UI" w:cs="Segoe UI"/>
          <w:i w:val="0"/>
          <w:snapToGrid w:val="0"/>
          <w:highlight w:val="yellow"/>
        </w:rPr>
        <w:t>xxx</w:t>
      </w:r>
    </w:p>
    <w:p w14:paraId="2846EA7C" w14:textId="2D1812D6" w:rsidR="00E65127" w:rsidRPr="0041780A" w:rsidRDefault="0073199F" w:rsidP="00A63430">
      <w:pPr>
        <w:tabs>
          <w:tab w:val="left" w:pos="3544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 xml:space="preserve">oprávněné osoby ve věcech smluvních: </w:t>
      </w:r>
      <w:r w:rsidRPr="0041780A">
        <w:rPr>
          <w:rFonts w:ascii="Segoe UI" w:hAnsi="Segoe UI" w:cs="Segoe UI"/>
          <w:i w:val="0"/>
          <w:iCs w:val="0"/>
        </w:rPr>
        <w:tab/>
        <w:t>ředitel/ka Odboru právního</w:t>
      </w:r>
    </w:p>
    <w:p w14:paraId="3EB635FD" w14:textId="0FD7885F" w:rsidR="0073199F" w:rsidRPr="0041780A" w:rsidRDefault="0073199F" w:rsidP="0073199F">
      <w:pPr>
        <w:tabs>
          <w:tab w:val="left" w:pos="3544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ab/>
        <w:t>ředitel/ka Sekce organizačně-právní</w:t>
      </w:r>
    </w:p>
    <w:p w14:paraId="47908F55" w14:textId="2365A16D" w:rsidR="0073199F" w:rsidRPr="0041780A" w:rsidRDefault="0073199F" w:rsidP="0073199F">
      <w:pPr>
        <w:tabs>
          <w:tab w:val="left" w:pos="3544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ab/>
        <w:t>ředitel/ka SFŽP ČR</w:t>
      </w:r>
    </w:p>
    <w:p w14:paraId="75BF7F80" w14:textId="5F336EE1" w:rsidR="007F3A00" w:rsidRPr="0041780A" w:rsidRDefault="007F3A00" w:rsidP="00D802CF">
      <w:pPr>
        <w:spacing w:before="120" w:line="264" w:lineRule="auto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 xml:space="preserve">(dále jen </w:t>
      </w:r>
      <w:r w:rsidRPr="0041780A">
        <w:rPr>
          <w:rFonts w:ascii="Segoe UI" w:hAnsi="Segoe UI" w:cs="Segoe UI"/>
          <w:b/>
          <w:i w:val="0"/>
          <w:iCs w:val="0"/>
        </w:rPr>
        <w:t>„</w:t>
      </w:r>
      <w:r w:rsidR="003733EF" w:rsidRPr="0041780A">
        <w:rPr>
          <w:rFonts w:ascii="Segoe UI" w:hAnsi="Segoe UI" w:cs="Segoe UI"/>
          <w:b/>
          <w:i w:val="0"/>
          <w:iCs w:val="0"/>
        </w:rPr>
        <w:t>Objednatel</w:t>
      </w:r>
      <w:r w:rsidRPr="0041780A">
        <w:rPr>
          <w:rFonts w:ascii="Segoe UI" w:hAnsi="Segoe UI" w:cs="Segoe UI"/>
          <w:b/>
          <w:i w:val="0"/>
          <w:iCs w:val="0"/>
        </w:rPr>
        <w:t>“</w:t>
      </w:r>
      <w:r w:rsidRPr="0041780A">
        <w:rPr>
          <w:rFonts w:ascii="Segoe UI" w:hAnsi="Segoe UI" w:cs="Segoe UI"/>
          <w:i w:val="0"/>
          <w:iCs w:val="0"/>
        </w:rPr>
        <w:t>)</w:t>
      </w:r>
    </w:p>
    <w:p w14:paraId="4E8B4171" w14:textId="77777777" w:rsidR="007F3A00" w:rsidRPr="0041780A" w:rsidRDefault="007F3A00" w:rsidP="00165C32">
      <w:pPr>
        <w:spacing w:line="264" w:lineRule="auto"/>
        <w:rPr>
          <w:rFonts w:ascii="Segoe UI" w:hAnsi="Segoe UI" w:cs="Segoe UI"/>
          <w:i w:val="0"/>
          <w:iCs w:val="0"/>
        </w:rPr>
      </w:pPr>
    </w:p>
    <w:p w14:paraId="4F5A7447" w14:textId="24AD3A66" w:rsidR="007F3A00" w:rsidRPr="0041780A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41780A">
        <w:rPr>
          <w:rFonts w:ascii="Segoe UI" w:hAnsi="Segoe UI" w:cs="Segoe UI"/>
          <w:i w:val="0"/>
          <w:iCs w:val="0"/>
        </w:rPr>
        <w:t>(dále společně též „</w:t>
      </w:r>
      <w:r w:rsidRPr="0041780A">
        <w:rPr>
          <w:rFonts w:ascii="Segoe UI" w:hAnsi="Segoe UI" w:cs="Segoe UI"/>
          <w:b/>
          <w:i w:val="0"/>
          <w:iCs w:val="0"/>
        </w:rPr>
        <w:t>strany</w:t>
      </w:r>
      <w:r w:rsidRPr="0041780A">
        <w:rPr>
          <w:rFonts w:ascii="Segoe UI" w:hAnsi="Segoe UI" w:cs="Segoe UI"/>
          <w:i w:val="0"/>
          <w:iCs w:val="0"/>
        </w:rPr>
        <w:t>“</w:t>
      </w:r>
      <w:r w:rsidR="002421C8" w:rsidRPr="0041780A">
        <w:rPr>
          <w:rFonts w:ascii="Segoe UI" w:hAnsi="Segoe UI" w:cs="Segoe UI"/>
          <w:i w:val="0"/>
          <w:iCs w:val="0"/>
        </w:rPr>
        <w:t>, nebo</w:t>
      </w:r>
      <w:r w:rsidR="00D75A36" w:rsidRPr="0041780A">
        <w:rPr>
          <w:rFonts w:ascii="Segoe UI" w:hAnsi="Segoe UI" w:cs="Segoe UI"/>
          <w:i w:val="0"/>
          <w:iCs w:val="0"/>
        </w:rPr>
        <w:t xml:space="preserve"> samostatně</w:t>
      </w:r>
      <w:r w:rsidR="002421C8" w:rsidRPr="0041780A">
        <w:rPr>
          <w:rFonts w:ascii="Segoe UI" w:hAnsi="Segoe UI" w:cs="Segoe UI"/>
          <w:i w:val="0"/>
          <w:iCs w:val="0"/>
        </w:rPr>
        <w:t xml:space="preserve"> „</w:t>
      </w:r>
      <w:r w:rsidR="002421C8" w:rsidRPr="0041780A">
        <w:rPr>
          <w:rFonts w:ascii="Segoe UI" w:hAnsi="Segoe UI" w:cs="Segoe UI"/>
          <w:b/>
          <w:i w:val="0"/>
          <w:iCs w:val="0"/>
        </w:rPr>
        <w:t>strana“</w:t>
      </w:r>
      <w:r w:rsidRPr="0041780A">
        <w:rPr>
          <w:rFonts w:ascii="Segoe UI" w:hAnsi="Segoe UI" w:cs="Segoe UI"/>
          <w:i w:val="0"/>
          <w:iCs w:val="0"/>
        </w:rPr>
        <w:t>)</w:t>
      </w:r>
    </w:p>
    <w:p w14:paraId="5C2B94AB" w14:textId="77777777" w:rsidR="007F3A00" w:rsidRPr="0041780A" w:rsidRDefault="007F3A00" w:rsidP="00165C32">
      <w:pPr>
        <w:pStyle w:val="Normlnodsazen1"/>
        <w:spacing w:line="264" w:lineRule="auto"/>
        <w:rPr>
          <w:rFonts w:ascii="Segoe UI" w:hAnsi="Segoe UI" w:cs="Segoe UI"/>
          <w:szCs w:val="20"/>
        </w:rPr>
      </w:pPr>
    </w:p>
    <w:p w14:paraId="0EF34BE6" w14:textId="10A33193" w:rsidR="007F3A00" w:rsidRPr="0041780A" w:rsidRDefault="007F3A00" w:rsidP="00C52576">
      <w:pPr>
        <w:spacing w:line="264" w:lineRule="auto"/>
        <w:jc w:val="both"/>
        <w:rPr>
          <w:rFonts w:ascii="Segoe UI" w:hAnsi="Segoe UI" w:cs="Segoe UI"/>
          <w:i w:val="0"/>
        </w:rPr>
      </w:pPr>
      <w:r w:rsidRPr="0041780A">
        <w:rPr>
          <w:rFonts w:ascii="Segoe UI" w:hAnsi="Segoe UI" w:cs="Segoe UI"/>
          <w:i w:val="0"/>
        </w:rPr>
        <w:t>uzavřeli níže</w:t>
      </w:r>
      <w:r w:rsidR="00D75A36" w:rsidRPr="0041780A">
        <w:rPr>
          <w:rFonts w:ascii="Segoe UI" w:hAnsi="Segoe UI" w:cs="Segoe UI"/>
          <w:i w:val="0"/>
        </w:rPr>
        <w:t xml:space="preserve"> uvedeného dne, měsíce a roku</w:t>
      </w:r>
      <w:r w:rsidRPr="0041780A">
        <w:rPr>
          <w:rFonts w:ascii="Segoe UI" w:hAnsi="Segoe UI" w:cs="Segoe UI"/>
          <w:i w:val="0"/>
        </w:rPr>
        <w:t xml:space="preserve"> </w:t>
      </w:r>
      <w:r w:rsidR="00556323" w:rsidRPr="0041780A">
        <w:rPr>
          <w:rFonts w:ascii="Segoe UI" w:hAnsi="Segoe UI" w:cs="Segoe UI"/>
          <w:i w:val="0"/>
        </w:rPr>
        <w:t>v souladu s ust. § 1746 odst. 2 zákona č. 89/2012 Sb., občanského zákoníku, ve znění pozdějších předpisů</w:t>
      </w:r>
      <w:r w:rsidR="0070117D" w:rsidRPr="0041780A">
        <w:rPr>
          <w:rFonts w:ascii="Segoe UI" w:hAnsi="Segoe UI" w:cs="Segoe UI"/>
          <w:i w:val="0"/>
        </w:rPr>
        <w:t xml:space="preserve"> (dále jen „občanský zákoník“)</w:t>
      </w:r>
      <w:r w:rsidR="00556323" w:rsidRPr="0041780A">
        <w:rPr>
          <w:rFonts w:ascii="Segoe UI" w:hAnsi="Segoe UI" w:cs="Segoe UI"/>
          <w:i w:val="0"/>
        </w:rPr>
        <w:t xml:space="preserve">, a se zákonem </w:t>
      </w:r>
      <w:r w:rsidR="00D802CF" w:rsidRPr="0041780A">
        <w:rPr>
          <w:rFonts w:ascii="Segoe UI" w:hAnsi="Segoe UI" w:cs="Segoe UI"/>
          <w:i w:val="0"/>
        </w:rPr>
        <w:br/>
      </w:r>
      <w:r w:rsidR="00556323" w:rsidRPr="0041780A">
        <w:rPr>
          <w:rFonts w:ascii="Segoe UI" w:hAnsi="Segoe UI" w:cs="Segoe UI"/>
          <w:i w:val="0"/>
        </w:rPr>
        <w:t>č. 85/1996 Sb., o advokacii, ve znění pozdějších předpisů</w:t>
      </w:r>
      <w:r w:rsidR="0070117D" w:rsidRPr="0041780A">
        <w:rPr>
          <w:rFonts w:ascii="Segoe UI" w:hAnsi="Segoe UI" w:cs="Segoe UI"/>
          <w:i w:val="0"/>
        </w:rPr>
        <w:t xml:space="preserve"> (dále jen „zákon o advokacii“)</w:t>
      </w:r>
      <w:r w:rsidR="00556323" w:rsidRPr="0041780A">
        <w:rPr>
          <w:rFonts w:ascii="Segoe UI" w:hAnsi="Segoe UI" w:cs="Segoe UI"/>
          <w:i w:val="0"/>
        </w:rPr>
        <w:t xml:space="preserve">, </w:t>
      </w:r>
      <w:r w:rsidRPr="0041780A">
        <w:rPr>
          <w:rFonts w:ascii="Segoe UI" w:hAnsi="Segoe UI" w:cs="Segoe UI"/>
          <w:i w:val="0"/>
        </w:rPr>
        <w:t xml:space="preserve">tuto </w:t>
      </w:r>
      <w:r w:rsidR="003733EF" w:rsidRPr="0041780A">
        <w:rPr>
          <w:rFonts w:ascii="Segoe UI" w:hAnsi="Segoe UI" w:cs="Segoe UI"/>
          <w:i w:val="0"/>
        </w:rPr>
        <w:t>rámcovou</w:t>
      </w:r>
      <w:r w:rsidR="00341B15" w:rsidRPr="0041780A">
        <w:rPr>
          <w:rFonts w:ascii="Segoe UI" w:hAnsi="Segoe UI" w:cs="Segoe UI"/>
          <w:i w:val="0"/>
        </w:rPr>
        <w:t xml:space="preserve"> </w:t>
      </w:r>
      <w:r w:rsidR="003733EF" w:rsidRPr="0041780A">
        <w:rPr>
          <w:rFonts w:ascii="Segoe UI" w:hAnsi="Segoe UI" w:cs="Segoe UI"/>
          <w:i w:val="0"/>
        </w:rPr>
        <w:t>dohodu</w:t>
      </w:r>
      <w:r w:rsidR="00341B15" w:rsidRPr="0041780A">
        <w:rPr>
          <w:rFonts w:ascii="Segoe UI" w:hAnsi="Segoe UI" w:cs="Segoe UI"/>
          <w:i w:val="0"/>
        </w:rPr>
        <w:t xml:space="preserve"> </w:t>
      </w:r>
      <w:r w:rsidRPr="0041780A">
        <w:rPr>
          <w:rFonts w:ascii="Segoe UI" w:hAnsi="Segoe UI" w:cs="Segoe UI"/>
          <w:i w:val="0"/>
        </w:rPr>
        <w:t>(dále též jen „</w:t>
      </w:r>
      <w:r w:rsidR="003733EF" w:rsidRPr="0041780A">
        <w:rPr>
          <w:rFonts w:ascii="Segoe UI" w:hAnsi="Segoe UI" w:cs="Segoe UI"/>
          <w:b/>
          <w:i w:val="0"/>
        </w:rPr>
        <w:t>Dohoda</w:t>
      </w:r>
      <w:r w:rsidRPr="0041780A">
        <w:rPr>
          <w:rFonts w:ascii="Segoe UI" w:hAnsi="Segoe UI" w:cs="Segoe UI"/>
          <w:i w:val="0"/>
        </w:rPr>
        <w:t>“)</w:t>
      </w:r>
      <w:r w:rsidR="00401B0D" w:rsidRPr="0041780A">
        <w:rPr>
          <w:rFonts w:ascii="Segoe UI" w:hAnsi="Segoe UI" w:cs="Segoe UI"/>
          <w:i w:val="0"/>
        </w:rPr>
        <w:t xml:space="preserve">, a to na základě </w:t>
      </w:r>
      <w:r w:rsidR="00CB3867" w:rsidRPr="0041780A">
        <w:rPr>
          <w:rFonts w:ascii="Segoe UI" w:hAnsi="Segoe UI" w:cs="Segoe UI"/>
          <w:i w:val="0"/>
        </w:rPr>
        <w:t xml:space="preserve">výsledků </w:t>
      </w:r>
      <w:r w:rsidR="003202AF" w:rsidRPr="0041780A">
        <w:rPr>
          <w:rFonts w:ascii="Segoe UI" w:hAnsi="Segoe UI" w:cs="Segoe UI"/>
          <w:i w:val="0"/>
        </w:rPr>
        <w:t xml:space="preserve">zadávacího </w:t>
      </w:r>
      <w:r w:rsidR="00401B0D" w:rsidRPr="0041780A">
        <w:rPr>
          <w:rFonts w:ascii="Segoe UI" w:hAnsi="Segoe UI" w:cs="Segoe UI"/>
          <w:i w:val="0"/>
        </w:rPr>
        <w:t>řízení k veřejné zakázce s názvem „</w:t>
      </w:r>
      <w:r w:rsidR="00377474" w:rsidRPr="0041780A">
        <w:rPr>
          <w:rFonts w:ascii="Segoe UI" w:hAnsi="Segoe UI" w:cs="Segoe UI"/>
        </w:rPr>
        <w:t>Právní služby 2017 - 2020</w:t>
      </w:r>
      <w:r w:rsidR="007607AB" w:rsidRPr="0041780A">
        <w:rPr>
          <w:rFonts w:ascii="Segoe UI" w:hAnsi="Segoe UI" w:cs="Segoe UI"/>
          <w:i w:val="0"/>
        </w:rPr>
        <w:t>“</w:t>
      </w:r>
      <w:r w:rsidR="003202AF" w:rsidRPr="0041780A">
        <w:rPr>
          <w:rFonts w:ascii="Segoe UI" w:hAnsi="Segoe UI" w:cs="Segoe UI"/>
          <w:i w:val="0"/>
        </w:rPr>
        <w:t>,</w:t>
      </w:r>
      <w:r w:rsidR="00152A5A" w:rsidRPr="0041780A">
        <w:rPr>
          <w:rFonts w:ascii="Segoe UI" w:hAnsi="Segoe UI" w:cs="Segoe UI"/>
          <w:i w:val="0"/>
        </w:rPr>
        <w:t xml:space="preserve"> zahájeného dne</w:t>
      </w:r>
      <w:r w:rsidR="00341B15" w:rsidRPr="0041780A">
        <w:rPr>
          <w:rFonts w:ascii="Segoe UI" w:hAnsi="Segoe UI" w:cs="Segoe UI"/>
          <w:i w:val="0"/>
        </w:rPr>
        <w:t xml:space="preserve"> </w:t>
      </w:r>
      <w:r w:rsidR="00493389">
        <w:rPr>
          <w:rFonts w:ascii="Segoe UI" w:hAnsi="Segoe UI" w:cs="Segoe UI"/>
          <w:i w:val="0"/>
        </w:rPr>
        <w:t>16. 6</w:t>
      </w:r>
      <w:r w:rsidR="00441ECC" w:rsidRPr="0041780A">
        <w:rPr>
          <w:rFonts w:ascii="Segoe UI" w:hAnsi="Segoe UI" w:cs="Segoe UI"/>
          <w:i w:val="0"/>
        </w:rPr>
        <w:t>. 2017</w:t>
      </w:r>
      <w:r w:rsidR="003733EF" w:rsidRPr="0041780A">
        <w:rPr>
          <w:rFonts w:ascii="Segoe UI" w:hAnsi="Segoe UI" w:cs="Segoe UI"/>
          <w:i w:val="0"/>
        </w:rPr>
        <w:t>.</w:t>
      </w:r>
    </w:p>
    <w:p w14:paraId="26B37FFC" w14:textId="06C78055" w:rsidR="007A2FF9" w:rsidRPr="0041780A" w:rsidRDefault="00D61435" w:rsidP="00456D39">
      <w:pPr>
        <w:pStyle w:val="rove1"/>
        <w:tabs>
          <w:tab w:val="clear" w:pos="567"/>
        </w:tabs>
        <w:spacing w:before="0"/>
        <w:ind w:left="567" w:hanging="567"/>
      </w:pPr>
      <w:r w:rsidRPr="0041780A">
        <w:rPr>
          <w:szCs w:val="20"/>
        </w:rPr>
        <w:br w:type="page"/>
      </w:r>
      <w:r w:rsidR="00307C6F" w:rsidRPr="0041780A">
        <w:lastRenderedPageBreak/>
        <w:t xml:space="preserve">PŘEDMĚT </w:t>
      </w:r>
      <w:r w:rsidR="003733EF" w:rsidRPr="0041780A">
        <w:t>Dohody</w:t>
      </w:r>
    </w:p>
    <w:p w14:paraId="4F41C0AF" w14:textId="1D3E4DDA" w:rsidR="00E7667D" w:rsidRPr="0041780A" w:rsidRDefault="008B41C8" w:rsidP="00456D39">
      <w:pPr>
        <w:pStyle w:val="rove2"/>
        <w:spacing w:line="264" w:lineRule="auto"/>
        <w:ind w:left="567" w:hanging="567"/>
      </w:pPr>
      <w:r w:rsidRPr="0041780A">
        <w:t xml:space="preserve">Za podmínek uvedených v této </w:t>
      </w:r>
      <w:r w:rsidR="003733EF" w:rsidRPr="0041780A">
        <w:t>Dohodě</w:t>
      </w:r>
      <w:r w:rsidR="00B204BB" w:rsidRPr="0041780A">
        <w:t xml:space="preserve"> se </w:t>
      </w:r>
      <w:r w:rsidR="003733EF" w:rsidRPr="0041780A">
        <w:t>Poskytovatel</w:t>
      </w:r>
      <w:r w:rsidR="00B204BB" w:rsidRPr="0041780A">
        <w:t xml:space="preserve"> zavazuje </w:t>
      </w:r>
      <w:r w:rsidR="003733EF" w:rsidRPr="0041780A">
        <w:t>poskyt</w:t>
      </w:r>
      <w:r w:rsidR="00BD2328" w:rsidRPr="0041780A">
        <w:t>ovat</w:t>
      </w:r>
      <w:r w:rsidR="003733EF" w:rsidRPr="0041780A">
        <w:t xml:space="preserve"> Objednateli</w:t>
      </w:r>
      <w:r w:rsidR="00341B15" w:rsidRPr="0041780A">
        <w:t xml:space="preserve"> </w:t>
      </w:r>
      <w:r w:rsidR="003733EF" w:rsidRPr="0041780A">
        <w:t>předmět plnění, a to</w:t>
      </w:r>
      <w:r w:rsidR="00577CCB" w:rsidRPr="0041780A">
        <w:t xml:space="preserve"> </w:t>
      </w:r>
      <w:r w:rsidR="00944348" w:rsidRPr="0041780A">
        <w:t>v</w:t>
      </w:r>
      <w:r w:rsidR="00E05117" w:rsidRPr="0041780A">
        <w:t> </w:t>
      </w:r>
      <w:r w:rsidR="00944348" w:rsidRPr="0041780A">
        <w:t xml:space="preserve">souladu </w:t>
      </w:r>
      <w:r w:rsidR="00341B15" w:rsidRPr="0041780A">
        <w:t>se</w:t>
      </w:r>
      <w:r w:rsidR="00B204BB" w:rsidRPr="0041780A">
        <w:t xml:space="preserve"> zadávací</w:t>
      </w:r>
      <w:r w:rsidR="00E630ED" w:rsidRPr="0041780A">
        <w:t>mi</w:t>
      </w:r>
      <w:r w:rsidR="00B204BB" w:rsidRPr="0041780A">
        <w:t xml:space="preserve"> </w:t>
      </w:r>
      <w:r w:rsidR="00E630ED" w:rsidRPr="0041780A">
        <w:t xml:space="preserve">podmínkami </w:t>
      </w:r>
      <w:r w:rsidR="003733EF" w:rsidRPr="0041780A">
        <w:t>Objednatele</w:t>
      </w:r>
      <w:r w:rsidR="00944348" w:rsidRPr="0041780A">
        <w:t xml:space="preserve"> jako </w:t>
      </w:r>
      <w:r w:rsidR="00E630ED" w:rsidRPr="0041780A">
        <w:t xml:space="preserve">zadavatele </w:t>
      </w:r>
      <w:r w:rsidR="00B204BB" w:rsidRPr="0041780A">
        <w:t>veřejné zakázky</w:t>
      </w:r>
      <w:r w:rsidR="00DF7A95" w:rsidRPr="0041780A">
        <w:t xml:space="preserve">, na jejímž základě je tato </w:t>
      </w:r>
      <w:r w:rsidR="003733EF" w:rsidRPr="0041780A">
        <w:t>Dohoda</w:t>
      </w:r>
      <w:r w:rsidR="00944348" w:rsidRPr="0041780A">
        <w:t xml:space="preserve"> uzavír</w:t>
      </w:r>
      <w:r w:rsidR="00213F28" w:rsidRPr="0041780A">
        <w:t>ána</w:t>
      </w:r>
      <w:r w:rsidR="00944348" w:rsidRPr="0041780A">
        <w:t xml:space="preserve">, </w:t>
      </w:r>
      <w:r w:rsidR="00B204BB" w:rsidRPr="0041780A">
        <w:t xml:space="preserve">a nabídkou </w:t>
      </w:r>
      <w:r w:rsidR="003733EF" w:rsidRPr="0041780A">
        <w:t>Poskytovatele</w:t>
      </w:r>
      <w:r w:rsidR="00944348" w:rsidRPr="0041780A">
        <w:t xml:space="preserve">. </w:t>
      </w:r>
      <w:r w:rsidR="003733EF" w:rsidRPr="0041780A">
        <w:t>Objednatel</w:t>
      </w:r>
      <w:r w:rsidR="00944348" w:rsidRPr="0041780A">
        <w:t xml:space="preserve"> se zavazu</w:t>
      </w:r>
      <w:r w:rsidR="00B204BB" w:rsidRPr="0041780A">
        <w:t xml:space="preserve">je hradit </w:t>
      </w:r>
      <w:r w:rsidR="003733EF" w:rsidRPr="0041780A">
        <w:t>Poskytovateli</w:t>
      </w:r>
      <w:r w:rsidR="00944348" w:rsidRPr="0041780A">
        <w:t xml:space="preserve"> </w:t>
      </w:r>
      <w:r w:rsidR="009E3E41" w:rsidRPr="0041780A">
        <w:t>sjednan</w:t>
      </w:r>
      <w:r w:rsidR="00E630ED" w:rsidRPr="0041780A">
        <w:t>ou</w:t>
      </w:r>
      <w:r w:rsidR="00944348" w:rsidRPr="0041780A">
        <w:t xml:space="preserve"> ce</w:t>
      </w:r>
      <w:r w:rsidR="009E3E41" w:rsidRPr="0041780A">
        <w:t>n</w:t>
      </w:r>
      <w:r w:rsidR="00E630ED" w:rsidRPr="0041780A">
        <w:t>u</w:t>
      </w:r>
      <w:r w:rsidR="00944348" w:rsidRPr="0041780A">
        <w:t>.</w:t>
      </w:r>
      <w:r w:rsidR="00550A6A" w:rsidRPr="0041780A">
        <w:t xml:space="preserve"> </w:t>
      </w:r>
    </w:p>
    <w:p w14:paraId="7075780A" w14:textId="5411C273" w:rsidR="004650C9" w:rsidRPr="0041780A" w:rsidRDefault="004650C9" w:rsidP="00456D39">
      <w:pPr>
        <w:pStyle w:val="rove2"/>
        <w:ind w:left="567" w:hanging="567"/>
        <w:rPr>
          <w:b/>
        </w:rPr>
      </w:pPr>
      <w:r w:rsidRPr="0041780A">
        <w:t xml:space="preserve">Předmětem plnění této </w:t>
      </w:r>
      <w:r w:rsidR="00E630ED" w:rsidRPr="0041780A">
        <w:t>D</w:t>
      </w:r>
      <w:r w:rsidRPr="0041780A">
        <w:t xml:space="preserve">ohody je závazek </w:t>
      </w:r>
      <w:r w:rsidR="00E630ED" w:rsidRPr="0041780A">
        <w:t>P</w:t>
      </w:r>
      <w:r w:rsidR="00F02996" w:rsidRPr="0041780A">
        <w:t>oskytovatele</w:t>
      </w:r>
      <w:r w:rsidRPr="0041780A">
        <w:t xml:space="preserve"> za podmínek v této </w:t>
      </w:r>
      <w:r w:rsidR="00E630ED" w:rsidRPr="0041780A">
        <w:t xml:space="preserve">Dohodě </w:t>
      </w:r>
      <w:r w:rsidRPr="0041780A">
        <w:t xml:space="preserve">stanovených </w:t>
      </w:r>
      <w:r w:rsidR="00F02996" w:rsidRPr="0041780A">
        <w:t xml:space="preserve">poskytovat </w:t>
      </w:r>
      <w:r w:rsidRPr="0041780A">
        <w:t xml:space="preserve">právní služby dle požadavků </w:t>
      </w:r>
      <w:r w:rsidR="00E630ED" w:rsidRPr="0041780A">
        <w:t>O</w:t>
      </w:r>
      <w:r w:rsidR="00F02996" w:rsidRPr="0041780A">
        <w:t>bjednat</w:t>
      </w:r>
      <w:r w:rsidRPr="0041780A">
        <w:t>ele. Poskytování právních služeb bude zahrnovat zejména:</w:t>
      </w:r>
    </w:p>
    <w:p w14:paraId="202BC8CF" w14:textId="4306EAF3" w:rsidR="00AD7F02" w:rsidRPr="0041780A" w:rsidRDefault="00AD7F02" w:rsidP="00B3720F">
      <w:pPr>
        <w:pStyle w:val="rove3"/>
        <w:ind w:left="851" w:hanging="709"/>
      </w:pPr>
      <w:r w:rsidRPr="0041780A">
        <w:t xml:space="preserve">analýzu legislativních změn a jejich vlivů na činnost </w:t>
      </w:r>
      <w:r w:rsidR="00B103F5" w:rsidRPr="0041780A">
        <w:t>Objednatele</w:t>
      </w:r>
      <w:r w:rsidRPr="0041780A">
        <w:t xml:space="preserve"> (např. zákon o SFŽP ČR, zákon o obalech, zákon o odpadech, zákon o rozpočtových pravidlech, vodní zákon, stavební zákon, novelizace občanského zákoníku apod.);</w:t>
      </w:r>
    </w:p>
    <w:p w14:paraId="4AC3773A" w14:textId="7B704344" w:rsidR="00AD7F02" w:rsidRPr="0041780A" w:rsidRDefault="00AD7F02" w:rsidP="00B3720F">
      <w:pPr>
        <w:pStyle w:val="rove3"/>
        <w:ind w:left="851" w:hanging="709"/>
      </w:pPr>
      <w:r w:rsidRPr="0041780A">
        <w:t xml:space="preserve">zpracování právních stanovisek k problematickým případům v rámci administrace dotací </w:t>
      </w:r>
      <w:r w:rsidR="00B103F5" w:rsidRPr="0041780A">
        <w:br/>
      </w:r>
      <w:r w:rsidRPr="0041780A">
        <w:t>a v rámci odpovědí na přípisy správních a jiných orgánů (např. finanční úřady, Policie ČR apod.);</w:t>
      </w:r>
    </w:p>
    <w:p w14:paraId="47C1D798" w14:textId="3A89674D" w:rsidR="00AD7F02" w:rsidRPr="0041780A" w:rsidRDefault="00A84085" w:rsidP="00B3720F">
      <w:pPr>
        <w:pStyle w:val="rove3"/>
        <w:ind w:left="851" w:hanging="709"/>
      </w:pPr>
      <w:r>
        <w:t>posouzení či</w:t>
      </w:r>
      <w:r w:rsidRPr="0007008A">
        <w:t xml:space="preserve"> příprava zadávacích podmínek</w:t>
      </w:r>
      <w:r>
        <w:t xml:space="preserve"> veřejných zakázek,</w:t>
      </w:r>
      <w:r w:rsidRPr="0007008A">
        <w:t xml:space="preserve"> </w:t>
      </w:r>
      <w:r>
        <w:t xml:space="preserve">kontrola průběhu či administrace výběrových/zadávacích řízení v oblasti </w:t>
      </w:r>
      <w:r w:rsidRPr="0007008A">
        <w:t>veřejných zakázek</w:t>
      </w:r>
      <w:r>
        <w:t xml:space="preserve"> nebo posouzení či příprava závazků vzniklých po uzavření smlouvy na veřejnou zakázku</w:t>
      </w:r>
      <w:r w:rsidR="00AD7F02" w:rsidRPr="0041780A">
        <w:t>;</w:t>
      </w:r>
    </w:p>
    <w:p w14:paraId="7278AECB" w14:textId="5471E3B1" w:rsidR="00AD7F02" w:rsidRPr="0041780A" w:rsidRDefault="00AD7F02" w:rsidP="00B3720F">
      <w:pPr>
        <w:pStyle w:val="rove3"/>
        <w:ind w:left="851" w:hanging="709"/>
      </w:pPr>
      <w:r w:rsidRPr="0041780A">
        <w:t>analýzu evrop</w:t>
      </w:r>
      <w:r w:rsidR="000A2A3F" w:rsidRPr="0041780A">
        <w:t>ské legislativy (zejm. nařízení a</w:t>
      </w:r>
      <w:r w:rsidRPr="0041780A">
        <w:t xml:space="preserve"> směrnice v oblasti dotační politiky, případně zaměření na problematiku inovativních finančních nástrojů a problematiku veřejné podpory);</w:t>
      </w:r>
    </w:p>
    <w:p w14:paraId="1AD69404" w14:textId="13A44BA0" w:rsidR="00AD7F02" w:rsidRPr="0041780A" w:rsidRDefault="00AD7F02" w:rsidP="00B3720F">
      <w:pPr>
        <w:pStyle w:val="rove3"/>
        <w:ind w:left="851" w:hanging="709"/>
      </w:pPr>
      <w:r w:rsidRPr="0041780A">
        <w:t xml:space="preserve">posouzení nařízení, směrnic a dalších normativních aktů, které jsou vydávány </w:t>
      </w:r>
      <w:r w:rsidR="00B103F5" w:rsidRPr="0041780A">
        <w:t>Objednatelem</w:t>
      </w:r>
      <w:r w:rsidRPr="0041780A">
        <w:t xml:space="preserve"> nebo správními nebo jinými orgány pro úpravu pravidel či rozhodování v rámci OPŽP </w:t>
      </w:r>
      <w:r w:rsidR="00B103F5" w:rsidRPr="0041780A">
        <w:br/>
      </w:r>
      <w:r w:rsidRPr="0041780A">
        <w:t>a ostatních programů;</w:t>
      </w:r>
    </w:p>
    <w:p w14:paraId="34F91114" w14:textId="7C098C43" w:rsidR="00AD7F02" w:rsidRPr="0041780A" w:rsidRDefault="00AD7F02" w:rsidP="00B3720F">
      <w:pPr>
        <w:pStyle w:val="rove3"/>
        <w:ind w:left="851" w:hanging="709"/>
      </w:pPr>
      <w:r w:rsidRPr="0041780A">
        <w:t>rozbory a stanoviska k významným soudním rozhodnutím či nálezům příslušných soudů, k soudním rozhodnutím vztahujícím se k veřejným zakázkám a k rozhodnutím ÚOHS;</w:t>
      </w:r>
    </w:p>
    <w:p w14:paraId="52110BE0" w14:textId="77777777" w:rsidR="00AD7F02" w:rsidRPr="0041780A" w:rsidRDefault="00AD7F02" w:rsidP="00B3720F">
      <w:pPr>
        <w:pStyle w:val="rove3"/>
        <w:ind w:left="851" w:hanging="709"/>
      </w:pPr>
      <w:r w:rsidRPr="0041780A">
        <w:t>zpracování stanovisek a vyjádření v souvislosti se správními řízeními;</w:t>
      </w:r>
    </w:p>
    <w:p w14:paraId="73016185" w14:textId="186DFFFF" w:rsidR="00AD7F02" w:rsidRPr="0041780A" w:rsidRDefault="00AD7F02" w:rsidP="00B3720F">
      <w:pPr>
        <w:pStyle w:val="rove3"/>
        <w:ind w:left="851" w:hanging="709"/>
      </w:pPr>
      <w:r w:rsidRPr="0041780A">
        <w:t xml:space="preserve">stanoviska a právní rozbory v souvislosti se zpracováním provozních smluv </w:t>
      </w:r>
      <w:r w:rsidR="00B103F5" w:rsidRPr="0041780A">
        <w:t>Objednatele</w:t>
      </w:r>
      <w:r w:rsidRPr="0041780A">
        <w:t>;</w:t>
      </w:r>
    </w:p>
    <w:p w14:paraId="170720A8" w14:textId="2679E306" w:rsidR="00AD7F02" w:rsidRPr="0041780A" w:rsidRDefault="00AD7F02" w:rsidP="00B3720F">
      <w:pPr>
        <w:pStyle w:val="rove3"/>
        <w:ind w:left="851" w:hanging="709"/>
      </w:pPr>
      <w:r w:rsidRPr="0041780A">
        <w:t>zajištění právního posouzení problematických případů dle zákoníku práce a služebního zákona</w:t>
      </w:r>
      <w:r w:rsidR="000A2A3F" w:rsidRPr="0041780A">
        <w:t>;</w:t>
      </w:r>
    </w:p>
    <w:p w14:paraId="077C91E5" w14:textId="2C5AE666" w:rsidR="00AD7F02" w:rsidRPr="0041780A" w:rsidRDefault="00AD7F02" w:rsidP="00B3720F">
      <w:pPr>
        <w:pStyle w:val="rove3"/>
        <w:ind w:left="851" w:hanging="709"/>
      </w:pPr>
      <w:r w:rsidRPr="0041780A">
        <w:t>posouzení a právní rozbor v oblastech exekucí, insolvenčního řízení, rozpočtových pravidel, daňového řádu a zákona o svobodném přístupu k</w:t>
      </w:r>
      <w:r w:rsidR="000A2A3F" w:rsidRPr="0041780A">
        <w:t> </w:t>
      </w:r>
      <w:r w:rsidRPr="0041780A">
        <w:t>informacím</w:t>
      </w:r>
      <w:r w:rsidR="000A2A3F" w:rsidRPr="0041780A">
        <w:t>;</w:t>
      </w:r>
    </w:p>
    <w:p w14:paraId="50F5AEE5" w14:textId="78DCBF91" w:rsidR="00AD7F02" w:rsidRPr="0041780A" w:rsidRDefault="00AD7F02" w:rsidP="00B3720F">
      <w:pPr>
        <w:pStyle w:val="rove3"/>
        <w:ind w:left="851" w:hanging="709"/>
      </w:pPr>
      <w:r w:rsidRPr="0041780A">
        <w:t xml:space="preserve">zastupování </w:t>
      </w:r>
      <w:r w:rsidR="00B103F5" w:rsidRPr="0041780A">
        <w:t>Objednatele</w:t>
      </w:r>
      <w:r w:rsidR="00600C27">
        <w:t xml:space="preserve"> před soudy a</w:t>
      </w:r>
      <w:r w:rsidRPr="0041780A">
        <w:t xml:space="preserve"> správními orgány </w:t>
      </w:r>
      <w:r w:rsidR="00600C27">
        <w:t xml:space="preserve">všech instancí </w:t>
      </w:r>
      <w:r w:rsidRPr="0041780A">
        <w:t>a v rámci dalších problematických jednání</w:t>
      </w:r>
      <w:r w:rsidR="000A2A3F" w:rsidRPr="0041780A">
        <w:t>;</w:t>
      </w:r>
    </w:p>
    <w:p w14:paraId="7C436393" w14:textId="2A3ADBD7" w:rsidR="00AD7F02" w:rsidRPr="0041780A" w:rsidRDefault="00AD7F02" w:rsidP="00B3720F">
      <w:pPr>
        <w:pStyle w:val="rove3"/>
        <w:ind w:left="851" w:hanging="709"/>
      </w:pPr>
      <w:r w:rsidRPr="0041780A">
        <w:t xml:space="preserve">právní poradenství v problematických záležitostech </w:t>
      </w:r>
      <w:r w:rsidR="00600C27">
        <w:t xml:space="preserve">v rámci činnosti </w:t>
      </w:r>
      <w:r w:rsidR="00B103F5" w:rsidRPr="0041780A">
        <w:t>Objednatele</w:t>
      </w:r>
      <w:r w:rsidR="000A2A3F" w:rsidRPr="0041780A">
        <w:t>.</w:t>
      </w:r>
    </w:p>
    <w:p w14:paraId="7CF428C4" w14:textId="552FCA77" w:rsidR="001C4D5B" w:rsidRPr="0041780A" w:rsidRDefault="00FE2CD2" w:rsidP="00456D39">
      <w:pPr>
        <w:pStyle w:val="rove2"/>
        <w:ind w:left="567" w:hanging="567"/>
        <w:rPr>
          <w:b/>
        </w:rPr>
      </w:pPr>
      <w:r w:rsidRPr="0041780A">
        <w:t xml:space="preserve">Poskytovatel </w:t>
      </w:r>
      <w:r w:rsidR="001C4D5B" w:rsidRPr="0041780A">
        <w:t xml:space="preserve">bude při poskytování právních služeb v mezích </w:t>
      </w:r>
      <w:r w:rsidR="00E630ED" w:rsidRPr="0041780A">
        <w:t xml:space="preserve">mezinárodních a národních právních a jiných předpisů </w:t>
      </w:r>
      <w:r w:rsidRPr="0041780A">
        <w:t xml:space="preserve">respektovat </w:t>
      </w:r>
      <w:r w:rsidR="001C4D5B" w:rsidRPr="0041780A">
        <w:t xml:space="preserve">písemné instrukce </w:t>
      </w:r>
      <w:r w:rsidR="00E630ED" w:rsidRPr="0041780A">
        <w:t>O</w:t>
      </w:r>
      <w:r w:rsidR="00F02996" w:rsidRPr="0041780A">
        <w:t>bjednat</w:t>
      </w:r>
      <w:r w:rsidR="001C4D5B" w:rsidRPr="0041780A">
        <w:t xml:space="preserve">ele ohledně zaměření </w:t>
      </w:r>
      <w:r w:rsidR="00456D39">
        <w:br/>
      </w:r>
      <w:r w:rsidR="001C4D5B" w:rsidRPr="0041780A">
        <w:t xml:space="preserve">a rozsahu poskytovaných služeb. </w:t>
      </w:r>
    </w:p>
    <w:p w14:paraId="59296B71" w14:textId="214A2723" w:rsidR="00B103F5" w:rsidRPr="0041780A" w:rsidRDefault="00B103F5" w:rsidP="00456D39">
      <w:pPr>
        <w:pStyle w:val="rove1"/>
        <w:tabs>
          <w:tab w:val="clear" w:pos="567"/>
        </w:tabs>
        <w:ind w:left="567" w:hanging="567"/>
      </w:pPr>
      <w:r w:rsidRPr="0041780A">
        <w:t>Realizační tým</w:t>
      </w:r>
    </w:p>
    <w:p w14:paraId="34CC329F" w14:textId="5580C639" w:rsidR="00B103F5" w:rsidRPr="0041780A" w:rsidRDefault="00B103F5" w:rsidP="00456D39">
      <w:pPr>
        <w:pStyle w:val="rove2"/>
        <w:ind w:left="567" w:hanging="567"/>
      </w:pPr>
      <w:r w:rsidRPr="0041780A">
        <w:t xml:space="preserve">Poskytovatel se zavazuje, že na službách </w:t>
      </w:r>
      <w:r w:rsidR="00EA0707" w:rsidRPr="0041780A">
        <w:t xml:space="preserve">uvedených v čl. 1.2 této Dohody </w:t>
      </w:r>
      <w:r w:rsidRPr="0041780A">
        <w:t xml:space="preserve">se bude podílet realizační tým </w:t>
      </w:r>
      <w:r w:rsidR="00EA0707" w:rsidRPr="0041780A">
        <w:t>P</w:t>
      </w:r>
      <w:r w:rsidRPr="0041780A">
        <w:t xml:space="preserve">oskytovatele </w:t>
      </w:r>
      <w:r w:rsidR="00EA0707" w:rsidRPr="0041780A">
        <w:t xml:space="preserve">sestávající z min. </w:t>
      </w:r>
      <w:r w:rsidR="006202E1">
        <w:t>3</w:t>
      </w:r>
      <w:r w:rsidRPr="0041780A">
        <w:t xml:space="preserve"> členů (osob), kterými </w:t>
      </w:r>
      <w:r w:rsidR="00EA0707" w:rsidRPr="0041780A">
        <w:t>P</w:t>
      </w:r>
      <w:r w:rsidRPr="0041780A">
        <w:t xml:space="preserve">oskytovatel prokázal kvalifikaci v rámci zadávacího řízení, na jehož základě byla uzavřena tato </w:t>
      </w:r>
      <w:r w:rsidR="00EA0707" w:rsidRPr="0041780A">
        <w:t>Dohoda</w:t>
      </w:r>
      <w:r w:rsidRPr="0041780A">
        <w:t>.</w:t>
      </w:r>
    </w:p>
    <w:p w14:paraId="405D776E" w14:textId="5CBB8376" w:rsidR="00085AAE" w:rsidRDefault="00085AAE" w:rsidP="00456D39">
      <w:pPr>
        <w:pStyle w:val="rove2"/>
        <w:ind w:left="567" w:hanging="567"/>
      </w:pPr>
      <w:r>
        <w:t xml:space="preserve">Poskytovatel se zavazuje, že po dobu účinnosti této Dohody budou členové realizačního týmu splňovat kvalifikaci </w:t>
      </w:r>
      <w:r w:rsidRPr="0041780A">
        <w:t>v rozsahu požadovaném Objednatelem na realizační tým v rámci zadávacího řízení, na jehož základě byla uzavřena tato Dohoda</w:t>
      </w:r>
      <w:r>
        <w:t xml:space="preserve">. V případě, že člen realizačního týmu </w:t>
      </w:r>
      <w:r>
        <w:lastRenderedPageBreak/>
        <w:t xml:space="preserve">pozbyde požadovanou kvalifikaci, je Poskytovatel povinen o tom informovat Objednatele do </w:t>
      </w:r>
      <w:r>
        <w:br/>
      </w:r>
      <w:r w:rsidRPr="00E458D6">
        <w:rPr>
          <w:b/>
        </w:rPr>
        <w:t>5 pracovních dnů</w:t>
      </w:r>
      <w:r>
        <w:t xml:space="preserve"> ode dne, kdy se Poskytovatel o tomto dozvěděl nebo mohl dozvědět.</w:t>
      </w:r>
    </w:p>
    <w:p w14:paraId="3FAA31FD" w14:textId="580E1D55" w:rsidR="00B103F5" w:rsidRPr="0041780A" w:rsidRDefault="00E458D6" w:rsidP="00456D39">
      <w:pPr>
        <w:pStyle w:val="rove2"/>
        <w:ind w:left="567" w:hanging="567"/>
      </w:pPr>
      <w:r>
        <w:t>Výměna nebo</w:t>
      </w:r>
      <w:r w:rsidR="00B103F5" w:rsidRPr="0041780A">
        <w:t xml:space="preserve"> doplnění člen</w:t>
      </w:r>
      <w:r w:rsidR="00EA0707" w:rsidRPr="0041780A">
        <w:t>a</w:t>
      </w:r>
      <w:r w:rsidR="00B103F5" w:rsidRPr="0041780A">
        <w:t xml:space="preserve"> realizačního týmu</w:t>
      </w:r>
      <w:r w:rsidR="00EA0707" w:rsidRPr="0041780A">
        <w:t xml:space="preserve"> uvedeného v čl. 2.1 této Dohody </w:t>
      </w:r>
      <w:r w:rsidR="00B103F5" w:rsidRPr="0041780A">
        <w:t xml:space="preserve">po dobu účinnosti </w:t>
      </w:r>
      <w:r w:rsidR="00EA0707" w:rsidRPr="0041780A">
        <w:t>Dohody</w:t>
      </w:r>
      <w:r w:rsidR="00B103F5" w:rsidRPr="0041780A">
        <w:t xml:space="preserve"> je možná pouze za podmínek splnění kvalifikace nového člena realizačního týmu alespoň v rozsahu požadovaném </w:t>
      </w:r>
      <w:r w:rsidR="00EA0707" w:rsidRPr="0041780A">
        <w:t>O</w:t>
      </w:r>
      <w:r w:rsidR="00B103F5" w:rsidRPr="0041780A">
        <w:t xml:space="preserve">bjednatelem na realizační tým v rámci zadávacího řízení, na jehož základě byla uzavřena tato </w:t>
      </w:r>
      <w:r w:rsidR="00EA0707" w:rsidRPr="0041780A">
        <w:t>Dohoda</w:t>
      </w:r>
      <w:r w:rsidR="00B103F5" w:rsidRPr="0041780A">
        <w:t xml:space="preserve">, a po </w:t>
      </w:r>
      <w:r w:rsidR="00EA0707" w:rsidRPr="0041780A">
        <w:t>předchozím schválení O</w:t>
      </w:r>
      <w:r w:rsidR="00B103F5" w:rsidRPr="0041780A">
        <w:t xml:space="preserve">bjednatelem. Objednatel je oprávněn odmítnout změnu člena realizačního týmu pouze ze závažných objektivních důvodů nebo v případě, že nově navrhovaný člen nesplňuje kvalifikaci požadovanou </w:t>
      </w:r>
      <w:r w:rsidR="00EA0707" w:rsidRPr="0041780A">
        <w:t>O</w:t>
      </w:r>
      <w:r w:rsidR="00B103F5" w:rsidRPr="0041780A">
        <w:t xml:space="preserve">bjednatelem v rámci zadávacího řízení, na jehož základě byla uzavřena tato </w:t>
      </w:r>
      <w:r w:rsidR="00856C99" w:rsidRPr="0041780A">
        <w:t>Dohoda</w:t>
      </w:r>
      <w:r w:rsidR="00B103F5" w:rsidRPr="0041780A">
        <w:t>.</w:t>
      </w:r>
    </w:p>
    <w:p w14:paraId="395ABB8A" w14:textId="2965F917" w:rsidR="00B103F5" w:rsidRPr="0041780A" w:rsidRDefault="00B103F5" w:rsidP="00456D39">
      <w:pPr>
        <w:pStyle w:val="rove2"/>
        <w:ind w:left="567" w:hanging="567"/>
      </w:pPr>
      <w:r w:rsidRPr="0041780A">
        <w:t xml:space="preserve">Seznam </w:t>
      </w:r>
      <w:r w:rsidR="00600C27">
        <w:t>členů realizačního týmu</w:t>
      </w:r>
      <w:r w:rsidRPr="0041780A">
        <w:t>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127"/>
        <w:gridCol w:w="3547"/>
      </w:tblGrid>
      <w:tr w:rsidR="00B103F5" w:rsidRPr="0041780A" w14:paraId="7A130F93" w14:textId="77777777" w:rsidTr="00456D39">
        <w:tc>
          <w:tcPr>
            <w:tcW w:w="2835" w:type="dxa"/>
            <w:shd w:val="clear" w:color="auto" w:fill="F2F2F2" w:themeFill="background1" w:themeFillShade="F2"/>
          </w:tcPr>
          <w:p w14:paraId="68D95E19" w14:textId="77777777" w:rsidR="00B103F5" w:rsidRPr="0041780A" w:rsidRDefault="00B103F5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  <w:b/>
              </w:rPr>
            </w:pPr>
            <w:r w:rsidRPr="0041780A">
              <w:rPr>
                <w:rFonts w:cs="Segoe UI"/>
                <w:b/>
              </w:rPr>
              <w:t>Jméno Příjmení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5FBC211" w14:textId="77777777" w:rsidR="00B103F5" w:rsidRPr="0041780A" w:rsidRDefault="00B103F5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  <w:b/>
              </w:rPr>
            </w:pPr>
            <w:r w:rsidRPr="0041780A">
              <w:rPr>
                <w:rFonts w:cs="Segoe UI"/>
                <w:b/>
              </w:rPr>
              <w:t>Telefon</w:t>
            </w:r>
          </w:p>
        </w:tc>
        <w:tc>
          <w:tcPr>
            <w:tcW w:w="3547" w:type="dxa"/>
            <w:shd w:val="clear" w:color="auto" w:fill="F2F2F2" w:themeFill="background1" w:themeFillShade="F2"/>
          </w:tcPr>
          <w:p w14:paraId="5650EFF9" w14:textId="77777777" w:rsidR="00B103F5" w:rsidRPr="0041780A" w:rsidRDefault="00B103F5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  <w:b/>
              </w:rPr>
            </w:pPr>
            <w:r w:rsidRPr="0041780A">
              <w:rPr>
                <w:rFonts w:cs="Segoe UI"/>
                <w:b/>
              </w:rPr>
              <w:t>E-mail</w:t>
            </w:r>
          </w:p>
        </w:tc>
      </w:tr>
      <w:tr w:rsidR="00ED5847" w:rsidRPr="0041780A" w14:paraId="0B18C791" w14:textId="77777777" w:rsidTr="00456D39">
        <w:tc>
          <w:tcPr>
            <w:tcW w:w="2835" w:type="dxa"/>
          </w:tcPr>
          <w:p w14:paraId="48497EBA" w14:textId="737061BD" w:rsidR="00ED5847" w:rsidRPr="00ED5847" w:rsidRDefault="00ED5847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  <w:tc>
          <w:tcPr>
            <w:tcW w:w="2127" w:type="dxa"/>
          </w:tcPr>
          <w:p w14:paraId="468F7704" w14:textId="35F6D195" w:rsidR="00ED5847" w:rsidRPr="00ED5847" w:rsidRDefault="00ED5847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  <w:tc>
          <w:tcPr>
            <w:tcW w:w="3547" w:type="dxa"/>
          </w:tcPr>
          <w:p w14:paraId="08D5BF4E" w14:textId="6A3F5EC9" w:rsidR="00ED5847" w:rsidRPr="00ED5847" w:rsidRDefault="00ED5847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</w:tr>
      <w:tr w:rsidR="00ED5847" w:rsidRPr="0041780A" w14:paraId="2BD4B834" w14:textId="77777777" w:rsidTr="00456D39">
        <w:tc>
          <w:tcPr>
            <w:tcW w:w="2835" w:type="dxa"/>
          </w:tcPr>
          <w:p w14:paraId="50ACA9F1" w14:textId="14446DE6" w:rsidR="00ED5847" w:rsidRPr="00ED5847" w:rsidRDefault="00ED5847" w:rsidP="00C72C3B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  <w:tc>
          <w:tcPr>
            <w:tcW w:w="2127" w:type="dxa"/>
          </w:tcPr>
          <w:p w14:paraId="0B005919" w14:textId="33996678" w:rsidR="00ED5847" w:rsidRPr="00ED5847" w:rsidRDefault="00ED5847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  <w:tc>
          <w:tcPr>
            <w:tcW w:w="3547" w:type="dxa"/>
          </w:tcPr>
          <w:p w14:paraId="2766BFB1" w14:textId="31BAC458" w:rsidR="00ED5847" w:rsidRPr="00ED5847" w:rsidRDefault="00ED5847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</w:tr>
      <w:tr w:rsidR="00ED5847" w:rsidRPr="0041780A" w14:paraId="163B2B7F" w14:textId="77777777" w:rsidTr="00456D39">
        <w:tc>
          <w:tcPr>
            <w:tcW w:w="2835" w:type="dxa"/>
          </w:tcPr>
          <w:p w14:paraId="7990A931" w14:textId="3DE1CBC6" w:rsidR="00ED5847" w:rsidRPr="00ED5847" w:rsidRDefault="00ED5847" w:rsidP="00C72C3B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  <w:tc>
          <w:tcPr>
            <w:tcW w:w="2127" w:type="dxa"/>
          </w:tcPr>
          <w:p w14:paraId="3DB7B210" w14:textId="63D6ABB7" w:rsidR="00ED5847" w:rsidRPr="00ED5847" w:rsidRDefault="00ED5847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  <w:tc>
          <w:tcPr>
            <w:tcW w:w="3547" w:type="dxa"/>
          </w:tcPr>
          <w:p w14:paraId="4B36F3FE" w14:textId="7940F789" w:rsidR="00ED5847" w:rsidRPr="00ED5847" w:rsidRDefault="00ED5847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  <w:bookmarkStart w:id="0" w:name="_GoBack"/>
            <w:bookmarkEnd w:id="0"/>
          </w:p>
        </w:tc>
      </w:tr>
      <w:tr w:rsidR="00ED5847" w:rsidRPr="0041780A" w14:paraId="1F88F116" w14:textId="77777777" w:rsidTr="00456D39">
        <w:tc>
          <w:tcPr>
            <w:tcW w:w="2835" w:type="dxa"/>
          </w:tcPr>
          <w:p w14:paraId="154DD4CC" w14:textId="098A53D5" w:rsidR="00ED5847" w:rsidRPr="00ED5847" w:rsidRDefault="00ED5847" w:rsidP="00C72C3B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  <w:tc>
          <w:tcPr>
            <w:tcW w:w="2127" w:type="dxa"/>
          </w:tcPr>
          <w:p w14:paraId="65E9447D" w14:textId="68DE2177" w:rsidR="00ED5847" w:rsidRPr="00ED5847" w:rsidRDefault="00ED5847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  <w:tc>
          <w:tcPr>
            <w:tcW w:w="3547" w:type="dxa"/>
          </w:tcPr>
          <w:p w14:paraId="40F559F5" w14:textId="61BED3AF" w:rsidR="00ED5847" w:rsidRPr="00ED5847" w:rsidRDefault="00ED5847" w:rsidP="003C200D">
            <w:pPr>
              <w:pStyle w:val="Podtitul11"/>
              <w:numPr>
                <w:ilvl w:val="0"/>
                <w:numId w:val="0"/>
              </w:numPr>
              <w:spacing w:after="0"/>
              <w:rPr>
                <w:rFonts w:cs="Segoe UI"/>
              </w:rPr>
            </w:pPr>
            <w:r w:rsidRPr="00ED5847">
              <w:rPr>
                <w:rFonts w:cs="Segoe UI"/>
                <w:snapToGrid w:val="0"/>
                <w:highlight w:val="yellow"/>
              </w:rPr>
              <w:t>xxx</w:t>
            </w:r>
          </w:p>
        </w:tc>
      </w:tr>
    </w:tbl>
    <w:p w14:paraId="61B296DE" w14:textId="660C8ECE" w:rsidR="00B103F5" w:rsidRPr="0041780A" w:rsidRDefault="00F87B5B" w:rsidP="00456D39">
      <w:pPr>
        <w:pStyle w:val="rove2"/>
        <w:spacing w:before="120"/>
        <w:ind w:left="567" w:hanging="567"/>
      </w:pPr>
      <w:r w:rsidRPr="0041780A">
        <w:t xml:space="preserve">Poskytovatel se zavazuje, že po dobu účinnosti této Dohody bude mimo členy realizačního týmu disponovat alespoň </w:t>
      </w:r>
      <w:r w:rsidR="00DA5BCA">
        <w:t>3 advokátními koncipienty či osobami na jiné pozici vyžadující dokončené vysokoškolské vzdělání v magisterském studijním programu právního zaměření</w:t>
      </w:r>
      <w:r w:rsidRPr="0041780A">
        <w:t>.</w:t>
      </w:r>
    </w:p>
    <w:p w14:paraId="4D94758E" w14:textId="1E55565F" w:rsidR="00FE2CD2" w:rsidRPr="0041780A" w:rsidRDefault="00FE2CD2" w:rsidP="00456D39">
      <w:pPr>
        <w:pStyle w:val="rove1"/>
        <w:tabs>
          <w:tab w:val="clear" w:pos="567"/>
        </w:tabs>
        <w:ind w:left="567" w:hanging="567"/>
      </w:pPr>
      <w:r w:rsidRPr="0041780A">
        <w:t xml:space="preserve">Postup při poskytování služeb dle čl. 1.2 této dohody </w:t>
      </w:r>
    </w:p>
    <w:p w14:paraId="60074888" w14:textId="538CA200" w:rsidR="00FE2CD2" w:rsidRPr="0041780A" w:rsidRDefault="00FE2CD2" w:rsidP="00456D39">
      <w:pPr>
        <w:pStyle w:val="rove2"/>
        <w:ind w:left="567" w:hanging="567"/>
        <w:rPr>
          <w:b/>
        </w:rPr>
      </w:pPr>
      <w:r w:rsidRPr="0041780A">
        <w:t xml:space="preserve">Poskytovatel se zavazuje </w:t>
      </w:r>
      <w:r w:rsidR="00F02996" w:rsidRPr="0041780A">
        <w:t xml:space="preserve">zajistit </w:t>
      </w:r>
      <w:r w:rsidRPr="0041780A">
        <w:t xml:space="preserve">právní služby s odbornou péčí, chránit a prosazovat práva a oprávněné zájmy </w:t>
      </w:r>
      <w:r w:rsidR="001812B1" w:rsidRPr="0041780A">
        <w:t>O</w:t>
      </w:r>
      <w:r w:rsidRPr="0041780A">
        <w:t xml:space="preserve">bjednatele a řídit se jeho pokyny. Pokyny </w:t>
      </w:r>
      <w:r w:rsidR="001812B1" w:rsidRPr="0041780A">
        <w:t>O</w:t>
      </w:r>
      <w:r w:rsidRPr="0041780A">
        <w:t xml:space="preserve">bjednatele však není vázán, jsou-li v rozporu s </w:t>
      </w:r>
      <w:r w:rsidR="00312A91" w:rsidRPr="0041780A">
        <w:t xml:space="preserve">právními předpisy </w:t>
      </w:r>
      <w:r w:rsidRPr="0041780A">
        <w:t>nebo stavovským</w:t>
      </w:r>
      <w:r w:rsidR="00312A91" w:rsidRPr="0041780A">
        <w:t>i</w:t>
      </w:r>
      <w:r w:rsidRPr="0041780A">
        <w:t xml:space="preserve"> předpis</w:t>
      </w:r>
      <w:r w:rsidR="00312A91" w:rsidRPr="0041780A">
        <w:t>y České advokátní komory</w:t>
      </w:r>
      <w:r w:rsidRPr="0041780A">
        <w:t xml:space="preserve">. Poskytovatel se zavazuje oznámit </w:t>
      </w:r>
      <w:r w:rsidR="00312A91" w:rsidRPr="0041780A">
        <w:t>O</w:t>
      </w:r>
      <w:r w:rsidRPr="0041780A">
        <w:t xml:space="preserve">bjednateli všechny okolnosti, které zjistil při poskytování právní služby a které mohou mít vliv na změnu pokynů </w:t>
      </w:r>
      <w:r w:rsidR="00312A91" w:rsidRPr="0041780A">
        <w:t>O</w:t>
      </w:r>
      <w:r w:rsidR="00F02996" w:rsidRPr="0041780A">
        <w:t>bjednat</w:t>
      </w:r>
      <w:r w:rsidRPr="0041780A">
        <w:t>ele.</w:t>
      </w:r>
    </w:p>
    <w:p w14:paraId="1276735C" w14:textId="3443F75F" w:rsidR="00FE2CD2" w:rsidRPr="0041780A" w:rsidRDefault="00FE2CD2" w:rsidP="00456D39">
      <w:pPr>
        <w:pStyle w:val="rove2"/>
        <w:ind w:left="567" w:hanging="567"/>
        <w:rPr>
          <w:b/>
        </w:rPr>
      </w:pPr>
      <w:r w:rsidRPr="0041780A">
        <w:t xml:space="preserve">Objednatel se zavazuje zajistit </w:t>
      </w:r>
      <w:r w:rsidR="00312A91" w:rsidRPr="0041780A">
        <w:t>P</w:t>
      </w:r>
      <w:r w:rsidRPr="0041780A">
        <w:t>oskytovateli veškerou součinnost potřebnou k poskytnutí právní služby, zejména mu předat veškeré potřebné informace, písemné a jiné podklady.</w:t>
      </w:r>
    </w:p>
    <w:p w14:paraId="005FB2A8" w14:textId="4FE9EA26" w:rsidR="00F02996" w:rsidRPr="0041780A" w:rsidRDefault="0056507C" w:rsidP="00456D39">
      <w:pPr>
        <w:pStyle w:val="rove2"/>
        <w:ind w:left="567" w:hanging="567"/>
        <w:rPr>
          <w:b/>
        </w:rPr>
      </w:pPr>
      <w:r w:rsidRPr="0041780A">
        <w:t>Zadávání jednotlivých objednávek na základě rámcové Dohody</w:t>
      </w:r>
      <w:r w:rsidR="00F02996" w:rsidRPr="0041780A">
        <w:t>:</w:t>
      </w:r>
    </w:p>
    <w:p w14:paraId="0898C07F" w14:textId="1884FBBD" w:rsidR="00FE2CD2" w:rsidRPr="0041780A" w:rsidRDefault="00DF7ED1" w:rsidP="00B3720F">
      <w:pPr>
        <w:pStyle w:val="rove3"/>
        <w:ind w:left="851" w:hanging="709"/>
      </w:pPr>
      <w:r>
        <w:t>Člen realizačního týmu</w:t>
      </w:r>
      <w:r w:rsidR="00312A91" w:rsidRPr="0041780A">
        <w:t xml:space="preserve"> </w:t>
      </w:r>
      <w:r w:rsidR="00FE2CD2" w:rsidRPr="0041780A">
        <w:t xml:space="preserve">obdrží od </w:t>
      </w:r>
      <w:r w:rsidR="00312A91" w:rsidRPr="0041780A">
        <w:t>O</w:t>
      </w:r>
      <w:r w:rsidR="00FE2CD2" w:rsidRPr="0041780A">
        <w:t xml:space="preserve">bjednatele požadavek na poskytnutí služeb uvedených v čl. </w:t>
      </w:r>
      <w:r w:rsidR="00F02996" w:rsidRPr="0041780A">
        <w:t>1</w:t>
      </w:r>
      <w:r w:rsidR="00FE2CD2" w:rsidRPr="0041780A">
        <w:t xml:space="preserve">.2 této </w:t>
      </w:r>
      <w:r w:rsidR="00312A91" w:rsidRPr="0041780A">
        <w:t>D</w:t>
      </w:r>
      <w:r w:rsidR="00F02996" w:rsidRPr="0041780A">
        <w:t>ohody</w:t>
      </w:r>
      <w:r w:rsidR="00FE2CD2" w:rsidRPr="0041780A">
        <w:t xml:space="preserve"> písemně prostřednictvím e-mailu, datové schránky či jinou písemnou formou;</w:t>
      </w:r>
    </w:p>
    <w:p w14:paraId="671D7338" w14:textId="1895BE4A" w:rsidR="00FE2CD2" w:rsidRPr="0041780A" w:rsidRDefault="00DF7ED1" w:rsidP="00B3720F">
      <w:pPr>
        <w:pStyle w:val="rove3"/>
        <w:ind w:left="851" w:hanging="709"/>
      </w:pPr>
      <w:r>
        <w:t>Člen realizačního týmu</w:t>
      </w:r>
      <w:r w:rsidRPr="0041780A">
        <w:t xml:space="preserve"> </w:t>
      </w:r>
      <w:r w:rsidR="00FE2CD2" w:rsidRPr="0041780A">
        <w:t>je oprávněn přijímat poža</w:t>
      </w:r>
      <w:r>
        <w:t xml:space="preserve">davky pouze od oprávněných osob </w:t>
      </w:r>
      <w:r w:rsidR="00312A91" w:rsidRPr="0041780A">
        <w:t>O</w:t>
      </w:r>
      <w:r w:rsidR="00FE2CD2" w:rsidRPr="0041780A">
        <w:t>bjednatele;</w:t>
      </w:r>
    </w:p>
    <w:p w14:paraId="5BC8A219" w14:textId="32E1E3B6" w:rsidR="0056507C" w:rsidRPr="0041780A" w:rsidRDefault="0056507C" w:rsidP="00B3720F">
      <w:pPr>
        <w:pStyle w:val="rove3"/>
        <w:ind w:left="851" w:hanging="709"/>
      </w:pPr>
      <w:r w:rsidRPr="0041780A">
        <w:t xml:space="preserve">Doručením objednávky </w:t>
      </w:r>
      <w:r w:rsidR="00DF7ED1">
        <w:t>členovi realizačního týmu</w:t>
      </w:r>
      <w:r w:rsidR="00DF7ED1" w:rsidRPr="0041780A">
        <w:t xml:space="preserve"> </w:t>
      </w:r>
      <w:r w:rsidRPr="0041780A">
        <w:t xml:space="preserve">se považuje dílčí </w:t>
      </w:r>
      <w:r w:rsidR="00B3720F" w:rsidRPr="0041780A">
        <w:t>dohoda</w:t>
      </w:r>
      <w:r w:rsidRPr="0041780A">
        <w:t xml:space="preserve"> za uzavřenou;</w:t>
      </w:r>
    </w:p>
    <w:p w14:paraId="6FDA1630" w14:textId="631BE1FB" w:rsidR="00FE2CD2" w:rsidRPr="0041780A" w:rsidRDefault="00DF7ED1" w:rsidP="00B3720F">
      <w:pPr>
        <w:pStyle w:val="rove3"/>
        <w:ind w:left="851" w:hanging="709"/>
      </w:pPr>
      <w:r>
        <w:t>Člen realizačního týmu</w:t>
      </w:r>
      <w:r w:rsidRPr="0041780A">
        <w:t xml:space="preserve"> </w:t>
      </w:r>
      <w:r w:rsidR="00FE2CD2" w:rsidRPr="0041780A">
        <w:t xml:space="preserve">poskytne služby ve lhůtě uvedené v písemném požadavku </w:t>
      </w:r>
      <w:r w:rsidR="00312A91" w:rsidRPr="0041780A">
        <w:t>O</w:t>
      </w:r>
      <w:r w:rsidR="00FE2CD2" w:rsidRPr="0041780A">
        <w:t xml:space="preserve">bjednatele; na základě žádosti </w:t>
      </w:r>
      <w:r>
        <w:t>člena realizačního týmu</w:t>
      </w:r>
      <w:r w:rsidRPr="0041780A">
        <w:t xml:space="preserve"> </w:t>
      </w:r>
      <w:r w:rsidR="00FE2CD2" w:rsidRPr="0041780A">
        <w:t>je možno tuto lhůtu prodloužit, vždy však pouze před jejím uplynutím a výhradně oprávněnou osobou</w:t>
      </w:r>
      <w:r w:rsidR="00312A91" w:rsidRPr="0041780A">
        <w:t xml:space="preserve"> Objednatele</w:t>
      </w:r>
      <w:r w:rsidR="00FE2CD2" w:rsidRPr="0041780A">
        <w:t>;</w:t>
      </w:r>
    </w:p>
    <w:p w14:paraId="1C923064" w14:textId="61874796" w:rsidR="00FE2CD2" w:rsidRPr="0041780A" w:rsidRDefault="00F02996" w:rsidP="00B3720F">
      <w:pPr>
        <w:pStyle w:val="rove3"/>
        <w:ind w:left="851" w:hanging="709"/>
      </w:pPr>
      <w:r w:rsidRPr="0041780A">
        <w:t>V</w:t>
      </w:r>
      <w:r w:rsidR="00FE2CD2" w:rsidRPr="0041780A">
        <w:t xml:space="preserve">eškeré výstupy budou předávány </w:t>
      </w:r>
      <w:r w:rsidR="00DF7ED1">
        <w:t>členem realizačního týmu</w:t>
      </w:r>
      <w:r w:rsidR="00DF7ED1" w:rsidRPr="0041780A">
        <w:t xml:space="preserve"> </w:t>
      </w:r>
      <w:r w:rsidR="00E65127" w:rsidRPr="0041780A">
        <w:t>O</w:t>
      </w:r>
      <w:r w:rsidR="00FE2CD2" w:rsidRPr="0041780A">
        <w:t xml:space="preserve">bjednateli v písemném vyhotovení především prostřednictvím e-mailu nebo datové schránky, v odůvodněných případech též jiným vhodným způsobem. </w:t>
      </w:r>
      <w:r w:rsidR="00DF7ED1">
        <w:t>Člen realizačního týmu</w:t>
      </w:r>
      <w:r w:rsidR="00DF7ED1" w:rsidRPr="0041780A">
        <w:t xml:space="preserve"> </w:t>
      </w:r>
      <w:r w:rsidR="00FE2CD2" w:rsidRPr="0041780A">
        <w:t xml:space="preserve">poskytne výstup </w:t>
      </w:r>
      <w:r w:rsidR="00E65127" w:rsidRPr="0041780A">
        <w:t>O</w:t>
      </w:r>
      <w:r w:rsidR="00FE2CD2" w:rsidRPr="0041780A">
        <w:t xml:space="preserve">bjednateli na elektronickém nosiči dat (CD/DVD/flashdisk), pokud tak bude v písemném požadavku </w:t>
      </w:r>
      <w:r w:rsidR="00E65127" w:rsidRPr="0041780A">
        <w:t>O</w:t>
      </w:r>
      <w:r w:rsidR="00FE2CD2" w:rsidRPr="0041780A">
        <w:t>bjednatele výslovně uvedeno;</w:t>
      </w:r>
    </w:p>
    <w:p w14:paraId="2F573708" w14:textId="03EE27C8" w:rsidR="00FE2CD2" w:rsidRPr="0041780A" w:rsidRDefault="00F02996" w:rsidP="00B3720F">
      <w:pPr>
        <w:pStyle w:val="rove3"/>
        <w:ind w:left="851" w:hanging="709"/>
      </w:pPr>
      <w:r w:rsidRPr="0041780A">
        <w:t>O</w:t>
      </w:r>
      <w:r w:rsidR="00FE2CD2" w:rsidRPr="0041780A">
        <w:t xml:space="preserve">bjednatel je oprávněn výstup vrátit </w:t>
      </w:r>
      <w:r w:rsidR="00DF7ED1">
        <w:t>členu realizačního týmu</w:t>
      </w:r>
      <w:r w:rsidR="00DF7ED1" w:rsidRPr="0041780A">
        <w:t xml:space="preserve"> </w:t>
      </w:r>
      <w:r w:rsidR="00FE2CD2" w:rsidRPr="0041780A">
        <w:t xml:space="preserve">k doplnění či přepracování, neučiní-li tak </w:t>
      </w:r>
      <w:r w:rsidR="00E65127" w:rsidRPr="0041780A">
        <w:t>O</w:t>
      </w:r>
      <w:r w:rsidR="00FE2CD2" w:rsidRPr="0041780A">
        <w:t>bjednatel v</w:t>
      </w:r>
      <w:r w:rsidR="00553635" w:rsidRPr="0041780A">
        <w:t>e l</w:t>
      </w:r>
      <w:r w:rsidR="00FE2CD2" w:rsidRPr="0041780A">
        <w:t>hůtě</w:t>
      </w:r>
      <w:r w:rsidR="00553635" w:rsidRPr="0041780A">
        <w:t xml:space="preserve"> </w:t>
      </w:r>
      <w:r w:rsidR="00553635" w:rsidRPr="0041780A">
        <w:rPr>
          <w:b/>
        </w:rPr>
        <w:t>1</w:t>
      </w:r>
      <w:r w:rsidR="00034786" w:rsidRPr="0041780A">
        <w:rPr>
          <w:b/>
        </w:rPr>
        <w:t>5</w:t>
      </w:r>
      <w:r w:rsidR="00553635" w:rsidRPr="0041780A">
        <w:rPr>
          <w:b/>
        </w:rPr>
        <w:t xml:space="preserve"> pracovních dnů</w:t>
      </w:r>
      <w:r w:rsidR="00FE2CD2" w:rsidRPr="0041780A">
        <w:t>, má se za to, že výstup schvaluje;</w:t>
      </w:r>
    </w:p>
    <w:p w14:paraId="3A7E3A5D" w14:textId="4D3DBAF1" w:rsidR="00FE2CD2" w:rsidRPr="0041780A" w:rsidRDefault="00F02996" w:rsidP="00B3720F">
      <w:pPr>
        <w:pStyle w:val="rove3"/>
        <w:ind w:left="851" w:hanging="709"/>
        <w:rPr>
          <w:b/>
        </w:rPr>
      </w:pPr>
      <w:r w:rsidRPr="0041780A">
        <w:lastRenderedPageBreak/>
        <w:t>V</w:t>
      </w:r>
      <w:r w:rsidR="00FE2CD2" w:rsidRPr="0041780A">
        <w:t xml:space="preserve">eškeré poskytnuté služby je </w:t>
      </w:r>
      <w:r w:rsidR="00DF7ED1">
        <w:t>člen realizačního týmu</w:t>
      </w:r>
      <w:r w:rsidR="00DF7ED1" w:rsidRPr="0041780A">
        <w:t xml:space="preserve"> </w:t>
      </w:r>
      <w:r w:rsidR="00FE2CD2" w:rsidRPr="0041780A">
        <w:t xml:space="preserve">povinen uvést ve výkazu činnosti s uvedením data provedení úkonu, stručného popisu úkonu a časové náročnosti </w:t>
      </w:r>
      <w:r w:rsidR="00DF7ED1">
        <w:t xml:space="preserve">provedeného úkonu; </w:t>
      </w:r>
      <w:r w:rsidR="00FE2CD2" w:rsidRPr="0041780A">
        <w:t xml:space="preserve">tyto výkazy budou v souladu s čl. </w:t>
      </w:r>
      <w:r w:rsidR="00DE0D89" w:rsidRPr="0041780A">
        <w:t>4.</w:t>
      </w:r>
      <w:r w:rsidR="0050280F">
        <w:t>6</w:t>
      </w:r>
      <w:r w:rsidR="00FE2CD2" w:rsidRPr="0041780A">
        <w:t xml:space="preserve"> této </w:t>
      </w:r>
      <w:r w:rsidR="00EF100B" w:rsidRPr="0041780A">
        <w:t xml:space="preserve">Dohody </w:t>
      </w:r>
      <w:r w:rsidR="00FE2CD2" w:rsidRPr="0041780A">
        <w:t xml:space="preserve">potvrzovány </w:t>
      </w:r>
      <w:r w:rsidR="00EF100B" w:rsidRPr="0041780A">
        <w:t>O</w:t>
      </w:r>
      <w:r w:rsidR="00FE2CD2" w:rsidRPr="0041780A">
        <w:t>bjednatelem před vystavením daňového dokladu za provedené služby v příslušném období.</w:t>
      </w:r>
    </w:p>
    <w:p w14:paraId="278C4B37" w14:textId="24E07CA8" w:rsidR="00FE2CD2" w:rsidRPr="0041780A" w:rsidRDefault="00FE2CD2" w:rsidP="008D5ACD">
      <w:pPr>
        <w:pStyle w:val="rove2"/>
        <w:ind w:left="567" w:hanging="567"/>
        <w:rPr>
          <w:b/>
        </w:rPr>
      </w:pPr>
      <w:r w:rsidRPr="0041780A">
        <w:t xml:space="preserve">Dle potřeby </w:t>
      </w:r>
      <w:r w:rsidR="00B65068" w:rsidRPr="0041780A">
        <w:t>O</w:t>
      </w:r>
      <w:r w:rsidR="00F02996" w:rsidRPr="0041780A">
        <w:t>bjednat</w:t>
      </w:r>
      <w:r w:rsidRPr="0041780A">
        <w:t xml:space="preserve">ele a po vzájemné dohodě může být komunikace mezi </w:t>
      </w:r>
      <w:r w:rsidR="00DF7ED1">
        <w:t>členem realizačního týmu</w:t>
      </w:r>
      <w:r w:rsidR="00DF7ED1" w:rsidRPr="0041780A">
        <w:t xml:space="preserve"> </w:t>
      </w:r>
      <w:r w:rsidRPr="0041780A">
        <w:t>a </w:t>
      </w:r>
      <w:r w:rsidR="00B65068" w:rsidRPr="0041780A">
        <w:t>O</w:t>
      </w:r>
      <w:r w:rsidR="00F02996" w:rsidRPr="0041780A">
        <w:t>bjednat</w:t>
      </w:r>
      <w:r w:rsidRPr="0041780A">
        <w:t>elem šifrována, kryptována či kódována pro zabezpečení ochrany předávaných informací.</w:t>
      </w:r>
    </w:p>
    <w:p w14:paraId="2889E71F" w14:textId="2E93038A" w:rsidR="00CE592E" w:rsidRPr="0041780A" w:rsidRDefault="00CE592E" w:rsidP="008D5ACD">
      <w:pPr>
        <w:pStyle w:val="rove1"/>
        <w:tabs>
          <w:tab w:val="clear" w:pos="567"/>
        </w:tabs>
        <w:ind w:left="567" w:hanging="567"/>
      </w:pPr>
      <w:r w:rsidRPr="0041780A">
        <w:t>Cena a platební podmínky</w:t>
      </w:r>
    </w:p>
    <w:p w14:paraId="40E316AC" w14:textId="1EA2FA4D" w:rsidR="001C4D5B" w:rsidRPr="0041780A" w:rsidRDefault="00F02996" w:rsidP="008D5ACD">
      <w:pPr>
        <w:pStyle w:val="rove2"/>
        <w:ind w:left="567" w:hanging="567"/>
      </w:pPr>
      <w:r w:rsidRPr="0041780A">
        <w:t>Poskytovatel</w:t>
      </w:r>
      <w:r w:rsidR="001C4D5B" w:rsidRPr="0041780A">
        <w:t xml:space="preserve">ovi náleží za 1 (jednu) hodinu právních služeb dle této </w:t>
      </w:r>
      <w:r w:rsidR="00B65068" w:rsidRPr="0041780A">
        <w:t>D</w:t>
      </w:r>
      <w:r w:rsidR="001C4D5B" w:rsidRPr="0041780A">
        <w:t>ohody odměna v</w:t>
      </w:r>
      <w:r w:rsidR="00D42DC3" w:rsidRPr="0041780A">
        <w:t xml:space="preserve">e </w:t>
      </w:r>
      <w:r w:rsidR="001C4D5B" w:rsidRPr="0041780A">
        <w:t xml:space="preserve">výši </w:t>
      </w:r>
      <w:r w:rsidR="00734DB9">
        <w:br/>
      </w:r>
      <w:r w:rsidR="00F779F6">
        <w:rPr>
          <w:b/>
        </w:rPr>
        <w:t>800</w:t>
      </w:r>
      <w:r w:rsidR="001C4D5B" w:rsidRPr="0041780A">
        <w:rPr>
          <w:b/>
        </w:rPr>
        <w:t xml:space="preserve"> Kč</w:t>
      </w:r>
      <w:r w:rsidR="001C4D5B" w:rsidRPr="0041780A">
        <w:t xml:space="preserve"> </w:t>
      </w:r>
      <w:r w:rsidR="0073217F" w:rsidRPr="0041780A">
        <w:rPr>
          <w:b/>
        </w:rPr>
        <w:t>bez DPH</w:t>
      </w:r>
      <w:r w:rsidR="0073217F" w:rsidRPr="0041780A">
        <w:t xml:space="preserve"> </w:t>
      </w:r>
      <w:r w:rsidR="001C4D5B" w:rsidRPr="0041780A">
        <w:t xml:space="preserve">(slovy: </w:t>
      </w:r>
      <w:r w:rsidR="00F779F6">
        <w:t>osm</w:t>
      </w:r>
      <w:r w:rsidR="001C4D5B" w:rsidRPr="0041780A">
        <w:t xml:space="preserve"> </w:t>
      </w:r>
      <w:r w:rsidR="00734DB9">
        <w:t xml:space="preserve">set </w:t>
      </w:r>
      <w:r w:rsidR="001C4D5B" w:rsidRPr="0041780A">
        <w:t>korun českých</w:t>
      </w:r>
      <w:r w:rsidR="0073217F" w:rsidRPr="0041780A">
        <w:t xml:space="preserve"> bez daně z přidané hodnoty</w:t>
      </w:r>
      <w:r w:rsidR="001C4D5B" w:rsidRPr="0041780A">
        <w:t xml:space="preserve">), zvýšená o částku </w:t>
      </w:r>
      <w:r w:rsidR="00F779F6">
        <w:t>168</w:t>
      </w:r>
      <w:r w:rsidR="001C4D5B" w:rsidRPr="0041780A">
        <w:t xml:space="preserve"> Kč (slovy: </w:t>
      </w:r>
      <w:r w:rsidR="00734DB9">
        <w:t xml:space="preserve">jedno sto </w:t>
      </w:r>
      <w:r w:rsidR="00F779F6">
        <w:t>šedesát osm</w:t>
      </w:r>
      <w:r w:rsidR="001C4D5B" w:rsidRPr="0041780A">
        <w:t xml:space="preserve"> korun českých) odpovídající DPH se sazbou 21 %, celkově tedy částka </w:t>
      </w:r>
      <w:r w:rsidR="00F779F6">
        <w:t>968</w:t>
      </w:r>
      <w:r w:rsidR="001C4D5B" w:rsidRPr="0041780A">
        <w:t xml:space="preserve"> Kč </w:t>
      </w:r>
      <w:r w:rsidR="0073217F" w:rsidRPr="0041780A">
        <w:t xml:space="preserve">včetně DPH </w:t>
      </w:r>
      <w:r w:rsidR="001C4D5B" w:rsidRPr="0041780A">
        <w:t xml:space="preserve">(slovy: </w:t>
      </w:r>
      <w:r w:rsidR="00F779F6">
        <w:t>devět</w:t>
      </w:r>
      <w:r w:rsidR="008C415C">
        <w:t xml:space="preserve"> set </w:t>
      </w:r>
      <w:r w:rsidR="00F779F6">
        <w:t>šedesát osm</w:t>
      </w:r>
      <w:r w:rsidR="008C415C">
        <w:t xml:space="preserve"> </w:t>
      </w:r>
      <w:r w:rsidR="001C4D5B" w:rsidRPr="0041780A">
        <w:t>korun českých</w:t>
      </w:r>
      <w:r w:rsidR="0073217F" w:rsidRPr="0041780A">
        <w:t xml:space="preserve"> včetně daně z přidané hodnoty</w:t>
      </w:r>
      <w:r w:rsidR="001C4D5B" w:rsidRPr="0041780A">
        <w:t xml:space="preserve">) za jednu hodinu právních služeb </w:t>
      </w:r>
      <w:r w:rsidR="00B65068" w:rsidRPr="0041780A">
        <w:t>P</w:t>
      </w:r>
      <w:r w:rsidRPr="0041780A">
        <w:t>oskytovatele</w:t>
      </w:r>
      <w:r w:rsidR="001C4D5B" w:rsidRPr="0041780A">
        <w:t>.</w:t>
      </w:r>
      <w:r w:rsidR="00F6412A" w:rsidRPr="0041780A">
        <w:t xml:space="preserve"> Nejkratší</w:t>
      </w:r>
      <w:r w:rsidR="00292057" w:rsidRPr="0041780A">
        <w:t xml:space="preserve"> </w:t>
      </w:r>
      <w:r w:rsidR="00F6412A" w:rsidRPr="0041780A">
        <w:t xml:space="preserve">účtovací dobou je </w:t>
      </w:r>
      <w:r w:rsidR="00413C95">
        <w:t>30</w:t>
      </w:r>
      <w:r w:rsidR="00F6412A" w:rsidRPr="0041780A">
        <w:t xml:space="preserve"> minut. </w:t>
      </w:r>
    </w:p>
    <w:p w14:paraId="62E99BA0" w14:textId="4F80D4B5" w:rsidR="001C4D5B" w:rsidRPr="0041780A" w:rsidRDefault="001C4D5B" w:rsidP="008D5ACD">
      <w:pPr>
        <w:pStyle w:val="rove2"/>
        <w:ind w:left="567" w:hanging="567"/>
      </w:pPr>
      <w:r w:rsidRPr="0041780A">
        <w:t xml:space="preserve">Maximální a nepřekročitelná cena za předmět plnění je </w:t>
      </w:r>
      <w:r w:rsidRPr="0041780A">
        <w:rPr>
          <w:b/>
        </w:rPr>
        <w:t>10.000.000 Kč bez DPH</w:t>
      </w:r>
      <w:r w:rsidRPr="0041780A">
        <w:t>. Objednatel je oprávněn nevyčerpat tuto částku celou.</w:t>
      </w:r>
    </w:p>
    <w:p w14:paraId="3BBC7F14" w14:textId="5AE9C897" w:rsidR="009138BA" w:rsidRDefault="009138BA" w:rsidP="008D5ACD">
      <w:pPr>
        <w:pStyle w:val="rove2"/>
        <w:ind w:left="567" w:hanging="567"/>
      </w:pPr>
      <w:r>
        <w:t xml:space="preserve">Náhrada hotových výdajů dle § 13 vyhlášky Ministerstva spravedlnosti č. 177/1996 Sb., </w:t>
      </w:r>
      <w:r>
        <w:br/>
        <w:t>o odměnách advokátů a náhradách advokátů za poskytování právních služeb (advokátní tarif), ve znění pozdějších předpisů (dále jen „advokátní tarif“), je zahrnuta v odměně dle čl. 4.1 této Dohody,</w:t>
      </w:r>
      <w:r w:rsidRPr="0041780A">
        <w:t xml:space="preserve"> vyjma cestovních náhrad za cestovní výdaje, které vzniknou Poskytovatelovi při plnění této Dohody a které </w:t>
      </w:r>
      <w:r>
        <w:t>budou předem schváleny Objednatelem.</w:t>
      </w:r>
    </w:p>
    <w:p w14:paraId="18BA1B4D" w14:textId="0903484E" w:rsidR="00343081" w:rsidRDefault="00343081" w:rsidP="00343081">
      <w:pPr>
        <w:pStyle w:val="rove2"/>
        <w:ind w:left="567" w:hanging="567"/>
      </w:pPr>
      <w:r>
        <w:t>Náhrada za promeškaný čas dle § 14 advokátního tarifu je zahrnuta v odměně dle čl. 4.1 této Dohody, vyjma</w:t>
      </w:r>
      <w:r w:rsidRPr="00F85D52">
        <w:t xml:space="preserve"> </w:t>
      </w:r>
      <w:r>
        <w:t>případu, kdy budou právní služby poskytovány na jiném místě určeném Objednatelem než v sídle Poskytovatele</w:t>
      </w:r>
      <w:r w:rsidR="002C0308">
        <w:t xml:space="preserve">, sídle </w:t>
      </w:r>
      <w:r>
        <w:t>Objednatele či na pracovišti Objednatele na korespondenční adrese, kdy náleží Poskytovateli náhrada za promeškaný čas dle § 14 odst. 3 advokátního tarifu.</w:t>
      </w:r>
    </w:p>
    <w:p w14:paraId="37042C7B" w14:textId="21630442" w:rsidR="001C4D5B" w:rsidRPr="0041780A" w:rsidRDefault="001C4D5B" w:rsidP="008D5ACD">
      <w:pPr>
        <w:pStyle w:val="rove2"/>
        <w:ind w:left="567" w:hanging="567"/>
      </w:pPr>
      <w:r w:rsidRPr="0041780A">
        <w:t>Odměna</w:t>
      </w:r>
      <w:r w:rsidR="00D9695C">
        <w:t xml:space="preserve"> vyjma čl. 4.3 a 4.4 této Dohody</w:t>
      </w:r>
      <w:r w:rsidRPr="0041780A">
        <w:t xml:space="preserve"> i celková cena za předmět plnění dle této </w:t>
      </w:r>
      <w:r w:rsidR="00A44CB6" w:rsidRPr="0041780A">
        <w:t xml:space="preserve">Dohody </w:t>
      </w:r>
      <w:r w:rsidRPr="0041780A">
        <w:t>je stanovena jako nejvýše přípustná včetně všech poplatků a veškerých dalších nákladů spojených s předmětem plnění. Cenu lze překročit pouze v souvislosti se změnou daňových předpisů týkajících se DPH.</w:t>
      </w:r>
    </w:p>
    <w:p w14:paraId="362B3EFB" w14:textId="78B6948B" w:rsidR="001C4D5B" w:rsidRPr="0041780A" w:rsidRDefault="001C4D5B" w:rsidP="00E60E0A">
      <w:pPr>
        <w:pStyle w:val="rove2"/>
        <w:ind w:left="567" w:hanging="567"/>
      </w:pPr>
      <w:r w:rsidRPr="0041780A">
        <w:t xml:space="preserve">Odměna </w:t>
      </w:r>
      <w:r w:rsidR="00A44CB6" w:rsidRPr="0041780A">
        <w:t>P</w:t>
      </w:r>
      <w:r w:rsidR="00F02996" w:rsidRPr="0041780A">
        <w:t>oskytovatele</w:t>
      </w:r>
      <w:r w:rsidRPr="0041780A">
        <w:t xml:space="preserve"> je splatná na základě daňového dokladu, který musí splňovat náležitosti daňového dokladu dle zákona č. 235/2004 Sb., o dani z přidané hodnoty, ve znění pozdějších předpisů, a to do </w:t>
      </w:r>
      <w:r w:rsidRPr="0041780A">
        <w:rPr>
          <w:b/>
        </w:rPr>
        <w:t>30 dnů</w:t>
      </w:r>
      <w:r w:rsidRPr="0041780A">
        <w:t xml:space="preserve"> ode dne doručení daňového dokladu. Daňový doklad musí dále obsahovat </w:t>
      </w:r>
      <w:r w:rsidR="00A44CB6" w:rsidRPr="0041780A">
        <w:t>text</w:t>
      </w:r>
      <w:r w:rsidRPr="0041780A">
        <w:t xml:space="preserve">: </w:t>
      </w:r>
      <w:r w:rsidRPr="0041780A">
        <w:rPr>
          <w:b/>
          <w:i/>
        </w:rPr>
        <w:t xml:space="preserve">„Předmět </w:t>
      </w:r>
      <w:r w:rsidR="00A44CB6" w:rsidRPr="0041780A">
        <w:rPr>
          <w:b/>
          <w:i/>
        </w:rPr>
        <w:t xml:space="preserve">plnění </w:t>
      </w:r>
      <w:r w:rsidRPr="0041780A">
        <w:rPr>
          <w:b/>
          <w:i/>
        </w:rPr>
        <w:t>je spolufinancován z</w:t>
      </w:r>
      <w:r w:rsidR="00A44CB6" w:rsidRPr="0041780A">
        <w:rPr>
          <w:b/>
          <w:i/>
        </w:rPr>
        <w:t xml:space="preserve"> TP OPŽP a NSA </w:t>
      </w:r>
      <w:r w:rsidRPr="00B1498A">
        <w:rPr>
          <w:b/>
          <w:i/>
        </w:rPr>
        <w:t xml:space="preserve">NZÚ, </w:t>
      </w:r>
      <w:r w:rsidR="00B1498A">
        <w:rPr>
          <w:b/>
          <w:i/>
        </w:rPr>
        <w:t xml:space="preserve">projekt </w:t>
      </w:r>
      <w:r w:rsidR="00BB5CE1" w:rsidRPr="00BB5CE1">
        <w:rPr>
          <w:b/>
          <w:i/>
        </w:rPr>
        <w:t>Komplexní právní poradenství pro SFŽP ČR</w:t>
      </w:r>
      <w:r w:rsidR="00B1498A">
        <w:rPr>
          <w:b/>
          <w:i/>
        </w:rPr>
        <w:t xml:space="preserve">, </w:t>
      </w:r>
      <w:r w:rsidRPr="00B1498A">
        <w:rPr>
          <w:b/>
          <w:i/>
        </w:rPr>
        <w:t>ORG 6305</w:t>
      </w:r>
      <w:r w:rsidR="00AA3D9F">
        <w:rPr>
          <w:b/>
          <w:i/>
        </w:rPr>
        <w:t>B</w:t>
      </w:r>
      <w:r w:rsidRPr="0041780A">
        <w:rPr>
          <w:b/>
          <w:i/>
        </w:rPr>
        <w:t>“</w:t>
      </w:r>
      <w:r w:rsidR="00873A69" w:rsidRPr="0041780A">
        <w:rPr>
          <w:i/>
        </w:rPr>
        <w:t>,</w:t>
      </w:r>
      <w:r w:rsidR="0073217F" w:rsidRPr="0041780A">
        <w:rPr>
          <w:i/>
        </w:rPr>
        <w:t xml:space="preserve"> </w:t>
      </w:r>
      <w:r w:rsidR="00873A69" w:rsidRPr="0041780A">
        <w:t>a dále číslo smlouvy</w:t>
      </w:r>
      <w:r w:rsidR="0073217F" w:rsidRPr="0041780A">
        <w:t xml:space="preserve"> </w:t>
      </w:r>
      <w:r w:rsidR="00E60E0A">
        <w:rPr>
          <w:b/>
        </w:rPr>
        <w:t>809/2017</w:t>
      </w:r>
      <w:r w:rsidR="00873A69" w:rsidRPr="0041780A">
        <w:t xml:space="preserve"> a systémové číslo veřejné zakázky dle profilu </w:t>
      </w:r>
      <w:r w:rsidR="00873A69" w:rsidRPr="00493389">
        <w:t xml:space="preserve">zadavatele </w:t>
      </w:r>
      <w:r w:rsidR="00493389" w:rsidRPr="00493389">
        <w:rPr>
          <w:b/>
        </w:rPr>
        <w:t>P17V00001052</w:t>
      </w:r>
      <w:r w:rsidRPr="0041780A">
        <w:t>.</w:t>
      </w:r>
      <w:r w:rsidR="00873A69" w:rsidRPr="0041780A">
        <w:t xml:space="preserve"> Objednatel si vyhrazuje právo na změnu textu daňového dokladu v průběhu trvání </w:t>
      </w:r>
      <w:r w:rsidR="0041780A">
        <w:t xml:space="preserve">této </w:t>
      </w:r>
      <w:r w:rsidR="00873A69" w:rsidRPr="0041780A">
        <w:t>Dohody dle jeho potřeb.</w:t>
      </w:r>
    </w:p>
    <w:p w14:paraId="341BE3EC" w14:textId="72C5A69F" w:rsidR="001C4D5B" w:rsidRPr="0041780A" w:rsidRDefault="001C4D5B" w:rsidP="008D5ACD">
      <w:pPr>
        <w:pStyle w:val="rove2"/>
        <w:ind w:left="567" w:hanging="567"/>
      </w:pPr>
      <w:r w:rsidRPr="0041780A">
        <w:t xml:space="preserve">Předpokladem pro vystavení daňového dokladu je dle čl. </w:t>
      </w:r>
      <w:r w:rsidR="0041780A">
        <w:t>3</w:t>
      </w:r>
      <w:r w:rsidRPr="0041780A">
        <w:t>.3.</w:t>
      </w:r>
      <w:r w:rsidR="0050280F">
        <w:t>7</w:t>
      </w:r>
      <w:r w:rsidRPr="0041780A">
        <w:t xml:space="preserve"> této </w:t>
      </w:r>
      <w:r w:rsidR="00A44CB6" w:rsidRPr="0041780A">
        <w:t xml:space="preserve">Dohody </w:t>
      </w:r>
      <w:r w:rsidRPr="0041780A">
        <w:t xml:space="preserve">potvrzení </w:t>
      </w:r>
      <w:r w:rsidRPr="0041780A">
        <w:rPr>
          <w:color w:val="000000"/>
        </w:rPr>
        <w:t xml:space="preserve">výkazu činnosti oprávněnou osobou </w:t>
      </w:r>
      <w:r w:rsidR="00A44CB6" w:rsidRPr="0041780A">
        <w:rPr>
          <w:color w:val="000000"/>
        </w:rPr>
        <w:t>O</w:t>
      </w:r>
      <w:r w:rsidRPr="0041780A">
        <w:rPr>
          <w:color w:val="000000"/>
        </w:rPr>
        <w:t>bjednatele.</w:t>
      </w:r>
      <w:r w:rsidRPr="0041780A">
        <w:t xml:space="preserve">  </w:t>
      </w:r>
    </w:p>
    <w:p w14:paraId="08EE261C" w14:textId="6555E991" w:rsidR="004F2BDB" w:rsidRPr="0041780A" w:rsidRDefault="004F2BDB" w:rsidP="008D5ACD">
      <w:pPr>
        <w:pStyle w:val="rove2"/>
        <w:spacing w:line="264" w:lineRule="auto"/>
        <w:ind w:left="567" w:hanging="567"/>
      </w:pPr>
      <w:r w:rsidRPr="0041780A">
        <w:t>Odměna bude uhrazena bankovním převodem na účet Poskytovatele uvedený na daňovém dokladu, přičemž uhrazením se rozumí den připsání příslušné částky na účet Poskytovatele.</w:t>
      </w:r>
    </w:p>
    <w:p w14:paraId="63891B6E" w14:textId="766CD1EF" w:rsidR="00DD2615" w:rsidRPr="0041780A" w:rsidRDefault="003733EF" w:rsidP="008D5ACD">
      <w:pPr>
        <w:pStyle w:val="rove2"/>
        <w:spacing w:line="264" w:lineRule="auto"/>
        <w:ind w:left="567" w:hanging="567"/>
      </w:pPr>
      <w:r w:rsidRPr="0041780A">
        <w:t>Objednatel</w:t>
      </w:r>
      <w:r w:rsidR="00AD6843" w:rsidRPr="0041780A">
        <w:t xml:space="preserve"> není povinen proplatit </w:t>
      </w:r>
      <w:r w:rsidR="009E2207" w:rsidRPr="0041780A">
        <w:t>daňový doklad</w:t>
      </w:r>
      <w:r w:rsidR="00AD6843" w:rsidRPr="0041780A">
        <w:t>, kter</w:t>
      </w:r>
      <w:r w:rsidR="009E2207" w:rsidRPr="0041780A">
        <w:t>ý</w:t>
      </w:r>
      <w:r w:rsidR="00AD6843" w:rsidRPr="0041780A">
        <w:t xml:space="preserve"> nemá sjednané nebo právním</w:t>
      </w:r>
      <w:r w:rsidR="00DD2615" w:rsidRPr="0041780A">
        <w:t>i</w:t>
      </w:r>
      <w:r w:rsidR="00AD6843" w:rsidRPr="0041780A">
        <w:t xml:space="preserve"> předpisy stanovené náležitosti,</w:t>
      </w:r>
      <w:r w:rsidR="00DD2615" w:rsidRPr="0041780A">
        <w:t xml:space="preserve"> nebo kter</w:t>
      </w:r>
      <w:r w:rsidR="009E2207" w:rsidRPr="0041780A">
        <w:t>ý</w:t>
      </w:r>
      <w:r w:rsidR="00DD2615" w:rsidRPr="0041780A">
        <w:t xml:space="preserve"> je věcně </w:t>
      </w:r>
      <w:r w:rsidR="00A23E23" w:rsidRPr="0041780A">
        <w:t>nesprávný</w:t>
      </w:r>
      <w:r w:rsidR="00DD2615" w:rsidRPr="0041780A">
        <w:t>,</w:t>
      </w:r>
      <w:r w:rsidR="00AD6843" w:rsidRPr="0041780A">
        <w:t xml:space="preserve"> pokud požádal </w:t>
      </w:r>
      <w:r w:rsidRPr="0041780A">
        <w:t>Poskytovatel</w:t>
      </w:r>
      <w:r w:rsidR="0018331C" w:rsidRPr="0041780A">
        <w:t>e</w:t>
      </w:r>
      <w:r w:rsidR="009E2207" w:rsidRPr="0041780A">
        <w:t xml:space="preserve"> </w:t>
      </w:r>
      <w:r w:rsidR="00AD6843" w:rsidRPr="0041780A">
        <w:t>písemn</w:t>
      </w:r>
      <w:r w:rsidR="005E7463" w:rsidRPr="0041780A">
        <w:t>ě o </w:t>
      </w:r>
      <w:r w:rsidR="009E2207" w:rsidRPr="0041780A">
        <w:t xml:space="preserve">jeho </w:t>
      </w:r>
      <w:r w:rsidR="00AD6843" w:rsidRPr="0041780A">
        <w:t xml:space="preserve">doplnění nejpozději do </w:t>
      </w:r>
      <w:r w:rsidR="0047114C" w:rsidRPr="0041780A">
        <w:rPr>
          <w:b/>
        </w:rPr>
        <w:t>10 pracovních</w:t>
      </w:r>
      <w:r w:rsidR="00873A69" w:rsidRPr="0041780A">
        <w:rPr>
          <w:b/>
        </w:rPr>
        <w:t xml:space="preserve"> </w:t>
      </w:r>
      <w:r w:rsidR="00AD6843" w:rsidRPr="0041780A">
        <w:rPr>
          <w:b/>
        </w:rPr>
        <w:t>dnů</w:t>
      </w:r>
      <w:r w:rsidR="00AD6843" w:rsidRPr="0041780A">
        <w:t xml:space="preserve"> od okamžiku </w:t>
      </w:r>
      <w:r w:rsidR="009E2207" w:rsidRPr="0041780A">
        <w:t xml:space="preserve">jeho </w:t>
      </w:r>
      <w:r w:rsidR="00AD6843" w:rsidRPr="0041780A">
        <w:t>prokazatelného doručení</w:t>
      </w:r>
      <w:r w:rsidR="00873A69" w:rsidRPr="0041780A">
        <w:t xml:space="preserve"> Poskytovateli</w:t>
      </w:r>
      <w:r w:rsidR="00AD6843" w:rsidRPr="0041780A">
        <w:t xml:space="preserve">. Za písemné oznámení se považuje i oznámení učiněné elektronickými prostředky. </w:t>
      </w:r>
      <w:r w:rsidR="00AD6843" w:rsidRPr="0041780A">
        <w:lastRenderedPageBreak/>
        <w:t xml:space="preserve">Lhůta splatnosti </w:t>
      </w:r>
      <w:r w:rsidR="009E2207" w:rsidRPr="0041780A">
        <w:t xml:space="preserve">daňového </w:t>
      </w:r>
      <w:r w:rsidR="00A23E23" w:rsidRPr="0041780A">
        <w:t>dokladu</w:t>
      </w:r>
      <w:r w:rsidR="009E2207" w:rsidRPr="0041780A">
        <w:t xml:space="preserve"> </w:t>
      </w:r>
      <w:r w:rsidR="00AD6843" w:rsidRPr="0041780A">
        <w:t xml:space="preserve">počíná následně běžet dnem, kdy </w:t>
      </w:r>
      <w:r w:rsidRPr="0041780A">
        <w:t>Objednatel</w:t>
      </w:r>
      <w:r w:rsidR="00DD2615" w:rsidRPr="0041780A">
        <w:t xml:space="preserve"> obdržel bezvadn</w:t>
      </w:r>
      <w:r w:rsidR="009E2207" w:rsidRPr="0041780A">
        <w:t>ý</w:t>
      </w:r>
      <w:r w:rsidR="00DD2615" w:rsidRPr="0041780A">
        <w:t xml:space="preserve"> </w:t>
      </w:r>
      <w:r w:rsidR="009E2207" w:rsidRPr="0041780A">
        <w:t>daňový doklad</w:t>
      </w:r>
      <w:r w:rsidR="00DD2615" w:rsidRPr="0041780A">
        <w:t>.</w:t>
      </w:r>
    </w:p>
    <w:p w14:paraId="1DEE263A" w14:textId="53F03750" w:rsidR="00DD2615" w:rsidRPr="0041780A" w:rsidRDefault="003733EF" w:rsidP="008D5ACD">
      <w:pPr>
        <w:pStyle w:val="rove2"/>
        <w:spacing w:line="264" w:lineRule="auto"/>
        <w:ind w:left="567" w:hanging="567"/>
      </w:pPr>
      <w:r w:rsidRPr="0041780A">
        <w:t>Objednatel</w:t>
      </w:r>
      <w:r w:rsidR="00DD2615" w:rsidRPr="0041780A">
        <w:t xml:space="preserve"> nebude poskytovat zálohové platby.</w:t>
      </w:r>
    </w:p>
    <w:p w14:paraId="0AB7AD56" w14:textId="55FB6AC9" w:rsidR="00A131BF" w:rsidRPr="0041780A" w:rsidRDefault="00A131BF" w:rsidP="008D5ACD">
      <w:pPr>
        <w:pStyle w:val="rove1"/>
        <w:tabs>
          <w:tab w:val="clear" w:pos="567"/>
        </w:tabs>
        <w:ind w:left="567" w:hanging="567"/>
      </w:pPr>
      <w:r w:rsidRPr="0041780A">
        <w:t>místo plnění</w:t>
      </w:r>
    </w:p>
    <w:p w14:paraId="4381648E" w14:textId="7EBE3EE3" w:rsidR="00A131BF" w:rsidRPr="0041780A" w:rsidRDefault="00A131BF" w:rsidP="008D5ACD">
      <w:pPr>
        <w:pStyle w:val="rove2"/>
        <w:ind w:left="567" w:hanging="567"/>
      </w:pPr>
      <w:r w:rsidRPr="0041780A">
        <w:t xml:space="preserve">Místo plnění je v sídle Poskytovatele, sídle Objednatele, na pracovišti Objednatele na korespondenční adrese nebo v místě určeném Objednatelem. </w:t>
      </w:r>
    </w:p>
    <w:p w14:paraId="5763964F" w14:textId="77777777" w:rsidR="001C4D5B" w:rsidRPr="0041780A" w:rsidRDefault="001C4D5B" w:rsidP="008D5ACD">
      <w:pPr>
        <w:pStyle w:val="rove1"/>
        <w:tabs>
          <w:tab w:val="clear" w:pos="567"/>
        </w:tabs>
        <w:ind w:left="567" w:hanging="567"/>
      </w:pPr>
      <w:r w:rsidRPr="0041780A">
        <w:t>Plná moc</w:t>
      </w:r>
    </w:p>
    <w:p w14:paraId="228A35BC" w14:textId="6984BC33" w:rsidR="001C4D5B" w:rsidRPr="0041780A" w:rsidRDefault="001C4D5B" w:rsidP="008D5ACD">
      <w:pPr>
        <w:pStyle w:val="rove2"/>
        <w:ind w:left="567" w:hanging="567"/>
        <w:rPr>
          <w:b/>
        </w:rPr>
      </w:pPr>
      <w:r w:rsidRPr="0041780A">
        <w:t xml:space="preserve">Pokud to bude povaha činnosti </w:t>
      </w:r>
      <w:r w:rsidR="00C0462F">
        <w:t>člena realizačního týmu</w:t>
      </w:r>
      <w:r w:rsidRPr="0041780A">
        <w:t xml:space="preserve"> vyžadovat, udělí </w:t>
      </w:r>
      <w:r w:rsidR="00873A69" w:rsidRPr="0041780A">
        <w:t>O</w:t>
      </w:r>
      <w:r w:rsidR="00F02996" w:rsidRPr="0041780A">
        <w:t>bjednat</w:t>
      </w:r>
      <w:r w:rsidRPr="0041780A">
        <w:t xml:space="preserve">el </w:t>
      </w:r>
      <w:r w:rsidR="00C0462F">
        <w:t>členu realizačního týmu</w:t>
      </w:r>
      <w:r w:rsidRPr="0041780A">
        <w:t xml:space="preserve"> za tímto účelem plnou moc zvláštní listinou. </w:t>
      </w:r>
    </w:p>
    <w:p w14:paraId="37FCD83A" w14:textId="6F92F4AF" w:rsidR="00AE39A1" w:rsidRPr="0041780A" w:rsidRDefault="00AE39A1" w:rsidP="008D5ACD">
      <w:pPr>
        <w:pStyle w:val="rove1"/>
        <w:tabs>
          <w:tab w:val="clear" w:pos="567"/>
        </w:tabs>
        <w:ind w:left="567" w:hanging="567"/>
      </w:pPr>
      <w:r w:rsidRPr="0041780A">
        <w:t>Odpovědnost Poskytovatele</w:t>
      </w:r>
    </w:p>
    <w:p w14:paraId="7A0000E2" w14:textId="779906A9" w:rsidR="00AE39A1" w:rsidRPr="0041780A" w:rsidRDefault="00AE39A1" w:rsidP="008D5ACD">
      <w:pPr>
        <w:pStyle w:val="rove2"/>
        <w:ind w:left="567" w:hanging="567"/>
      </w:pPr>
      <w:r w:rsidRPr="0041780A">
        <w:t xml:space="preserve">Poskytovatel odpovídá </w:t>
      </w:r>
      <w:r w:rsidR="0070117D" w:rsidRPr="0041780A">
        <w:t>O</w:t>
      </w:r>
      <w:r w:rsidR="00F02996" w:rsidRPr="0041780A">
        <w:t>bjednat</w:t>
      </w:r>
      <w:r w:rsidRPr="0041780A">
        <w:t xml:space="preserve">eli nebo jakékoli třetí osobě (např. příjemci podpory) za škodu, kterou by mu způsobil výkonem advokacie v souvislosti s poskytováním právní služby dle této </w:t>
      </w:r>
      <w:r w:rsidR="0056507C" w:rsidRPr="0041780A">
        <w:t>Dohody</w:t>
      </w:r>
      <w:r w:rsidRPr="0041780A">
        <w:t xml:space="preserve">, a to i tehdy, byla-li by škoda způsobena </w:t>
      </w:r>
      <w:r w:rsidR="00C0462F">
        <w:t>členem realizačního týmu</w:t>
      </w:r>
      <w:r w:rsidRPr="0041780A">
        <w:t xml:space="preserve">, </w:t>
      </w:r>
      <w:r w:rsidR="0056507C" w:rsidRPr="0041780A">
        <w:t>advokátním</w:t>
      </w:r>
      <w:r w:rsidRPr="0041780A">
        <w:t xml:space="preserve"> koncipientem nebo jiným zaměstnancem.</w:t>
      </w:r>
    </w:p>
    <w:p w14:paraId="6D2ED9CE" w14:textId="24661ADE" w:rsidR="00AE39A1" w:rsidRPr="0041780A" w:rsidRDefault="00F02996" w:rsidP="008D5ACD">
      <w:pPr>
        <w:pStyle w:val="rove2"/>
        <w:ind w:left="567" w:hanging="567"/>
      </w:pPr>
      <w:r w:rsidRPr="0041780A">
        <w:t>Poskytovatel</w:t>
      </w:r>
      <w:r w:rsidR="00AE39A1" w:rsidRPr="0041780A">
        <w:t xml:space="preserve"> by se této odpovědnosti zprostil jen tehdy, pokud by prokázal, že škodě nemohlo být zabráněno ani při vynaložení veškerého úsilí, které bylo možno na něm požadovat.</w:t>
      </w:r>
    </w:p>
    <w:p w14:paraId="05546006" w14:textId="62C5EB0E" w:rsidR="00D42DC3" w:rsidRDefault="00D42DC3" w:rsidP="008D5ACD">
      <w:pPr>
        <w:pStyle w:val="rove2"/>
        <w:ind w:left="567" w:hanging="567"/>
      </w:pPr>
      <w:r w:rsidRPr="0041780A">
        <w:t>Poskytovatel odpovídá za skutečnost, že v rámci prováděných služeb není ve střetu zájmů</w:t>
      </w:r>
      <w:r w:rsidR="00647844" w:rsidRPr="0041780A">
        <w:t>. V</w:t>
      </w:r>
      <w:r w:rsidRPr="0041780A">
        <w:t> případě, že by se</w:t>
      </w:r>
      <w:r w:rsidR="00647844" w:rsidRPr="0041780A">
        <w:t xml:space="preserve"> </w:t>
      </w:r>
      <w:r w:rsidR="00C0462F">
        <w:t>člen realizačního týmu</w:t>
      </w:r>
      <w:r w:rsidR="00647844" w:rsidRPr="0041780A">
        <w:t xml:space="preserve">, advokátní koncipient nebo jiný zaměstnanec Poskytovatele dostal </w:t>
      </w:r>
      <w:r w:rsidRPr="0041780A">
        <w:t xml:space="preserve">do střetu zájmů, </w:t>
      </w:r>
      <w:r w:rsidR="00456D39">
        <w:t>bezodkladně</w:t>
      </w:r>
      <w:r w:rsidRPr="0041780A">
        <w:t xml:space="preserve"> </w:t>
      </w:r>
      <w:r w:rsidR="00647844" w:rsidRPr="0041780A">
        <w:t xml:space="preserve">to </w:t>
      </w:r>
      <w:r w:rsidRPr="0041780A">
        <w:t>ohlásí Objednateli.</w:t>
      </w:r>
    </w:p>
    <w:p w14:paraId="0E11DCBB" w14:textId="5E4DA4CF" w:rsidR="00264200" w:rsidRPr="0041780A" w:rsidRDefault="00264200" w:rsidP="008D5ACD">
      <w:pPr>
        <w:pStyle w:val="rove2"/>
        <w:ind w:left="567" w:hanging="567"/>
      </w:pPr>
      <w:r w:rsidRPr="0041780A">
        <w:t xml:space="preserve">V případě předávání podkladů pro poskytnutí právních služeb (zadávacích dokumentací, nabídek, protokolů a dalších dokumentů souvisejících s výběrovým/zadávacím řízením) odpovídá za předání těchto podkladů Objednatel, který hradí náklady s tím spojené. </w:t>
      </w:r>
      <w:r>
        <w:br/>
      </w:r>
      <w:r w:rsidRPr="0041780A">
        <w:t>Za navrácení těchto podkladů Objednateli odpovídá Poskytovatel, který hradí náklady s tím spojené – tyto jsou zahrnuty v odměně Poskytovatele dle článku 4.1 této Dohody.</w:t>
      </w:r>
    </w:p>
    <w:p w14:paraId="7C90E2E7" w14:textId="1C4CC5EC" w:rsidR="00AE39A1" w:rsidRPr="0041780A" w:rsidRDefault="00AE39A1" w:rsidP="008D5ACD">
      <w:pPr>
        <w:pStyle w:val="rove1"/>
        <w:tabs>
          <w:tab w:val="clear" w:pos="567"/>
        </w:tabs>
        <w:ind w:left="567" w:hanging="567"/>
      </w:pPr>
      <w:r w:rsidRPr="0041780A">
        <w:t>autorská práva</w:t>
      </w:r>
    </w:p>
    <w:p w14:paraId="5D5DA743" w14:textId="17A7FA86" w:rsidR="00AE39A1" w:rsidRPr="0041780A" w:rsidRDefault="00AE39A1" w:rsidP="008D5ACD">
      <w:pPr>
        <w:pStyle w:val="rove2"/>
        <w:ind w:left="567" w:hanging="567"/>
      </w:pPr>
      <w:r w:rsidRPr="0041780A">
        <w:t xml:space="preserve">Budou-li mít některé výstupy činnosti </w:t>
      </w:r>
      <w:r w:rsidR="0070117D" w:rsidRPr="0041780A">
        <w:t>P</w:t>
      </w:r>
      <w:r w:rsidR="00F02996" w:rsidRPr="0041780A">
        <w:t>oskytovatele</w:t>
      </w:r>
      <w:r w:rsidRPr="0041780A">
        <w:t xml:space="preserve"> charakter autorského díla, tzn., že budou chráněny autorskými právy podle zákona č. 121/2000 Sb., o právu autorském, o právech souvisejících s právem autorským a o změně některých zákonů (autorský zákon), </w:t>
      </w:r>
      <w:r w:rsidR="00456D39" w:rsidRPr="0041780A">
        <w:t>ve znění pozdějších předpisů</w:t>
      </w:r>
      <w:r w:rsidRPr="0041780A">
        <w:t xml:space="preserve">, poskytuje </w:t>
      </w:r>
      <w:r w:rsidR="0070117D" w:rsidRPr="0041780A">
        <w:t>P</w:t>
      </w:r>
      <w:r w:rsidR="00F02996" w:rsidRPr="0041780A">
        <w:t>oskytovatel</w:t>
      </w:r>
      <w:r w:rsidRPr="0041780A">
        <w:t xml:space="preserve"> </w:t>
      </w:r>
      <w:r w:rsidR="0070117D" w:rsidRPr="0041780A">
        <w:t>O</w:t>
      </w:r>
      <w:r w:rsidR="00F02996" w:rsidRPr="0041780A">
        <w:t>bjednat</w:t>
      </w:r>
      <w:r w:rsidRPr="0041780A">
        <w:t>eli výhradní neomezenou licenci k užití těchto výstupů.</w:t>
      </w:r>
    </w:p>
    <w:p w14:paraId="6CE68C2E" w14:textId="3F4E5FBC" w:rsidR="00AE39A1" w:rsidRPr="0041780A" w:rsidRDefault="00F02996" w:rsidP="008D5ACD">
      <w:pPr>
        <w:pStyle w:val="rove2"/>
        <w:ind w:left="567" w:hanging="567"/>
      </w:pPr>
      <w:r w:rsidRPr="0041780A">
        <w:t>Objednat</w:t>
      </w:r>
      <w:r w:rsidR="00AE39A1" w:rsidRPr="0041780A">
        <w:t xml:space="preserve">el je oprávněn takovéto výstupy činnosti </w:t>
      </w:r>
      <w:r w:rsidR="0070117D" w:rsidRPr="0041780A">
        <w:t>P</w:t>
      </w:r>
      <w:r w:rsidRPr="0041780A">
        <w:t>oskytovatele</w:t>
      </w:r>
      <w:r w:rsidR="00AE39A1" w:rsidRPr="0041780A">
        <w:t xml:space="preserve"> použít pro své potřeby, jakož i poskytnout k použití jakékoli třetí osobě. </w:t>
      </w:r>
      <w:r w:rsidRPr="0041780A">
        <w:t>Objednat</w:t>
      </w:r>
      <w:r w:rsidR="00AE39A1" w:rsidRPr="0041780A">
        <w:t>el je dále oprávněn předat poskytované výstupy i jejich části třetí osobě za účelem provádění změn nebo doplnění i jako podklad pro vypracování dalších výstupů.</w:t>
      </w:r>
    </w:p>
    <w:p w14:paraId="5E16A630" w14:textId="77777777" w:rsidR="003F6601" w:rsidRPr="0041780A" w:rsidRDefault="003F6601" w:rsidP="008D5ACD">
      <w:pPr>
        <w:pStyle w:val="rove1"/>
        <w:tabs>
          <w:tab w:val="clear" w:pos="567"/>
        </w:tabs>
        <w:ind w:left="567" w:hanging="567"/>
      </w:pPr>
      <w:r w:rsidRPr="0041780A">
        <w:t>Odpovědnost za škodu, smluvní pokuty</w:t>
      </w:r>
    </w:p>
    <w:p w14:paraId="58678CFF" w14:textId="1DA2E7F3" w:rsidR="00C4666A" w:rsidRPr="0041780A" w:rsidRDefault="00C4666A" w:rsidP="008D5ACD">
      <w:pPr>
        <w:pStyle w:val="rove2"/>
        <w:widowControl/>
        <w:spacing w:line="264" w:lineRule="auto"/>
        <w:ind w:left="567" w:hanging="567"/>
      </w:pPr>
      <w:r w:rsidRPr="0041780A">
        <w:t xml:space="preserve">V případě, že </w:t>
      </w:r>
      <w:r w:rsidR="00C0462F">
        <w:t>člen realizačního týmu</w:t>
      </w:r>
      <w:r w:rsidR="00C0462F" w:rsidRPr="0041780A">
        <w:t xml:space="preserve"> </w:t>
      </w:r>
      <w:r w:rsidRPr="0041780A">
        <w:t xml:space="preserve">neposkytne službu na základě požadavku </w:t>
      </w:r>
      <w:r w:rsidR="0070117D" w:rsidRPr="0041780A">
        <w:t>O</w:t>
      </w:r>
      <w:r w:rsidR="00F02996" w:rsidRPr="0041780A">
        <w:t>bjednat</w:t>
      </w:r>
      <w:r w:rsidRPr="0041780A">
        <w:t xml:space="preserve">ele v určené lhůtě a zároveň nedošlo k jejímu prodloužení před uplynutím lhůty, vyzve </w:t>
      </w:r>
      <w:r w:rsidR="0070117D" w:rsidRPr="0041780A">
        <w:t>O</w:t>
      </w:r>
      <w:r w:rsidR="00F02996" w:rsidRPr="0041780A">
        <w:t>bjednat</w:t>
      </w:r>
      <w:r w:rsidRPr="0041780A">
        <w:t xml:space="preserve">el </w:t>
      </w:r>
      <w:r w:rsidR="00C0462F">
        <w:t>člena realizačního týmu</w:t>
      </w:r>
      <w:r w:rsidR="00C0462F" w:rsidRPr="0041780A">
        <w:t xml:space="preserve"> </w:t>
      </w:r>
      <w:r w:rsidRPr="0041780A">
        <w:t xml:space="preserve">k okamžitému poskytnutí požadované služby, případně k poskytnutí služby v nové lhůtě určené </w:t>
      </w:r>
      <w:r w:rsidR="0070117D" w:rsidRPr="0041780A">
        <w:t>O</w:t>
      </w:r>
      <w:r w:rsidR="00F02996" w:rsidRPr="0041780A">
        <w:t>bjednat</w:t>
      </w:r>
      <w:r w:rsidRPr="0041780A">
        <w:t xml:space="preserve">elem. Pokud nedojde k okamžitému poskytnutí služby, případně k poskytnutí služby v nové lhůtě, bude </w:t>
      </w:r>
      <w:r w:rsidR="0070117D" w:rsidRPr="0041780A">
        <w:t xml:space="preserve">Poskytovateli </w:t>
      </w:r>
      <w:r w:rsidRPr="0041780A">
        <w:t xml:space="preserve">účtována smluvní pokuta předně </w:t>
      </w:r>
      <w:r w:rsidRPr="0041780A">
        <w:lastRenderedPageBreak/>
        <w:t xml:space="preserve">ve výši </w:t>
      </w:r>
      <w:r w:rsidRPr="0041780A">
        <w:rPr>
          <w:b/>
        </w:rPr>
        <w:t>0,5 % z hodnoty poptávané služby</w:t>
      </w:r>
      <w:r w:rsidR="0070117D" w:rsidRPr="0041780A">
        <w:t>,</w:t>
      </w:r>
      <w:r w:rsidRPr="0041780A">
        <w:t xml:space="preserve"> a pokud nebude možné tuto hodnotu vyčíslit</w:t>
      </w:r>
      <w:r w:rsidR="0070117D" w:rsidRPr="0041780A">
        <w:t>,</w:t>
      </w:r>
      <w:r w:rsidRPr="0041780A">
        <w:t xml:space="preserve"> ve výši </w:t>
      </w:r>
      <w:r w:rsidRPr="0041780A">
        <w:rPr>
          <w:b/>
        </w:rPr>
        <w:t>1.000 Kč za každý započatý den</w:t>
      </w:r>
      <w:r w:rsidR="0070117D" w:rsidRPr="0041780A">
        <w:rPr>
          <w:b/>
        </w:rPr>
        <w:t xml:space="preserve"> prodlení</w:t>
      </w:r>
      <w:r w:rsidRPr="0041780A">
        <w:t>.</w:t>
      </w:r>
    </w:p>
    <w:p w14:paraId="724C92EF" w14:textId="04E80E7F" w:rsidR="00A404B0" w:rsidRPr="0041780A" w:rsidRDefault="00A404B0" w:rsidP="008D5ACD">
      <w:pPr>
        <w:pStyle w:val="rove2"/>
        <w:widowControl/>
        <w:spacing w:line="264" w:lineRule="auto"/>
        <w:ind w:left="567" w:hanging="567"/>
      </w:pPr>
      <w:r w:rsidRPr="0041780A">
        <w:t>Za porušení povinnosti mlčenlivost</w:t>
      </w:r>
      <w:r w:rsidR="00EB1AA9" w:rsidRPr="0041780A">
        <w:t>i</w:t>
      </w:r>
      <w:r w:rsidRPr="0041780A">
        <w:t xml:space="preserve"> uveden</w:t>
      </w:r>
      <w:r w:rsidR="00EB1AA9" w:rsidRPr="0041780A">
        <w:t>é</w:t>
      </w:r>
      <w:r w:rsidRPr="0041780A">
        <w:t xml:space="preserve"> v čl. </w:t>
      </w:r>
      <w:r w:rsidR="00456D39">
        <w:t>11.7</w:t>
      </w:r>
      <w:r w:rsidR="0056507C" w:rsidRPr="0041780A">
        <w:t xml:space="preserve"> </w:t>
      </w:r>
      <w:r w:rsidR="00220628" w:rsidRPr="0041780A">
        <w:t xml:space="preserve">této </w:t>
      </w:r>
      <w:r w:rsidR="0018331C" w:rsidRPr="0041780A">
        <w:t>Dohody</w:t>
      </w:r>
      <w:r w:rsidRPr="0041780A">
        <w:t xml:space="preserve"> je </w:t>
      </w:r>
      <w:r w:rsidR="003733EF" w:rsidRPr="0041780A">
        <w:t>Poskytovatel</w:t>
      </w:r>
      <w:r w:rsidRPr="0041780A">
        <w:t xml:space="preserve"> povinen uhradit </w:t>
      </w:r>
      <w:r w:rsidR="003733EF" w:rsidRPr="0041780A">
        <w:t>Objednatel</w:t>
      </w:r>
      <w:r w:rsidR="0088720C" w:rsidRPr="0041780A">
        <w:t>i</w:t>
      </w:r>
      <w:r w:rsidRPr="0041780A">
        <w:t xml:space="preserve"> smluvní pokutu ve výši </w:t>
      </w:r>
      <w:r w:rsidR="006202E1">
        <w:rPr>
          <w:b/>
        </w:rPr>
        <w:t>2</w:t>
      </w:r>
      <w:r w:rsidR="00405298" w:rsidRPr="0041780A">
        <w:rPr>
          <w:b/>
        </w:rPr>
        <w:t>0</w:t>
      </w:r>
      <w:r w:rsidR="00C835C9" w:rsidRPr="0041780A">
        <w:rPr>
          <w:b/>
        </w:rPr>
        <w:t>0</w:t>
      </w:r>
      <w:r w:rsidRPr="0041780A">
        <w:rPr>
          <w:b/>
        </w:rPr>
        <w:t>.000 Kč</w:t>
      </w:r>
      <w:r w:rsidRPr="0041780A">
        <w:t xml:space="preserve">, a to za každý jednotlivý případ takového porušení povinnosti, dojde-li k uvedenému opakovaně. </w:t>
      </w:r>
    </w:p>
    <w:p w14:paraId="427A2977" w14:textId="341D2D4B" w:rsidR="007617C6" w:rsidRPr="0041780A" w:rsidRDefault="007617C6" w:rsidP="008D5ACD">
      <w:pPr>
        <w:pStyle w:val="rove2"/>
        <w:widowControl/>
        <w:spacing w:line="264" w:lineRule="auto"/>
        <w:ind w:left="567" w:hanging="567"/>
      </w:pPr>
      <w:r w:rsidRPr="0041780A">
        <w:t xml:space="preserve">Za porušení povinnosti </w:t>
      </w:r>
      <w:r w:rsidR="00456D39">
        <w:t>uvedené v čl. 7</w:t>
      </w:r>
      <w:r w:rsidRPr="0041780A">
        <w:t>.3</w:t>
      </w:r>
      <w:r w:rsidR="005611BC" w:rsidRPr="0041780A">
        <w:t xml:space="preserve"> této Dohody je Poskytovatel povinen uhradit Objednateli smluvní pokutu ve výši </w:t>
      </w:r>
      <w:r w:rsidR="006202E1">
        <w:rPr>
          <w:b/>
        </w:rPr>
        <w:t>2</w:t>
      </w:r>
      <w:r w:rsidR="00405298" w:rsidRPr="0041780A">
        <w:rPr>
          <w:b/>
        </w:rPr>
        <w:t>5</w:t>
      </w:r>
      <w:r w:rsidR="005611BC" w:rsidRPr="0041780A">
        <w:rPr>
          <w:b/>
        </w:rPr>
        <w:t>0.000 Kč</w:t>
      </w:r>
      <w:r w:rsidR="005611BC" w:rsidRPr="0041780A">
        <w:t>, a to za každý jednotlivý případ takového porušení povinnosti, dojde-li k uvedenému opakovaně.</w:t>
      </w:r>
    </w:p>
    <w:p w14:paraId="7EADBC87" w14:textId="7899A424" w:rsidR="00B22B98" w:rsidRPr="0041780A" w:rsidRDefault="007B07D8" w:rsidP="008D5ACD">
      <w:pPr>
        <w:pStyle w:val="rove2"/>
        <w:widowControl/>
        <w:spacing w:line="264" w:lineRule="auto"/>
        <w:ind w:left="567" w:hanging="567"/>
      </w:pPr>
      <w:r w:rsidRPr="0041780A">
        <w:t>S</w:t>
      </w:r>
      <w:r w:rsidR="00B22B98" w:rsidRPr="0041780A">
        <w:t xml:space="preserve">trany se dohodly, že sjednání výše uvedených smluvních pokut se nedotýká práva </w:t>
      </w:r>
      <w:r w:rsidR="003733EF" w:rsidRPr="0041780A">
        <w:t>Objednatel</w:t>
      </w:r>
      <w:r w:rsidR="0088720C" w:rsidRPr="0041780A">
        <w:t>e</w:t>
      </w:r>
      <w:r w:rsidR="00B22B98" w:rsidRPr="0041780A">
        <w:t xml:space="preserve"> domáhat se náhrady škody, která mu porušením povinností, ke kterým se smluvní pokuta vztahuje, vznikne a sjednávají tedy, že ustanovení § 2050 občanského zákoníku se na tuto </w:t>
      </w:r>
      <w:r w:rsidR="0031343E" w:rsidRPr="0041780A">
        <w:t>Dohodu</w:t>
      </w:r>
      <w:r w:rsidR="00B22B98" w:rsidRPr="0041780A">
        <w:t xml:space="preserve"> a vztahy z ní vyplývající nepoužije.  </w:t>
      </w:r>
    </w:p>
    <w:p w14:paraId="2B016D84" w14:textId="0D74C3EA" w:rsidR="00CB54BA" w:rsidRPr="0041780A" w:rsidRDefault="00CB54BA" w:rsidP="008D5ACD">
      <w:pPr>
        <w:pStyle w:val="rove2"/>
        <w:widowControl/>
        <w:spacing w:line="264" w:lineRule="auto"/>
        <w:ind w:left="567" w:hanging="567"/>
      </w:pPr>
      <w:r w:rsidRPr="0041780A">
        <w:t xml:space="preserve">Smluvní pokuty dle čl. </w:t>
      </w:r>
      <w:r w:rsidR="00456D39">
        <w:t>9</w:t>
      </w:r>
      <w:r w:rsidRPr="0041780A">
        <w:t xml:space="preserve">.1 </w:t>
      </w:r>
      <w:r w:rsidR="005611BC" w:rsidRPr="0041780A">
        <w:t>až</w:t>
      </w:r>
      <w:r w:rsidRPr="0041780A">
        <w:t xml:space="preserve"> </w:t>
      </w:r>
      <w:r w:rsidR="00456D39">
        <w:t>9</w:t>
      </w:r>
      <w:r w:rsidRPr="0041780A">
        <w:t>.</w:t>
      </w:r>
      <w:r w:rsidR="005611BC" w:rsidRPr="0041780A">
        <w:t>3</w:t>
      </w:r>
      <w:r w:rsidRPr="0041780A">
        <w:t xml:space="preserve"> této Dohody se stávají splatnými vždy dnem následujícím po dni, ve kterém na ně vznikl nárok. </w:t>
      </w:r>
    </w:p>
    <w:p w14:paraId="6A2681D9" w14:textId="021875D3" w:rsidR="00A74BF8" w:rsidRPr="0041780A" w:rsidRDefault="00B22B98" w:rsidP="008D5ACD">
      <w:pPr>
        <w:pStyle w:val="rove2"/>
        <w:widowControl/>
        <w:spacing w:line="264" w:lineRule="auto"/>
        <w:ind w:left="567" w:hanging="567"/>
      </w:pPr>
      <w:r w:rsidRPr="0041780A">
        <w:t xml:space="preserve">Nezaplatí-li </w:t>
      </w:r>
      <w:r w:rsidR="003733EF" w:rsidRPr="0041780A">
        <w:t>Objednatel</w:t>
      </w:r>
      <w:r w:rsidR="00A74BF8" w:rsidRPr="0041780A">
        <w:t xml:space="preserve"> </w:t>
      </w:r>
      <w:r w:rsidR="00FF4CA3" w:rsidRPr="0041780A">
        <w:t>jakoukoli cenu sjednanou dle této Dohody</w:t>
      </w:r>
      <w:r w:rsidR="00A74BF8" w:rsidRPr="0041780A">
        <w:t xml:space="preserve">, je povinen uhradit </w:t>
      </w:r>
      <w:r w:rsidR="003733EF" w:rsidRPr="0041780A">
        <w:t>Poskytovatel</w:t>
      </w:r>
      <w:r w:rsidR="0088720C" w:rsidRPr="0041780A">
        <w:t>i</w:t>
      </w:r>
      <w:r w:rsidR="00A74BF8" w:rsidRPr="0041780A">
        <w:t xml:space="preserve"> úrok z prodlení ve výši stanovené předpisy občanského práva.</w:t>
      </w:r>
      <w:r w:rsidRPr="0041780A">
        <w:t xml:space="preserve"> </w:t>
      </w:r>
      <w:r w:rsidR="003733EF" w:rsidRPr="0041780A">
        <w:t>Poskytovatel</w:t>
      </w:r>
      <w:r w:rsidRPr="0041780A">
        <w:t xml:space="preserve"> nemá v takovém případě nárok na náhradu další škody, která by mu prodlením </w:t>
      </w:r>
      <w:r w:rsidR="003733EF" w:rsidRPr="0041780A">
        <w:t>Objednatel</w:t>
      </w:r>
      <w:r w:rsidR="0088720C" w:rsidRPr="0041780A">
        <w:t>e</w:t>
      </w:r>
      <w:r w:rsidRPr="0041780A">
        <w:t xml:space="preserve"> s úhradou </w:t>
      </w:r>
      <w:r w:rsidR="00FF4CA3" w:rsidRPr="0041780A">
        <w:t>sjednané ceny</w:t>
      </w:r>
      <w:r w:rsidRPr="0041780A">
        <w:t xml:space="preserve"> vznikla. </w:t>
      </w:r>
    </w:p>
    <w:p w14:paraId="3F761996" w14:textId="14408840" w:rsidR="00425901" w:rsidRPr="0041780A" w:rsidRDefault="00586D9C" w:rsidP="008D5ACD">
      <w:pPr>
        <w:pStyle w:val="rove1"/>
        <w:tabs>
          <w:tab w:val="clear" w:pos="567"/>
        </w:tabs>
        <w:ind w:left="567" w:hanging="567"/>
      </w:pPr>
      <w:r w:rsidRPr="0041780A">
        <w:t>Trvání</w:t>
      </w:r>
      <w:r w:rsidR="00425901" w:rsidRPr="0041780A">
        <w:t xml:space="preserve"> dohody </w:t>
      </w:r>
    </w:p>
    <w:p w14:paraId="6B5ACCF3" w14:textId="75F86E7A" w:rsidR="00CE13CE" w:rsidRPr="0041780A" w:rsidRDefault="00CB54BA" w:rsidP="008D5ACD">
      <w:pPr>
        <w:pStyle w:val="rove2"/>
        <w:widowControl/>
        <w:spacing w:line="264" w:lineRule="auto"/>
        <w:ind w:left="567" w:hanging="567"/>
      </w:pPr>
      <w:r w:rsidRPr="0041780A">
        <w:t xml:space="preserve">Tato Dohoda je uzavírána na dobu určitou, a to od </w:t>
      </w:r>
      <w:r w:rsidR="00DA06C6" w:rsidRPr="0041780A">
        <w:t>účinnosti</w:t>
      </w:r>
      <w:r w:rsidRPr="0041780A">
        <w:t xml:space="preserve"> této Dohody na </w:t>
      </w:r>
      <w:r w:rsidRPr="008D5ACD">
        <w:rPr>
          <w:b/>
        </w:rPr>
        <w:t>4 roky</w:t>
      </w:r>
      <w:r w:rsidR="00CE13CE" w:rsidRPr="0041780A">
        <w:t xml:space="preserve">, případně do vyčerpání částky uvedené v čl. </w:t>
      </w:r>
      <w:r w:rsidR="008D5ACD">
        <w:t>4</w:t>
      </w:r>
      <w:r w:rsidR="0056507C" w:rsidRPr="0041780A">
        <w:t>.2</w:t>
      </w:r>
      <w:r w:rsidR="00CE13CE" w:rsidRPr="0041780A">
        <w:t xml:space="preserve"> této Dohody, nastane-li tato skutečnost dříve.</w:t>
      </w:r>
    </w:p>
    <w:p w14:paraId="22BA00C8" w14:textId="123E09CA" w:rsidR="00425901" w:rsidRPr="0041780A" w:rsidRDefault="00425901" w:rsidP="008D5ACD">
      <w:pPr>
        <w:pStyle w:val="rove2"/>
        <w:widowControl/>
        <w:spacing w:line="264" w:lineRule="auto"/>
        <w:ind w:left="567" w:hanging="567"/>
      </w:pPr>
      <w:r w:rsidRPr="0041780A">
        <w:t>Tuto Dohodu lze ukončit dohodou stran</w:t>
      </w:r>
      <w:r w:rsidR="00CB54BA" w:rsidRPr="0041780A">
        <w:t>, výpovědí</w:t>
      </w:r>
      <w:r w:rsidRPr="0041780A">
        <w:t xml:space="preserve"> nebo odstoupením od Dohody.</w:t>
      </w:r>
    </w:p>
    <w:p w14:paraId="4BCB67C8" w14:textId="56B326C5" w:rsidR="00CB54BA" w:rsidRPr="0041780A" w:rsidRDefault="00CB54BA" w:rsidP="008D5ACD">
      <w:pPr>
        <w:pStyle w:val="rove2"/>
        <w:widowControl/>
        <w:spacing w:line="264" w:lineRule="auto"/>
        <w:ind w:left="567" w:hanging="567"/>
      </w:pPr>
      <w:r w:rsidRPr="0041780A">
        <w:t>Obě strany jsou oprávněn</w:t>
      </w:r>
      <w:r w:rsidR="00DA06C6" w:rsidRPr="0041780A">
        <w:t>y</w:t>
      </w:r>
      <w:r w:rsidRPr="0041780A">
        <w:t xml:space="preserve"> ukončit </w:t>
      </w:r>
      <w:r w:rsidR="00DA06C6" w:rsidRPr="0041780A">
        <w:t>tuto Dohodu</w:t>
      </w:r>
      <w:r w:rsidRPr="0041780A">
        <w:t xml:space="preserve"> i bez uvedení důvodu písemnou výpovědí. Výpovědní doba činí </w:t>
      </w:r>
      <w:r w:rsidRPr="0041780A">
        <w:rPr>
          <w:b/>
        </w:rPr>
        <w:t>3 měsíce</w:t>
      </w:r>
      <w:r w:rsidRPr="0041780A">
        <w:t xml:space="preserve"> a počíná běžet prvním dnem měsíce následujícího po měsíci, </w:t>
      </w:r>
      <w:r w:rsidR="008D5ACD">
        <w:br/>
      </w:r>
      <w:r w:rsidRPr="0041780A">
        <w:t xml:space="preserve">ve kterém byla výpověď prokazatelně doručena druhé straně. Při ukončení </w:t>
      </w:r>
      <w:r w:rsidR="00DA06C6" w:rsidRPr="0041780A">
        <w:t>Dohody</w:t>
      </w:r>
      <w:r w:rsidRPr="0041780A">
        <w:t xml:space="preserve"> výpovědí nejsou strany povinny uhradit jakoukoli sankci nebo poplatek za takové ukončení </w:t>
      </w:r>
      <w:r w:rsidR="00DA06C6" w:rsidRPr="0041780A">
        <w:t>Dohody</w:t>
      </w:r>
      <w:r w:rsidRPr="0041780A">
        <w:t>.</w:t>
      </w:r>
    </w:p>
    <w:p w14:paraId="54BCB81F" w14:textId="78630D49" w:rsidR="00425901" w:rsidRPr="0041780A" w:rsidRDefault="00425901" w:rsidP="008D5ACD">
      <w:pPr>
        <w:pStyle w:val="rove2"/>
        <w:widowControl/>
        <w:spacing w:line="264" w:lineRule="auto"/>
        <w:ind w:left="567" w:hanging="567"/>
      </w:pPr>
      <w:r w:rsidRPr="0041780A">
        <w:t>Objednatel je oprávněn odstoupit od Dohody v případě, že Poskytovatel bude v prodlení s</w:t>
      </w:r>
      <w:r w:rsidR="001841A6" w:rsidRPr="0041780A">
        <w:t> </w:t>
      </w:r>
      <w:r w:rsidRPr="0041780A">
        <w:t xml:space="preserve">plněním předmětu Dohody po dobu delší než </w:t>
      </w:r>
      <w:r w:rsidRPr="0041780A">
        <w:rPr>
          <w:b/>
        </w:rPr>
        <w:t>30 dnů</w:t>
      </w:r>
      <w:r w:rsidRPr="0041780A">
        <w:t xml:space="preserve"> a bude na tuto skutečnost písemně upozorněn. Odstoupení od Dohody je účinné dnem doručení Poskytovateli.</w:t>
      </w:r>
    </w:p>
    <w:p w14:paraId="05FDDFB6" w14:textId="519649B9" w:rsidR="00456563" w:rsidRDefault="00456563" w:rsidP="008D5ACD">
      <w:pPr>
        <w:pStyle w:val="rove2"/>
        <w:widowControl/>
        <w:spacing w:line="264" w:lineRule="auto"/>
        <w:ind w:left="567" w:hanging="567"/>
      </w:pPr>
      <w:r w:rsidRPr="0041780A">
        <w:t xml:space="preserve">Objednatel je oprávněn odstoupit od Dohody v případě, že </w:t>
      </w:r>
      <w:r>
        <w:t xml:space="preserve">jej </w:t>
      </w:r>
      <w:r w:rsidRPr="0041780A">
        <w:t xml:space="preserve">Poskytovatel </w:t>
      </w:r>
      <w:r>
        <w:t xml:space="preserve">neinformuje </w:t>
      </w:r>
      <w:r>
        <w:br/>
        <w:t xml:space="preserve">o pozbytí kvalifikace člena realizačního týmu v souladu s čl. 2.2 této Dohody, </w:t>
      </w:r>
      <w:r w:rsidRPr="0041780A">
        <w:t>a bude na tuto skutečnost písemně upozorněn. Odstoupení od Dohody je účinné dnem doručení Poskytovateli.</w:t>
      </w:r>
    </w:p>
    <w:p w14:paraId="1BDAD355" w14:textId="0803D0D9" w:rsidR="00445CDB" w:rsidRPr="0041780A" w:rsidRDefault="00445CDB" w:rsidP="008D5ACD">
      <w:pPr>
        <w:pStyle w:val="rove2"/>
        <w:widowControl/>
        <w:spacing w:line="264" w:lineRule="auto"/>
        <w:ind w:left="567" w:hanging="567"/>
      </w:pPr>
      <w:r w:rsidRPr="0041780A">
        <w:t>Objednatel je oprávněn odstoupit od Dohody v případě, že Poskytovatel nezaji</w:t>
      </w:r>
      <w:r w:rsidR="007617C6" w:rsidRPr="0041780A">
        <w:t>stí</w:t>
      </w:r>
      <w:r w:rsidRPr="0041780A">
        <w:t xml:space="preserve"> adekvátního člena realizačního týmu dle čl. </w:t>
      </w:r>
      <w:r w:rsidR="00456563">
        <w:t>2.3</w:t>
      </w:r>
      <w:r w:rsidR="00405298" w:rsidRPr="0041780A">
        <w:t xml:space="preserve"> </w:t>
      </w:r>
      <w:r w:rsidRPr="0041780A">
        <w:t>této Dohody ve lhůtě, jaká byla stanovena pro prokázání kvalifikace v zadávacím řízení, na jehož základě byla uzavřena tato Dohod</w:t>
      </w:r>
      <w:r w:rsidR="007617C6" w:rsidRPr="0041780A">
        <w:t>a</w:t>
      </w:r>
      <w:r w:rsidRPr="0041780A">
        <w:t>, a bude na tuto skutečnost písemně upozorněn. Odstoupení od Dohody je účinné dnem doručení Poskytovateli.</w:t>
      </w:r>
    </w:p>
    <w:p w14:paraId="66F05154" w14:textId="77777777" w:rsidR="00425901" w:rsidRPr="0041780A" w:rsidRDefault="00425901" w:rsidP="008D5ACD">
      <w:pPr>
        <w:pStyle w:val="rove2"/>
        <w:widowControl/>
        <w:spacing w:line="264" w:lineRule="auto"/>
        <w:ind w:left="567" w:hanging="567"/>
      </w:pPr>
      <w:r w:rsidRPr="0041780A">
        <w:t xml:space="preserve">Poskytovatel je oprávněn odstoupit od Dohody v případě, že Objednatel bude v prodlení s kteroukoliv platbou nebo její částí po dobu delší než </w:t>
      </w:r>
      <w:r w:rsidRPr="0041780A">
        <w:rPr>
          <w:b/>
        </w:rPr>
        <w:t>30 dnů</w:t>
      </w:r>
      <w:r w:rsidRPr="0041780A">
        <w:t xml:space="preserve"> od data její splatnosti a bude na tuto skutečnost písemně upozorněn.</w:t>
      </w:r>
    </w:p>
    <w:p w14:paraId="2BD34FCF" w14:textId="79BBAF9A" w:rsidR="00425901" w:rsidRPr="0041780A" w:rsidRDefault="00425901" w:rsidP="008D5ACD">
      <w:pPr>
        <w:pStyle w:val="rove2"/>
        <w:widowControl/>
        <w:spacing w:line="264" w:lineRule="auto"/>
        <w:ind w:left="567" w:hanging="567"/>
      </w:pPr>
      <w:r w:rsidRPr="0041780A">
        <w:t>Každá ze stran je oprávněna od Dohody písemně odstoupit, jestliže druhá strana závažným způsobem poruší ustanovení této Dohody.</w:t>
      </w:r>
    </w:p>
    <w:p w14:paraId="625056F1" w14:textId="77777777" w:rsidR="00996772" w:rsidRPr="0041780A" w:rsidRDefault="00996772" w:rsidP="008D5ACD">
      <w:pPr>
        <w:pStyle w:val="rove1"/>
        <w:tabs>
          <w:tab w:val="clear" w:pos="567"/>
        </w:tabs>
        <w:ind w:left="567" w:hanging="567"/>
      </w:pPr>
      <w:r w:rsidRPr="0041780A">
        <w:lastRenderedPageBreak/>
        <w:t>závěrečná ustanovení</w:t>
      </w:r>
    </w:p>
    <w:p w14:paraId="3F245815" w14:textId="1AF9CACF" w:rsidR="00A74BF8" w:rsidRPr="0041780A" w:rsidRDefault="00A74BF8" w:rsidP="008D5ACD">
      <w:pPr>
        <w:pStyle w:val="rove2"/>
        <w:widowControl/>
        <w:spacing w:line="264" w:lineRule="auto"/>
        <w:ind w:left="567" w:hanging="567"/>
      </w:pPr>
      <w:r w:rsidRPr="0041780A">
        <w:t xml:space="preserve">Vztahy, které nejsou v této </w:t>
      </w:r>
      <w:r w:rsidR="00A61923" w:rsidRPr="0041780A">
        <w:t>Dohodě</w:t>
      </w:r>
      <w:r w:rsidRPr="0041780A">
        <w:t xml:space="preserve"> zvlášť upraveny, se řídí právním řádem České republiky, zejména </w:t>
      </w:r>
      <w:r w:rsidR="00EB1AA9" w:rsidRPr="0041780A">
        <w:t>občanským zákoníkem</w:t>
      </w:r>
      <w:r w:rsidR="00F02996" w:rsidRPr="0041780A">
        <w:t xml:space="preserve"> a zákonem o advokacii</w:t>
      </w:r>
      <w:r w:rsidR="00B22B98" w:rsidRPr="0041780A">
        <w:t xml:space="preserve">, </w:t>
      </w:r>
      <w:r w:rsidR="008E4A72" w:rsidRPr="0041780A">
        <w:t>nedohodly</w:t>
      </w:r>
      <w:r w:rsidR="00B22B98" w:rsidRPr="0041780A">
        <w:t>-li se strany jinak.</w:t>
      </w:r>
    </w:p>
    <w:p w14:paraId="5FA2CFC4" w14:textId="03DC914A" w:rsidR="00A74BF8" w:rsidRPr="0041780A" w:rsidRDefault="003733EF" w:rsidP="008D5ACD">
      <w:pPr>
        <w:pStyle w:val="rove2"/>
        <w:widowControl/>
        <w:spacing w:line="264" w:lineRule="auto"/>
        <w:ind w:left="567" w:hanging="567"/>
      </w:pPr>
      <w:r w:rsidRPr="0041780A">
        <w:t>Poskytovatel</w:t>
      </w:r>
      <w:r w:rsidR="00A74BF8" w:rsidRPr="0041780A">
        <w:t xml:space="preserve"> je podle § 2 písm. e) zákona č. 320/2001 Sb., o finanční kontrole ve veřejné správě a</w:t>
      </w:r>
      <w:r w:rsidR="00337F02" w:rsidRPr="0041780A">
        <w:t> </w:t>
      </w:r>
      <w:r w:rsidR="00A74BF8" w:rsidRPr="0041780A">
        <w:t>o změně některých zákonů</w:t>
      </w:r>
      <w:r w:rsidR="00EB1AA9" w:rsidRPr="0041780A">
        <w:t>,</w:t>
      </w:r>
      <w:r w:rsidR="00A74BF8" w:rsidRPr="0041780A">
        <w:t xml:space="preserve"> v</w:t>
      </w:r>
      <w:r w:rsidR="008D5ACD">
        <w:t>e znění pozdějších předpisů</w:t>
      </w:r>
      <w:r w:rsidR="00A74BF8" w:rsidRPr="0041780A">
        <w:t>, osobou povinnou spolupůsobit při výkonu finanční kontroly prováděné v souvislosti s úhradou zboží</w:t>
      </w:r>
      <w:r w:rsidR="000F4FE3" w:rsidRPr="0041780A">
        <w:t xml:space="preserve"> nebo služeb z veřejných výdajů, a</w:t>
      </w:r>
      <w:r w:rsidR="00337F02" w:rsidRPr="0041780A">
        <w:t> </w:t>
      </w:r>
      <w:r w:rsidR="000F4FE3" w:rsidRPr="0041780A">
        <w:t>zavazuje se v tomto ohledu poskytnout veškerou potřebnou součinnost.</w:t>
      </w:r>
    </w:p>
    <w:p w14:paraId="04097470" w14:textId="057C4D04" w:rsidR="00A74BF8" w:rsidRPr="0041780A" w:rsidRDefault="003733EF" w:rsidP="008D5ACD">
      <w:pPr>
        <w:pStyle w:val="rove2"/>
        <w:widowControl/>
        <w:spacing w:line="264" w:lineRule="auto"/>
        <w:ind w:left="567" w:hanging="567"/>
      </w:pPr>
      <w:r w:rsidRPr="0041780A">
        <w:t>Poskytovatel</w:t>
      </w:r>
      <w:r w:rsidR="000F4FE3" w:rsidRPr="0041780A">
        <w:t xml:space="preserve"> bere na vědomí, že </w:t>
      </w:r>
      <w:r w:rsidRPr="0041780A">
        <w:t>Objednatel</w:t>
      </w:r>
      <w:r w:rsidR="00A74BF8" w:rsidRPr="0041780A">
        <w:t xml:space="preserve"> je povinným sub</w:t>
      </w:r>
      <w:r w:rsidR="00A61923" w:rsidRPr="0041780A">
        <w:t>jektem podle zákona č. 106/1999</w:t>
      </w:r>
      <w:r w:rsidR="00A74BF8" w:rsidRPr="0041780A">
        <w:t>Sb., o</w:t>
      </w:r>
      <w:r w:rsidR="00337F02" w:rsidRPr="0041780A">
        <w:t> </w:t>
      </w:r>
      <w:r w:rsidR="00A74BF8" w:rsidRPr="0041780A">
        <w:t xml:space="preserve">svobodném přístupu k informacím, </w:t>
      </w:r>
      <w:r w:rsidR="00EB1AA9" w:rsidRPr="0041780A">
        <w:t>v účinném znění</w:t>
      </w:r>
      <w:r w:rsidR="000F4FE3" w:rsidRPr="0041780A">
        <w:t xml:space="preserve">, a tato </w:t>
      </w:r>
      <w:r w:rsidRPr="0041780A">
        <w:t>Dohoda</w:t>
      </w:r>
      <w:r w:rsidR="00A74BF8" w:rsidRPr="0041780A">
        <w:t>, popř. její část, může být předmětem poskytování informací.</w:t>
      </w:r>
    </w:p>
    <w:p w14:paraId="79C4A52E" w14:textId="45E4043D" w:rsidR="00A74BF8" w:rsidRPr="0041780A" w:rsidRDefault="003733EF" w:rsidP="008D5ACD">
      <w:pPr>
        <w:pStyle w:val="rove2"/>
        <w:widowControl/>
        <w:spacing w:line="264" w:lineRule="auto"/>
        <w:ind w:left="567" w:hanging="567"/>
      </w:pPr>
      <w:r w:rsidRPr="0041780A">
        <w:t>Poskytovatel</w:t>
      </w:r>
      <w:r w:rsidR="00A74BF8" w:rsidRPr="0041780A">
        <w:t xml:space="preserve"> si v době uzavření této </w:t>
      </w:r>
      <w:r w:rsidR="0018331C" w:rsidRPr="0041780A">
        <w:t>Dohody</w:t>
      </w:r>
      <w:r w:rsidR="00A74BF8" w:rsidRPr="0041780A">
        <w:t xml:space="preserve"> není vědom žádných okolností, které by zakládaly možný střet zájmů, nebo které by mu zabraňova</w:t>
      </w:r>
      <w:r w:rsidR="000F4FE3" w:rsidRPr="0041780A">
        <w:t xml:space="preserve">ly plnit povinnosti podle této </w:t>
      </w:r>
      <w:r w:rsidR="0018331C" w:rsidRPr="0041780A">
        <w:t>Dohody</w:t>
      </w:r>
      <w:r w:rsidR="00A74BF8" w:rsidRPr="0041780A">
        <w:t>.</w:t>
      </w:r>
    </w:p>
    <w:p w14:paraId="0801D445" w14:textId="4F0D6750" w:rsidR="00A74BF8" w:rsidRPr="0041780A" w:rsidRDefault="003733EF" w:rsidP="008D5ACD">
      <w:pPr>
        <w:pStyle w:val="rove2"/>
        <w:widowControl/>
        <w:spacing w:line="264" w:lineRule="auto"/>
        <w:ind w:left="567" w:hanging="567"/>
      </w:pPr>
      <w:r w:rsidRPr="0041780A">
        <w:t>Poskytovatel</w:t>
      </w:r>
      <w:r w:rsidR="00A74BF8" w:rsidRPr="0041780A">
        <w:t xml:space="preserve"> je povinen řádně uchovávat veškeré originály účetních dokladů a originály dalších doku</w:t>
      </w:r>
      <w:r w:rsidR="000F4FE3" w:rsidRPr="0041780A">
        <w:t xml:space="preserve">mentů souvisejících s činností </w:t>
      </w:r>
      <w:r w:rsidRPr="0041780A">
        <w:t>Poskytovatel</w:t>
      </w:r>
      <w:r w:rsidR="0018331C" w:rsidRPr="0041780A">
        <w:t>e</w:t>
      </w:r>
      <w:r w:rsidR="00A74BF8" w:rsidRPr="0041780A">
        <w:t>. Účetní doklady budou uchovány způsobem uvedeným v zákoně č</w:t>
      </w:r>
      <w:r w:rsidR="00EB1AA9" w:rsidRPr="0041780A">
        <w:t xml:space="preserve">. 563/1991 Sb., o účetnictví, </w:t>
      </w:r>
      <w:r w:rsidR="008D5ACD" w:rsidRPr="0041780A">
        <w:t>v</w:t>
      </w:r>
      <w:r w:rsidR="008D5ACD">
        <w:t>e znění pozdějších předpisů</w:t>
      </w:r>
      <w:r w:rsidR="00A74BF8" w:rsidRPr="0041780A">
        <w:t>.</w:t>
      </w:r>
    </w:p>
    <w:p w14:paraId="2426AFEE" w14:textId="50413E9B" w:rsidR="002B473E" w:rsidRPr="0041780A" w:rsidRDefault="002B473E" w:rsidP="008D5ACD">
      <w:pPr>
        <w:pStyle w:val="rove2"/>
        <w:ind w:left="567" w:hanging="567"/>
        <w:rPr>
          <w:b/>
        </w:rPr>
      </w:pPr>
      <w:r w:rsidRPr="0041780A">
        <w:t xml:space="preserve">Poskytovatel je povinen dokumenty související s realizací </w:t>
      </w:r>
      <w:r w:rsidR="00A63430" w:rsidRPr="0041780A">
        <w:t>předmětu plnění</w:t>
      </w:r>
      <w:r w:rsidRPr="0041780A">
        <w:t xml:space="preserve"> uchovávat po dobu 10 let od jejího finančního ukončení, zároveň však alespoň do 31. 12. 2026, a to zejména pro účely případné kontroly oprávněnými kontrolními orgány</w:t>
      </w:r>
      <w:r w:rsidR="00AE7A22" w:rsidRPr="0041780A">
        <w:t xml:space="preserve"> nebo třetími osobami, které tyto orgány ke kontrole pověří nebo zmocní</w:t>
      </w:r>
      <w:r w:rsidRPr="0041780A">
        <w:t xml:space="preserve"> </w:t>
      </w:r>
      <w:r w:rsidR="00A63430" w:rsidRPr="0041780A">
        <w:t>(</w:t>
      </w:r>
      <w:r w:rsidR="00AE7A22" w:rsidRPr="0041780A">
        <w:t xml:space="preserve">např. </w:t>
      </w:r>
      <w:r w:rsidRPr="0041780A">
        <w:t>Ministerstv</w:t>
      </w:r>
      <w:r w:rsidR="00AE7A22" w:rsidRPr="0041780A">
        <w:t>o</w:t>
      </w:r>
      <w:r w:rsidRPr="0041780A">
        <w:t xml:space="preserve"> životního prostředí, Ministerstv</w:t>
      </w:r>
      <w:r w:rsidR="00AE7A22" w:rsidRPr="0041780A">
        <w:t>o</w:t>
      </w:r>
      <w:r w:rsidRPr="0041780A">
        <w:t xml:space="preserve"> financí ČR, Evropsk</w:t>
      </w:r>
      <w:r w:rsidR="00AE7A22" w:rsidRPr="0041780A">
        <w:t>á</w:t>
      </w:r>
      <w:r w:rsidRPr="0041780A">
        <w:t xml:space="preserve"> komise, Evropsk</w:t>
      </w:r>
      <w:r w:rsidR="00AE7A22" w:rsidRPr="0041780A">
        <w:t>ý</w:t>
      </w:r>
      <w:r w:rsidRPr="0041780A">
        <w:t xml:space="preserve"> účetní dv</w:t>
      </w:r>
      <w:r w:rsidR="00AE7A22" w:rsidRPr="0041780A">
        <w:t>ůr atd.).</w:t>
      </w:r>
      <w:r w:rsidRPr="0041780A">
        <w:t xml:space="preserve"> </w:t>
      </w:r>
    </w:p>
    <w:p w14:paraId="2AF787C8" w14:textId="2D620A81" w:rsidR="002B473E" w:rsidRPr="0041780A" w:rsidRDefault="002B473E" w:rsidP="008D5ACD">
      <w:pPr>
        <w:pStyle w:val="rove2"/>
        <w:widowControl/>
        <w:spacing w:line="264" w:lineRule="auto"/>
        <w:ind w:left="567" w:hanging="567"/>
      </w:pPr>
      <w:r w:rsidRPr="0041780A">
        <w:t xml:space="preserve">Poskytovatel se zavazuje zachovávat mlčenlivost o všech skutečnostech, o nichž se dozvěděl v souvislosti s poskytováním právní služby. Pokud Poskytovatel pověří provedením jednotlivých činností dle této Dohody jinou osobu, zavazuje se zavázat mlčenlivostí rovněž tuto osobu. </w:t>
      </w:r>
    </w:p>
    <w:p w14:paraId="49390699" w14:textId="77373443" w:rsidR="00A74BF8" w:rsidRPr="0041780A" w:rsidRDefault="000F4FE3" w:rsidP="008D5ACD">
      <w:pPr>
        <w:pStyle w:val="rove2"/>
        <w:widowControl/>
        <w:spacing w:line="264" w:lineRule="auto"/>
        <w:ind w:left="567" w:hanging="567"/>
      </w:pPr>
      <w:r w:rsidRPr="0041780A">
        <w:t xml:space="preserve">Nebude-li dohodnuto jinak, je </w:t>
      </w:r>
      <w:r w:rsidR="003733EF" w:rsidRPr="0041780A">
        <w:t>Poskytovatel</w:t>
      </w:r>
      <w:r w:rsidR="00A74BF8" w:rsidRPr="0041780A">
        <w:t xml:space="preserve"> povin</w:t>
      </w:r>
      <w:r w:rsidR="008D5ACD">
        <w:t xml:space="preserve">en předkládat veškeré materiály </w:t>
      </w:r>
      <w:r w:rsidR="00A74BF8" w:rsidRPr="0041780A">
        <w:t>a</w:t>
      </w:r>
      <w:r w:rsidR="00337F02" w:rsidRPr="0041780A">
        <w:t> </w:t>
      </w:r>
      <w:r w:rsidR="00A74BF8" w:rsidRPr="0041780A">
        <w:t>korespondenci v českém jazyce.</w:t>
      </w:r>
    </w:p>
    <w:p w14:paraId="2BBF09E1" w14:textId="246B8BEB" w:rsidR="00A74BF8" w:rsidRPr="0041780A" w:rsidRDefault="00A74BF8" w:rsidP="008D5ACD">
      <w:pPr>
        <w:pStyle w:val="rove2"/>
        <w:widowControl/>
        <w:spacing w:line="264" w:lineRule="auto"/>
        <w:ind w:left="567" w:hanging="567"/>
      </w:pPr>
      <w:r w:rsidRPr="0041780A">
        <w:t xml:space="preserve">Veškeré případné spory vzniklé na základě uzavřené </w:t>
      </w:r>
      <w:r w:rsidR="0018331C" w:rsidRPr="0041780A">
        <w:t>Dohody</w:t>
      </w:r>
      <w:r w:rsidRPr="0041780A">
        <w:t xml:space="preserve"> budou ře</w:t>
      </w:r>
      <w:r w:rsidR="000F4FE3" w:rsidRPr="0041780A">
        <w:t xml:space="preserve">šeny primárně smírným jednáním </w:t>
      </w:r>
      <w:r w:rsidR="003733EF" w:rsidRPr="0041780A">
        <w:t>Objednatel</w:t>
      </w:r>
      <w:r w:rsidR="0018331C" w:rsidRPr="0041780A">
        <w:t>e</w:t>
      </w:r>
      <w:r w:rsidR="000F4FE3" w:rsidRPr="0041780A">
        <w:t xml:space="preserve"> a </w:t>
      </w:r>
      <w:r w:rsidR="003733EF" w:rsidRPr="0041780A">
        <w:t>Poskytovatel</w:t>
      </w:r>
      <w:r w:rsidR="0018331C" w:rsidRPr="0041780A">
        <w:t>e</w:t>
      </w:r>
      <w:r w:rsidRPr="0041780A">
        <w:t>, v případě přetrvávající neshody pak před soudy České republiky.</w:t>
      </w:r>
    </w:p>
    <w:p w14:paraId="5AEABE99" w14:textId="16973024" w:rsidR="00A74BF8" w:rsidRPr="0041780A" w:rsidRDefault="00A74BF8" w:rsidP="008D5ACD">
      <w:pPr>
        <w:pStyle w:val="rove2"/>
        <w:widowControl/>
        <w:spacing w:line="264" w:lineRule="auto"/>
        <w:ind w:left="567" w:hanging="567"/>
      </w:pPr>
      <w:r w:rsidRPr="0041780A">
        <w:t xml:space="preserve">Tato </w:t>
      </w:r>
      <w:r w:rsidR="003733EF" w:rsidRPr="0041780A">
        <w:t>Dohoda</w:t>
      </w:r>
      <w:r w:rsidRPr="0041780A">
        <w:t xml:space="preserve"> může být měněna nebo doplňována jen písemnými dodatky, číslovanými ve</w:t>
      </w:r>
      <w:r w:rsidR="001841A6" w:rsidRPr="0041780A">
        <w:t> </w:t>
      </w:r>
      <w:r w:rsidRPr="0041780A">
        <w:t xml:space="preserve">vzestupné řadě a podepsanými oprávněnými osobami. Ustanovení předcházející věty se neuplatní na změny </w:t>
      </w:r>
      <w:r w:rsidR="000F4FE3" w:rsidRPr="0041780A">
        <w:t xml:space="preserve">kontaktních </w:t>
      </w:r>
      <w:r w:rsidRPr="0041780A">
        <w:t xml:space="preserve">osob uvedených </w:t>
      </w:r>
      <w:r w:rsidR="000F4FE3" w:rsidRPr="0041780A">
        <w:t xml:space="preserve">v záhlaví této </w:t>
      </w:r>
      <w:r w:rsidR="0018331C" w:rsidRPr="0041780A">
        <w:t>Dohody</w:t>
      </w:r>
      <w:r w:rsidR="000F4FE3" w:rsidRPr="0041780A">
        <w:t>, kdy p</w:t>
      </w:r>
      <w:r w:rsidRPr="0041780A">
        <w:t xml:space="preserve">řípadná změna těchto osob bude řešena písemným oznámením druhé </w:t>
      </w:r>
      <w:r w:rsidR="009E3E41" w:rsidRPr="0041780A">
        <w:t>straně Dohody</w:t>
      </w:r>
      <w:r w:rsidRPr="0041780A">
        <w:t xml:space="preserve"> na její </w:t>
      </w:r>
      <w:r w:rsidR="00EB1AA9" w:rsidRPr="0041780A">
        <w:t xml:space="preserve">adresu uvedenou v záhlaví této </w:t>
      </w:r>
      <w:r w:rsidR="0018331C" w:rsidRPr="0041780A">
        <w:t>Dohody</w:t>
      </w:r>
      <w:r w:rsidR="000F4FE3" w:rsidRPr="0041780A">
        <w:t>, případně prostřednictvím elektronických prostředků</w:t>
      </w:r>
      <w:r w:rsidRPr="0041780A">
        <w:t>.</w:t>
      </w:r>
    </w:p>
    <w:p w14:paraId="7A9EE6D2" w14:textId="01AAD78B" w:rsidR="00A74BF8" w:rsidRPr="0041780A" w:rsidRDefault="00A74BF8" w:rsidP="008D5ACD">
      <w:pPr>
        <w:pStyle w:val="rove2"/>
        <w:widowControl/>
        <w:spacing w:line="264" w:lineRule="auto"/>
        <w:ind w:left="567" w:hanging="567"/>
      </w:pPr>
      <w:r w:rsidRPr="0041780A">
        <w:t>Stane</w:t>
      </w:r>
      <w:r w:rsidR="00EB1AA9" w:rsidRPr="0041780A">
        <w:t xml:space="preserve">-li se některé ustanovení této </w:t>
      </w:r>
      <w:r w:rsidR="0018331C" w:rsidRPr="0041780A">
        <w:t>Dohody</w:t>
      </w:r>
      <w:r w:rsidRPr="0041780A">
        <w:t xml:space="preserve"> neúčinné, nedotýká s</w:t>
      </w:r>
      <w:r w:rsidR="00EB1AA9" w:rsidRPr="0041780A">
        <w:t xml:space="preserve">e to ostatních ustanovení této </w:t>
      </w:r>
      <w:r w:rsidR="0018331C" w:rsidRPr="0041780A">
        <w:t>Dohody</w:t>
      </w:r>
      <w:r w:rsidRPr="0041780A">
        <w:t>, k</w:t>
      </w:r>
      <w:r w:rsidR="009E3E41" w:rsidRPr="0041780A">
        <w:t>terá zůstávají platná a účinná. Strany Dohody</w:t>
      </w:r>
      <w:r w:rsidRPr="0041780A">
        <w:t xml:space="preserve">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78742385" w14:textId="573A9E7A" w:rsidR="00A74BF8" w:rsidRPr="0041780A" w:rsidRDefault="000F4FE3" w:rsidP="008D5ACD">
      <w:pPr>
        <w:pStyle w:val="rove2"/>
        <w:widowControl/>
        <w:spacing w:line="264" w:lineRule="auto"/>
        <w:ind w:left="567" w:hanging="567"/>
      </w:pPr>
      <w:r w:rsidRPr="0041780A">
        <w:t xml:space="preserve">Tato </w:t>
      </w:r>
      <w:r w:rsidR="003733EF" w:rsidRPr="0041780A">
        <w:t>Dohoda</w:t>
      </w:r>
      <w:r w:rsidR="00A74BF8" w:rsidRPr="0041780A">
        <w:t xml:space="preserve"> je vytvořena ve třech stejnop</w:t>
      </w:r>
      <w:r w:rsidRPr="0041780A">
        <w:t xml:space="preserve">isech, z nichž </w:t>
      </w:r>
      <w:r w:rsidR="003733EF" w:rsidRPr="0041780A">
        <w:t>Poskytovatel</w:t>
      </w:r>
      <w:r w:rsidRPr="0041780A">
        <w:t xml:space="preserve"> obdrží jedno vyhotovení a</w:t>
      </w:r>
      <w:r w:rsidR="004C184B" w:rsidRPr="0041780A">
        <w:t> </w:t>
      </w:r>
      <w:r w:rsidR="003733EF" w:rsidRPr="0041780A">
        <w:t>Objednatel</w:t>
      </w:r>
      <w:r w:rsidR="00A74BF8" w:rsidRPr="0041780A">
        <w:t xml:space="preserve"> dvě vyhotovení.</w:t>
      </w:r>
    </w:p>
    <w:p w14:paraId="1A839B2E" w14:textId="23485E9B" w:rsidR="00F8550F" w:rsidRPr="0041780A" w:rsidRDefault="003733EF" w:rsidP="008D5ACD">
      <w:pPr>
        <w:pStyle w:val="rove2"/>
        <w:widowControl/>
        <w:spacing w:line="264" w:lineRule="auto"/>
        <w:ind w:left="567" w:hanging="567"/>
      </w:pPr>
      <w:r w:rsidRPr="0041780A">
        <w:t>Dohoda</w:t>
      </w:r>
      <w:r w:rsidR="00A74BF8" w:rsidRPr="0041780A">
        <w:t xml:space="preserve"> nabývá platnosti </w:t>
      </w:r>
      <w:r w:rsidR="000F4FE3" w:rsidRPr="0041780A">
        <w:t xml:space="preserve">a účinnosti dnem podpisu oběma </w:t>
      </w:r>
      <w:r w:rsidR="00A74BF8" w:rsidRPr="0041780A">
        <w:t>stranami.</w:t>
      </w:r>
      <w:r w:rsidR="000F4FE3" w:rsidRPr="0041780A">
        <w:t xml:space="preserve"> Uveřejnění </w:t>
      </w:r>
      <w:r w:rsidR="0018331C" w:rsidRPr="0041780A">
        <w:t>Dohody</w:t>
      </w:r>
      <w:r w:rsidR="000F4FE3" w:rsidRPr="0041780A">
        <w:t xml:space="preserve"> v souladu se zákonem č. 340/2015 Sb., o zvláštních podmínkách účinnosti některých smluv, uveřejňování těchto smluv a o registru smluv (zákon o registru smluv), zajistí </w:t>
      </w:r>
      <w:r w:rsidRPr="0041780A">
        <w:t>Objednatel</w:t>
      </w:r>
      <w:r w:rsidR="000F4FE3" w:rsidRPr="0041780A">
        <w:t>.</w:t>
      </w:r>
    </w:p>
    <w:p w14:paraId="45E502E9" w14:textId="235C341F" w:rsidR="00F40EBA" w:rsidRPr="0041780A" w:rsidRDefault="009E3E41" w:rsidP="008D5ACD">
      <w:pPr>
        <w:pStyle w:val="rove2"/>
        <w:spacing w:line="264" w:lineRule="auto"/>
        <w:ind w:left="567" w:hanging="567"/>
      </w:pPr>
      <w:r w:rsidRPr="0041780A">
        <w:lastRenderedPageBreak/>
        <w:t>Strany uzavírající Dohodu</w:t>
      </w:r>
      <w:r w:rsidR="00876681" w:rsidRPr="0041780A">
        <w:t xml:space="preserve"> prohlašují, že s obsahem </w:t>
      </w:r>
      <w:r w:rsidR="0018331C" w:rsidRPr="0041780A">
        <w:t>Dohody</w:t>
      </w:r>
      <w:r w:rsidR="00876681" w:rsidRPr="0041780A">
        <w:t xml:space="preserve"> souhlasí, že </w:t>
      </w:r>
      <w:r w:rsidR="0018331C" w:rsidRPr="0041780A">
        <w:t>Dohodu</w:t>
      </w:r>
      <w:r w:rsidR="00876681" w:rsidRPr="0041780A">
        <w:t xml:space="preserve"> uzavřely na základě své svobodné a vážné vůle, a že nebyla uzavřena v tísni ani za nápadně nevýhodných podmínek. Obsah </w:t>
      </w:r>
      <w:r w:rsidR="0018331C" w:rsidRPr="0041780A">
        <w:t>Dohody</w:t>
      </w:r>
      <w:r w:rsidR="00876681" w:rsidRPr="0041780A">
        <w:t xml:space="preserve"> považují </w:t>
      </w:r>
      <w:r w:rsidRPr="0041780A">
        <w:t>její</w:t>
      </w:r>
      <w:r w:rsidR="00876681" w:rsidRPr="0041780A">
        <w:t xml:space="preserve"> strany za určitý a srozumitelný. Na základě těchto skutečnosti připojují své podpisy. </w:t>
      </w:r>
    </w:p>
    <w:p w14:paraId="7DAD7E41" w14:textId="77777777" w:rsidR="00920AD4" w:rsidRPr="0041780A" w:rsidRDefault="00920AD4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03D18D1C" w14:textId="306B4986" w:rsidR="00574B7A" w:rsidRPr="0041780A" w:rsidRDefault="00574B7A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  <w:r w:rsidRPr="0041780A">
        <w:rPr>
          <w:rFonts w:ascii="Segoe UI" w:hAnsi="Segoe UI" w:cs="Segoe UI"/>
          <w:i w:val="0"/>
        </w:rPr>
        <w:t>V </w:t>
      </w:r>
      <w:r w:rsidR="00F779F6">
        <w:rPr>
          <w:rFonts w:ascii="Segoe UI" w:hAnsi="Segoe UI" w:cs="Segoe UI"/>
          <w:i w:val="0"/>
        </w:rPr>
        <w:t>Praze</w:t>
      </w:r>
      <w:r w:rsidR="00266CEB" w:rsidRPr="0041780A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41780A">
        <w:rPr>
          <w:rFonts w:ascii="Segoe UI" w:hAnsi="Segoe UI" w:cs="Segoe UI"/>
          <w:i w:val="0"/>
        </w:rPr>
        <w:t xml:space="preserve">dne </w:t>
      </w:r>
      <w:r w:rsidRPr="0041780A">
        <w:rPr>
          <w:rFonts w:ascii="Segoe UI" w:hAnsi="Segoe UI" w:cs="Segoe UI"/>
          <w:i w:val="0"/>
        </w:rPr>
        <w:tab/>
      </w:r>
      <w:r w:rsidRPr="0041780A">
        <w:rPr>
          <w:rFonts w:ascii="Segoe UI" w:hAnsi="Segoe UI" w:cs="Segoe UI"/>
          <w:i w:val="0"/>
        </w:rPr>
        <w:tab/>
        <w:t>V Praze dne</w:t>
      </w:r>
      <w:r w:rsidRPr="0041780A">
        <w:rPr>
          <w:rFonts w:ascii="Segoe UI" w:hAnsi="Segoe UI" w:cs="Segoe UI"/>
          <w:i w:val="0"/>
        </w:rPr>
        <w:tab/>
      </w:r>
    </w:p>
    <w:p w14:paraId="191F2AA4" w14:textId="77777777" w:rsidR="00574B7A" w:rsidRPr="0041780A" w:rsidRDefault="00574B7A" w:rsidP="00C3132D">
      <w:pPr>
        <w:tabs>
          <w:tab w:val="left" w:leader="dot" w:pos="3969"/>
          <w:tab w:val="left" w:pos="5103"/>
          <w:tab w:val="right" w:leader="dot" w:pos="9072"/>
        </w:tabs>
        <w:spacing w:before="960" w:line="264" w:lineRule="auto"/>
        <w:rPr>
          <w:rFonts w:ascii="Segoe UI" w:hAnsi="Segoe UI" w:cs="Segoe UI"/>
          <w:i w:val="0"/>
        </w:rPr>
      </w:pPr>
      <w:r w:rsidRPr="0041780A">
        <w:rPr>
          <w:rFonts w:ascii="Segoe UI" w:hAnsi="Segoe UI" w:cs="Segoe UI"/>
          <w:i w:val="0"/>
        </w:rPr>
        <w:tab/>
      </w:r>
      <w:r w:rsidRPr="0041780A">
        <w:rPr>
          <w:rFonts w:ascii="Segoe UI" w:hAnsi="Segoe UI" w:cs="Segoe UI"/>
          <w:i w:val="0"/>
        </w:rPr>
        <w:tab/>
      </w:r>
      <w:r w:rsidRPr="0041780A">
        <w:rPr>
          <w:rFonts w:ascii="Segoe UI" w:hAnsi="Segoe UI" w:cs="Segoe UI"/>
          <w:i w:val="0"/>
        </w:rPr>
        <w:tab/>
      </w:r>
    </w:p>
    <w:p w14:paraId="5BB38348" w14:textId="2DDDBD18" w:rsidR="00CE28B3" w:rsidRPr="0041780A" w:rsidRDefault="003733EF" w:rsidP="00165C32">
      <w:pPr>
        <w:pStyle w:val="Podpis-tabulator9"/>
        <w:spacing w:line="264" w:lineRule="auto"/>
        <w:rPr>
          <w:rFonts w:ascii="Segoe UI" w:hAnsi="Segoe UI" w:cs="Segoe UI"/>
          <w:szCs w:val="20"/>
        </w:rPr>
      </w:pPr>
      <w:r w:rsidRPr="0041780A">
        <w:rPr>
          <w:rFonts w:ascii="Segoe UI" w:hAnsi="Segoe UI" w:cs="Segoe UI"/>
          <w:szCs w:val="20"/>
        </w:rPr>
        <w:t>Poskytovatel</w:t>
      </w:r>
      <w:r w:rsidR="00574B7A" w:rsidRPr="0041780A">
        <w:rPr>
          <w:rFonts w:ascii="Segoe UI" w:hAnsi="Segoe UI" w:cs="Segoe UI"/>
        </w:rPr>
        <w:tab/>
      </w:r>
      <w:r w:rsidRPr="0041780A">
        <w:rPr>
          <w:rFonts w:ascii="Segoe UI" w:hAnsi="Segoe UI" w:cs="Segoe UI"/>
          <w:szCs w:val="20"/>
        </w:rPr>
        <w:t>Objednatel</w:t>
      </w:r>
    </w:p>
    <w:p w14:paraId="30FF809B" w14:textId="1A2A727D" w:rsidR="00CE7334" w:rsidRDefault="00CE7334" w:rsidP="00165C32">
      <w:pPr>
        <w:pStyle w:val="Podpis-tabulator9"/>
        <w:spacing w:line="264" w:lineRule="auto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PELIKÁN KROFTA KOHOUTEK</w:t>
      </w:r>
      <w:r>
        <w:rPr>
          <w:rFonts w:ascii="Segoe UI" w:hAnsi="Segoe UI" w:cs="Segoe UI"/>
          <w:b/>
          <w:szCs w:val="20"/>
        </w:rPr>
        <w:tab/>
      </w:r>
      <w:r w:rsidRPr="0041780A">
        <w:rPr>
          <w:rFonts w:ascii="Segoe UI" w:hAnsi="Segoe UI" w:cs="Segoe UI"/>
          <w:b/>
          <w:szCs w:val="20"/>
        </w:rPr>
        <w:t>Státní fond životního prostředí ČR</w:t>
      </w:r>
    </w:p>
    <w:p w14:paraId="10C059B8" w14:textId="4985D1B1" w:rsidR="00CE28B3" w:rsidRPr="0041780A" w:rsidRDefault="00CE7334" w:rsidP="00165C32">
      <w:pPr>
        <w:pStyle w:val="Podpis-tabulator9"/>
        <w:spacing w:line="264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b/>
          <w:szCs w:val="20"/>
        </w:rPr>
        <w:t>advokátní kancelář s. r. o.</w:t>
      </w:r>
      <w:r w:rsidR="00574B7A" w:rsidRPr="0041780A">
        <w:rPr>
          <w:rFonts w:ascii="Segoe UI" w:hAnsi="Segoe UI" w:cs="Segoe UI"/>
          <w:szCs w:val="20"/>
        </w:rPr>
        <w:tab/>
      </w:r>
      <w:r w:rsidRPr="0041780A">
        <w:rPr>
          <w:rFonts w:ascii="Segoe UI" w:hAnsi="Segoe UI" w:cs="Segoe UI"/>
          <w:szCs w:val="20"/>
        </w:rPr>
        <w:t>Ing. Petr Valdman</w:t>
      </w:r>
    </w:p>
    <w:p w14:paraId="3E3EA549" w14:textId="26482644" w:rsidR="003D0326" w:rsidRPr="0041780A" w:rsidRDefault="00E60E0A" w:rsidP="00165C32">
      <w:pPr>
        <w:pStyle w:val="Podpis-tabulator9"/>
        <w:spacing w:line="264" w:lineRule="auto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szCs w:val="20"/>
        </w:rPr>
        <w:t xml:space="preserve">Mgr. </w:t>
      </w:r>
      <w:r w:rsidR="00CE7334">
        <w:rPr>
          <w:rFonts w:ascii="Segoe UI" w:hAnsi="Segoe UI" w:cs="Segoe UI"/>
          <w:szCs w:val="20"/>
        </w:rPr>
        <w:t>Matěj Vácha</w:t>
      </w:r>
      <w:r w:rsidR="00574B7A" w:rsidRPr="0041780A">
        <w:rPr>
          <w:rFonts w:ascii="Segoe UI" w:hAnsi="Segoe UI" w:cs="Segoe UI"/>
          <w:szCs w:val="20"/>
        </w:rPr>
        <w:tab/>
      </w:r>
      <w:r w:rsidR="00CE7334" w:rsidRPr="0041780A">
        <w:rPr>
          <w:rFonts w:ascii="Segoe UI" w:hAnsi="Segoe UI" w:cs="Segoe UI"/>
          <w:szCs w:val="20"/>
        </w:rPr>
        <w:t>ředitel SFŽP ČR</w:t>
      </w:r>
    </w:p>
    <w:p w14:paraId="6F4C4015" w14:textId="38F0B5A0" w:rsidR="00574434" w:rsidRPr="00CE7334" w:rsidRDefault="00E60E0A" w:rsidP="00CE7334">
      <w:pPr>
        <w:pStyle w:val="Podpis-tabulator9"/>
        <w:spacing w:line="264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jednatel</w:t>
      </w:r>
      <w:r w:rsidR="003D0326" w:rsidRPr="0041780A">
        <w:rPr>
          <w:rFonts w:ascii="Segoe UI" w:hAnsi="Segoe UI" w:cs="Segoe UI"/>
        </w:rPr>
        <w:tab/>
      </w:r>
    </w:p>
    <w:sectPr w:rsidR="00574434" w:rsidRPr="00CE7334" w:rsidSect="00A2506C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7E9FD9" w15:done="0"/>
  <w15:commentEx w15:paraId="0B9D1CDD" w15:done="0"/>
  <w15:commentEx w15:paraId="468332E6" w15:done="0"/>
  <w15:commentEx w15:paraId="7318D96C" w15:done="0"/>
  <w15:commentEx w15:paraId="4D1D6FC3" w15:done="0"/>
  <w15:commentEx w15:paraId="09E70C99" w15:done="0"/>
  <w15:commentEx w15:paraId="1440AE28" w15:done="0"/>
  <w15:commentEx w15:paraId="612926D8" w15:done="0"/>
  <w15:commentEx w15:paraId="2F73FFF3" w15:done="0"/>
  <w15:commentEx w15:paraId="11A156E0" w15:done="0"/>
  <w15:commentEx w15:paraId="75D873B3" w15:done="0"/>
  <w15:commentEx w15:paraId="75C9F9C3" w15:done="0"/>
  <w15:commentEx w15:paraId="7685870C" w15:done="0"/>
  <w15:commentEx w15:paraId="45CBDF65" w15:done="0"/>
  <w15:commentEx w15:paraId="2AAFD2CE" w15:done="0"/>
  <w15:commentEx w15:paraId="409FB74D" w15:paraIdParent="2AAFD2CE" w15:done="0"/>
  <w15:commentEx w15:paraId="002260F7" w15:done="0"/>
  <w15:commentEx w15:paraId="2CCFAF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D1A2D" w14:textId="77777777" w:rsidR="00C02154" w:rsidRDefault="00C02154">
      <w:r>
        <w:separator/>
      </w:r>
    </w:p>
  </w:endnote>
  <w:endnote w:type="continuationSeparator" w:id="0">
    <w:p w14:paraId="4B155037" w14:textId="77777777" w:rsidR="00C02154" w:rsidRDefault="00C0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CE9AC" w14:textId="77777777" w:rsidR="004A7A76" w:rsidRPr="004D7E86" w:rsidRDefault="004A7A76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7E2915B4" w:rsidR="004A7A76" w:rsidRPr="00165C32" w:rsidRDefault="00FE1E95" w:rsidP="00474F7E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>
      <w:rPr>
        <w:rFonts w:ascii="Segoe UI" w:hAnsi="Segoe UI" w:cs="Segoe UI"/>
        <w:i w:val="0"/>
        <w:color w:val="73767D"/>
        <w:sz w:val="16"/>
        <w:szCs w:val="16"/>
      </w:rPr>
      <w:t>Rámcová dohoda o poskytování právních služeb</w:t>
    </w:r>
    <w:r>
      <w:rPr>
        <w:noProof/>
      </w:rPr>
      <w:t xml:space="preserve"> </w:t>
    </w:r>
    <w:r w:rsidR="00BB6C25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74A87FB1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ED5847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8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ED5847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8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49.55pt;margin-top:801.65pt;width:70.85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" filled="f" stroked="f">
              <v:textbox inset="0,0,0,0">
                <w:txbxContent>
                  <w:p w14:paraId="1A6E620E" w14:textId="74A87FB1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ED5847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8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ED5847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8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FBE3B" w14:textId="3BA86BE1" w:rsidR="008D0B56" w:rsidRPr="00A2506C" w:rsidRDefault="00FE1E95" w:rsidP="007607AB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>
      <w:rPr>
        <w:rFonts w:ascii="Segoe UI" w:hAnsi="Segoe UI" w:cs="Segoe UI"/>
        <w:i w:val="0"/>
        <w:color w:val="73767D"/>
        <w:sz w:val="16"/>
        <w:szCs w:val="16"/>
      </w:rPr>
      <w:t>Rámcová dohoda o poskytování právních služeb</w:t>
    </w:r>
    <w:r w:rsidR="00BB6C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AC9BEA2" wp14:editId="28A343D7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F8EF0" w14:textId="7F379006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ED5847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ED5847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8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4.7pt;margin-top:802.2pt;width:70.85pt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" filled="f" stroked="f">
              <v:textbox inset="0,0,0,0">
                <w:txbxContent>
                  <w:p w14:paraId="7F3F8EF0" w14:textId="7F379006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ED5847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ED5847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8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B658C" w14:textId="77777777" w:rsidR="00C02154" w:rsidRDefault="00C02154">
      <w:r>
        <w:separator/>
      </w:r>
    </w:p>
  </w:footnote>
  <w:footnote w:type="continuationSeparator" w:id="0">
    <w:p w14:paraId="23636DE3" w14:textId="77777777" w:rsidR="00C02154" w:rsidRDefault="00C02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B9C6B" w14:textId="77777777" w:rsidR="00CA4ED6" w:rsidRDefault="00BB6C25">
    <w:pPr>
      <w:pStyle w:val="Zhlav"/>
    </w:pPr>
    <w:r>
      <w:rPr>
        <w:noProof/>
      </w:rPr>
      <w:drawing>
        <wp:inline distT="0" distB="0" distL="0" distR="0" wp14:anchorId="3103F7F3" wp14:editId="004BE62B">
          <wp:extent cx="5591175" cy="495300"/>
          <wp:effectExtent l="0" t="0" r="9525" b="0"/>
          <wp:docPr id="1" name="obrázek 1" descr="OPŽP a NZÚ -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ŽP a NZÚ -ES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2">
    <w:nsid w:val="20FD50BC"/>
    <w:multiLevelType w:val="hybridMultilevel"/>
    <w:tmpl w:val="1C2C2B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F76BD"/>
    <w:multiLevelType w:val="multilevel"/>
    <w:tmpl w:val="AEDA7192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432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AA280A"/>
    <w:multiLevelType w:val="multilevel"/>
    <w:tmpl w:val="95DCA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 Rambousek">
    <w15:presenceInfo w15:providerId="Windows Live" w15:userId="e264a4c5575d29cf"/>
  </w15:person>
  <w15:person w15:author="Surmova Romana">
    <w15:presenceInfo w15:providerId="AD" w15:userId="S-1-5-21-3495061673-1769009616-800704109-6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D9"/>
    <w:rsid w:val="0000158B"/>
    <w:rsid w:val="00001BBE"/>
    <w:rsid w:val="000033CD"/>
    <w:rsid w:val="0000782B"/>
    <w:rsid w:val="00010ACC"/>
    <w:rsid w:val="00012412"/>
    <w:rsid w:val="0001569C"/>
    <w:rsid w:val="000158B1"/>
    <w:rsid w:val="0001683B"/>
    <w:rsid w:val="00024C76"/>
    <w:rsid w:val="00030778"/>
    <w:rsid w:val="00030A17"/>
    <w:rsid w:val="000320F2"/>
    <w:rsid w:val="00032415"/>
    <w:rsid w:val="00032CB8"/>
    <w:rsid w:val="00034786"/>
    <w:rsid w:val="00034EF7"/>
    <w:rsid w:val="00034F5F"/>
    <w:rsid w:val="000356E4"/>
    <w:rsid w:val="00036718"/>
    <w:rsid w:val="00040CA8"/>
    <w:rsid w:val="000431B1"/>
    <w:rsid w:val="000500E8"/>
    <w:rsid w:val="00052536"/>
    <w:rsid w:val="00052AC9"/>
    <w:rsid w:val="00054CF5"/>
    <w:rsid w:val="00055282"/>
    <w:rsid w:val="000564CC"/>
    <w:rsid w:val="00056ACF"/>
    <w:rsid w:val="00064491"/>
    <w:rsid w:val="00065033"/>
    <w:rsid w:val="00066CAF"/>
    <w:rsid w:val="00067711"/>
    <w:rsid w:val="000741B1"/>
    <w:rsid w:val="000766E0"/>
    <w:rsid w:val="000773E6"/>
    <w:rsid w:val="0008003C"/>
    <w:rsid w:val="00083167"/>
    <w:rsid w:val="00085970"/>
    <w:rsid w:val="00085AAE"/>
    <w:rsid w:val="00090ED6"/>
    <w:rsid w:val="00090FFB"/>
    <w:rsid w:val="00094094"/>
    <w:rsid w:val="00097279"/>
    <w:rsid w:val="000A07AE"/>
    <w:rsid w:val="000A1F0C"/>
    <w:rsid w:val="000A27AF"/>
    <w:rsid w:val="000A2A3F"/>
    <w:rsid w:val="000A303A"/>
    <w:rsid w:val="000A402E"/>
    <w:rsid w:val="000A5204"/>
    <w:rsid w:val="000B1854"/>
    <w:rsid w:val="000B306B"/>
    <w:rsid w:val="000B4274"/>
    <w:rsid w:val="000B698C"/>
    <w:rsid w:val="000B70D1"/>
    <w:rsid w:val="000C0031"/>
    <w:rsid w:val="000C1604"/>
    <w:rsid w:val="000C3CA0"/>
    <w:rsid w:val="000C4E30"/>
    <w:rsid w:val="000D05D1"/>
    <w:rsid w:val="000D1802"/>
    <w:rsid w:val="000D3A01"/>
    <w:rsid w:val="000D4261"/>
    <w:rsid w:val="000D483F"/>
    <w:rsid w:val="000E1A96"/>
    <w:rsid w:val="000E1DD6"/>
    <w:rsid w:val="000E428C"/>
    <w:rsid w:val="000E449A"/>
    <w:rsid w:val="000E63A3"/>
    <w:rsid w:val="000E63BE"/>
    <w:rsid w:val="000F07B1"/>
    <w:rsid w:val="000F4C4E"/>
    <w:rsid w:val="000F4FE3"/>
    <w:rsid w:val="000F50A2"/>
    <w:rsid w:val="00103474"/>
    <w:rsid w:val="00103B6E"/>
    <w:rsid w:val="001040E0"/>
    <w:rsid w:val="00110C13"/>
    <w:rsid w:val="00115F73"/>
    <w:rsid w:val="00120CDC"/>
    <w:rsid w:val="0012480A"/>
    <w:rsid w:val="0012560F"/>
    <w:rsid w:val="00130D11"/>
    <w:rsid w:val="0013161A"/>
    <w:rsid w:val="0013558B"/>
    <w:rsid w:val="0013634E"/>
    <w:rsid w:val="00137DFF"/>
    <w:rsid w:val="0014114F"/>
    <w:rsid w:val="00141A50"/>
    <w:rsid w:val="00152911"/>
    <w:rsid w:val="00152A5A"/>
    <w:rsid w:val="00155EF4"/>
    <w:rsid w:val="00157EAB"/>
    <w:rsid w:val="001620CF"/>
    <w:rsid w:val="00165C32"/>
    <w:rsid w:val="0016744A"/>
    <w:rsid w:val="0017066A"/>
    <w:rsid w:val="001707B7"/>
    <w:rsid w:val="00172159"/>
    <w:rsid w:val="00172540"/>
    <w:rsid w:val="00175012"/>
    <w:rsid w:val="001775CC"/>
    <w:rsid w:val="001812B1"/>
    <w:rsid w:val="0018331C"/>
    <w:rsid w:val="001841A6"/>
    <w:rsid w:val="00184DAE"/>
    <w:rsid w:val="001904E1"/>
    <w:rsid w:val="00191030"/>
    <w:rsid w:val="0019152D"/>
    <w:rsid w:val="0019235A"/>
    <w:rsid w:val="001925DB"/>
    <w:rsid w:val="0019574D"/>
    <w:rsid w:val="00195AA9"/>
    <w:rsid w:val="00196A46"/>
    <w:rsid w:val="001A1ED0"/>
    <w:rsid w:val="001A3454"/>
    <w:rsid w:val="001A4155"/>
    <w:rsid w:val="001A474A"/>
    <w:rsid w:val="001A61A8"/>
    <w:rsid w:val="001A7223"/>
    <w:rsid w:val="001B1840"/>
    <w:rsid w:val="001B1878"/>
    <w:rsid w:val="001B36C0"/>
    <w:rsid w:val="001B4D78"/>
    <w:rsid w:val="001B4E8D"/>
    <w:rsid w:val="001B5015"/>
    <w:rsid w:val="001C128D"/>
    <w:rsid w:val="001C4D5B"/>
    <w:rsid w:val="001C4DEB"/>
    <w:rsid w:val="001D6766"/>
    <w:rsid w:val="001E03A3"/>
    <w:rsid w:val="001E366A"/>
    <w:rsid w:val="001E4189"/>
    <w:rsid w:val="001E45AA"/>
    <w:rsid w:val="001E6E2E"/>
    <w:rsid w:val="001E6E5F"/>
    <w:rsid w:val="001E7F51"/>
    <w:rsid w:val="001F1E82"/>
    <w:rsid w:val="00203B09"/>
    <w:rsid w:val="00206131"/>
    <w:rsid w:val="00206C94"/>
    <w:rsid w:val="00210B10"/>
    <w:rsid w:val="00212F2B"/>
    <w:rsid w:val="00213F28"/>
    <w:rsid w:val="0021683E"/>
    <w:rsid w:val="002170B5"/>
    <w:rsid w:val="00220628"/>
    <w:rsid w:val="00221741"/>
    <w:rsid w:val="0022349E"/>
    <w:rsid w:val="00224FF6"/>
    <w:rsid w:val="00225346"/>
    <w:rsid w:val="002271E0"/>
    <w:rsid w:val="00230D80"/>
    <w:rsid w:val="00231635"/>
    <w:rsid w:val="00236566"/>
    <w:rsid w:val="00240A0F"/>
    <w:rsid w:val="00240E92"/>
    <w:rsid w:val="002421C8"/>
    <w:rsid w:val="00242695"/>
    <w:rsid w:val="002474C8"/>
    <w:rsid w:val="00253F4E"/>
    <w:rsid w:val="00253FEC"/>
    <w:rsid w:val="00254039"/>
    <w:rsid w:val="00256A5E"/>
    <w:rsid w:val="00256D01"/>
    <w:rsid w:val="002601BB"/>
    <w:rsid w:val="00260F66"/>
    <w:rsid w:val="0026175B"/>
    <w:rsid w:val="002622A7"/>
    <w:rsid w:val="00264200"/>
    <w:rsid w:val="0026486D"/>
    <w:rsid w:val="00266ADC"/>
    <w:rsid w:val="00266CEB"/>
    <w:rsid w:val="00270CF8"/>
    <w:rsid w:val="00275D59"/>
    <w:rsid w:val="002764E1"/>
    <w:rsid w:val="00280F6F"/>
    <w:rsid w:val="002814E0"/>
    <w:rsid w:val="00284176"/>
    <w:rsid w:val="00285219"/>
    <w:rsid w:val="0028539A"/>
    <w:rsid w:val="00286A44"/>
    <w:rsid w:val="00287622"/>
    <w:rsid w:val="00292057"/>
    <w:rsid w:val="00297A32"/>
    <w:rsid w:val="002A14BA"/>
    <w:rsid w:val="002A28F2"/>
    <w:rsid w:val="002A3D07"/>
    <w:rsid w:val="002A679E"/>
    <w:rsid w:val="002A78C2"/>
    <w:rsid w:val="002B2315"/>
    <w:rsid w:val="002B473E"/>
    <w:rsid w:val="002C0308"/>
    <w:rsid w:val="002C204B"/>
    <w:rsid w:val="002C4EBB"/>
    <w:rsid w:val="002C782E"/>
    <w:rsid w:val="002D184F"/>
    <w:rsid w:val="002D4E20"/>
    <w:rsid w:val="002D5500"/>
    <w:rsid w:val="002D7EA3"/>
    <w:rsid w:val="002E0198"/>
    <w:rsid w:val="002E49C6"/>
    <w:rsid w:val="002E5B6C"/>
    <w:rsid w:val="002E67D9"/>
    <w:rsid w:val="002F1EF8"/>
    <w:rsid w:val="002F20E7"/>
    <w:rsid w:val="002F318B"/>
    <w:rsid w:val="00301A92"/>
    <w:rsid w:val="00305263"/>
    <w:rsid w:val="00307C6F"/>
    <w:rsid w:val="00307E76"/>
    <w:rsid w:val="003129C8"/>
    <w:rsid w:val="00312A91"/>
    <w:rsid w:val="0031343E"/>
    <w:rsid w:val="0031511C"/>
    <w:rsid w:val="00315D82"/>
    <w:rsid w:val="00316C5E"/>
    <w:rsid w:val="003202AF"/>
    <w:rsid w:val="00325E12"/>
    <w:rsid w:val="003278D4"/>
    <w:rsid w:val="00332D0C"/>
    <w:rsid w:val="0033522A"/>
    <w:rsid w:val="003362EA"/>
    <w:rsid w:val="00337997"/>
    <w:rsid w:val="00337F02"/>
    <w:rsid w:val="00340028"/>
    <w:rsid w:val="0034198E"/>
    <w:rsid w:val="00341B15"/>
    <w:rsid w:val="00343081"/>
    <w:rsid w:val="00344181"/>
    <w:rsid w:val="0035064C"/>
    <w:rsid w:val="003524CC"/>
    <w:rsid w:val="00354B37"/>
    <w:rsid w:val="00365F6C"/>
    <w:rsid w:val="00366B37"/>
    <w:rsid w:val="0037272D"/>
    <w:rsid w:val="00372A33"/>
    <w:rsid w:val="00372E00"/>
    <w:rsid w:val="00372E41"/>
    <w:rsid w:val="003733EF"/>
    <w:rsid w:val="00377474"/>
    <w:rsid w:val="00380C50"/>
    <w:rsid w:val="00380ECD"/>
    <w:rsid w:val="003911CA"/>
    <w:rsid w:val="00392F92"/>
    <w:rsid w:val="00394A55"/>
    <w:rsid w:val="00394C4E"/>
    <w:rsid w:val="00395C8B"/>
    <w:rsid w:val="003A1E3F"/>
    <w:rsid w:val="003B1682"/>
    <w:rsid w:val="003B2A12"/>
    <w:rsid w:val="003B3BB2"/>
    <w:rsid w:val="003B48D9"/>
    <w:rsid w:val="003C2158"/>
    <w:rsid w:val="003C2D87"/>
    <w:rsid w:val="003C68DF"/>
    <w:rsid w:val="003D0326"/>
    <w:rsid w:val="003D0416"/>
    <w:rsid w:val="003D3CC9"/>
    <w:rsid w:val="003D50F0"/>
    <w:rsid w:val="003D5167"/>
    <w:rsid w:val="003D7DA3"/>
    <w:rsid w:val="003E12F1"/>
    <w:rsid w:val="003E440C"/>
    <w:rsid w:val="003E60BB"/>
    <w:rsid w:val="003E7F27"/>
    <w:rsid w:val="003F1D0C"/>
    <w:rsid w:val="003F30E4"/>
    <w:rsid w:val="003F5C2A"/>
    <w:rsid w:val="003F6601"/>
    <w:rsid w:val="004000D8"/>
    <w:rsid w:val="00401B0D"/>
    <w:rsid w:val="00403A14"/>
    <w:rsid w:val="00405108"/>
    <w:rsid w:val="00405298"/>
    <w:rsid w:val="004055F1"/>
    <w:rsid w:val="00407A10"/>
    <w:rsid w:val="00410F4B"/>
    <w:rsid w:val="00413C95"/>
    <w:rsid w:val="004145F8"/>
    <w:rsid w:val="004157A9"/>
    <w:rsid w:val="00416890"/>
    <w:rsid w:val="0041780A"/>
    <w:rsid w:val="0042319A"/>
    <w:rsid w:val="00425901"/>
    <w:rsid w:val="004273A1"/>
    <w:rsid w:val="004301C5"/>
    <w:rsid w:val="00434396"/>
    <w:rsid w:val="00436DC9"/>
    <w:rsid w:val="00440BD2"/>
    <w:rsid w:val="00441ECC"/>
    <w:rsid w:val="004429C5"/>
    <w:rsid w:val="00443508"/>
    <w:rsid w:val="00445CDB"/>
    <w:rsid w:val="00451679"/>
    <w:rsid w:val="0045556C"/>
    <w:rsid w:val="00456563"/>
    <w:rsid w:val="00456D39"/>
    <w:rsid w:val="0045790C"/>
    <w:rsid w:val="00460C5B"/>
    <w:rsid w:val="0046238F"/>
    <w:rsid w:val="004636FF"/>
    <w:rsid w:val="004650C9"/>
    <w:rsid w:val="0047114C"/>
    <w:rsid w:val="00472D6D"/>
    <w:rsid w:val="00473418"/>
    <w:rsid w:val="00474F7E"/>
    <w:rsid w:val="0047608A"/>
    <w:rsid w:val="00476353"/>
    <w:rsid w:val="00482695"/>
    <w:rsid w:val="00486CFF"/>
    <w:rsid w:val="00486E8E"/>
    <w:rsid w:val="00491539"/>
    <w:rsid w:val="00493389"/>
    <w:rsid w:val="00493EA6"/>
    <w:rsid w:val="004A0B7A"/>
    <w:rsid w:val="004A347A"/>
    <w:rsid w:val="004A3651"/>
    <w:rsid w:val="004A7A76"/>
    <w:rsid w:val="004B0EA9"/>
    <w:rsid w:val="004B3EF2"/>
    <w:rsid w:val="004B6564"/>
    <w:rsid w:val="004C184B"/>
    <w:rsid w:val="004C34A5"/>
    <w:rsid w:val="004C5E20"/>
    <w:rsid w:val="004C6781"/>
    <w:rsid w:val="004C7F83"/>
    <w:rsid w:val="004D1278"/>
    <w:rsid w:val="004D1469"/>
    <w:rsid w:val="004D1FB5"/>
    <w:rsid w:val="004D46ED"/>
    <w:rsid w:val="004D60BE"/>
    <w:rsid w:val="004D6AC6"/>
    <w:rsid w:val="004D71F9"/>
    <w:rsid w:val="004D7E86"/>
    <w:rsid w:val="004E0E5A"/>
    <w:rsid w:val="004E46AB"/>
    <w:rsid w:val="004E6F2D"/>
    <w:rsid w:val="004F271E"/>
    <w:rsid w:val="004F2BDB"/>
    <w:rsid w:val="004F3111"/>
    <w:rsid w:val="004F4317"/>
    <w:rsid w:val="004F4628"/>
    <w:rsid w:val="004F4936"/>
    <w:rsid w:val="004F4D7D"/>
    <w:rsid w:val="00501CD0"/>
    <w:rsid w:val="0050280F"/>
    <w:rsid w:val="00504418"/>
    <w:rsid w:val="00507FEE"/>
    <w:rsid w:val="00511F15"/>
    <w:rsid w:val="00517F51"/>
    <w:rsid w:val="00520029"/>
    <w:rsid w:val="00521714"/>
    <w:rsid w:val="005222AD"/>
    <w:rsid w:val="00523320"/>
    <w:rsid w:val="00524663"/>
    <w:rsid w:val="00526A0B"/>
    <w:rsid w:val="005314B0"/>
    <w:rsid w:val="00533292"/>
    <w:rsid w:val="00535E97"/>
    <w:rsid w:val="00536E72"/>
    <w:rsid w:val="00537225"/>
    <w:rsid w:val="00541926"/>
    <w:rsid w:val="00544F07"/>
    <w:rsid w:val="0054564E"/>
    <w:rsid w:val="005459B4"/>
    <w:rsid w:val="0054754C"/>
    <w:rsid w:val="0055022E"/>
    <w:rsid w:val="005508AE"/>
    <w:rsid w:val="00550A6A"/>
    <w:rsid w:val="00553635"/>
    <w:rsid w:val="0055464E"/>
    <w:rsid w:val="0055604B"/>
    <w:rsid w:val="00556323"/>
    <w:rsid w:val="00556863"/>
    <w:rsid w:val="0056060A"/>
    <w:rsid w:val="0056065B"/>
    <w:rsid w:val="005611BC"/>
    <w:rsid w:val="005621C9"/>
    <w:rsid w:val="00563075"/>
    <w:rsid w:val="0056507C"/>
    <w:rsid w:val="005659BD"/>
    <w:rsid w:val="00565C58"/>
    <w:rsid w:val="00570CBE"/>
    <w:rsid w:val="00571D54"/>
    <w:rsid w:val="00573507"/>
    <w:rsid w:val="00574434"/>
    <w:rsid w:val="00574B7A"/>
    <w:rsid w:val="00577CCB"/>
    <w:rsid w:val="00586D9C"/>
    <w:rsid w:val="00590DBB"/>
    <w:rsid w:val="005912BA"/>
    <w:rsid w:val="00594756"/>
    <w:rsid w:val="00597D7C"/>
    <w:rsid w:val="005A0945"/>
    <w:rsid w:val="005A0CC7"/>
    <w:rsid w:val="005A237C"/>
    <w:rsid w:val="005A6E84"/>
    <w:rsid w:val="005A7294"/>
    <w:rsid w:val="005B3E57"/>
    <w:rsid w:val="005B4FFC"/>
    <w:rsid w:val="005B64A5"/>
    <w:rsid w:val="005C18AF"/>
    <w:rsid w:val="005C31E1"/>
    <w:rsid w:val="005C3A91"/>
    <w:rsid w:val="005C7610"/>
    <w:rsid w:val="005C7ABF"/>
    <w:rsid w:val="005D1371"/>
    <w:rsid w:val="005D57BB"/>
    <w:rsid w:val="005D6A73"/>
    <w:rsid w:val="005D6AA7"/>
    <w:rsid w:val="005E29CE"/>
    <w:rsid w:val="005E319F"/>
    <w:rsid w:val="005E45EB"/>
    <w:rsid w:val="005E6351"/>
    <w:rsid w:val="005E7463"/>
    <w:rsid w:val="005F1677"/>
    <w:rsid w:val="005F7046"/>
    <w:rsid w:val="0060092D"/>
    <w:rsid w:val="00600C27"/>
    <w:rsid w:val="00602898"/>
    <w:rsid w:val="006051D3"/>
    <w:rsid w:val="00606C7C"/>
    <w:rsid w:val="00611A96"/>
    <w:rsid w:val="00611B67"/>
    <w:rsid w:val="00611D16"/>
    <w:rsid w:val="00613940"/>
    <w:rsid w:val="006173C5"/>
    <w:rsid w:val="006202E1"/>
    <w:rsid w:val="0062236D"/>
    <w:rsid w:val="006231E9"/>
    <w:rsid w:val="006248AF"/>
    <w:rsid w:val="00630617"/>
    <w:rsid w:val="00631EB3"/>
    <w:rsid w:val="00632C7F"/>
    <w:rsid w:val="00632EFE"/>
    <w:rsid w:val="00633D05"/>
    <w:rsid w:val="006358C8"/>
    <w:rsid w:val="00635C17"/>
    <w:rsid w:val="006437B2"/>
    <w:rsid w:val="00644091"/>
    <w:rsid w:val="006445ED"/>
    <w:rsid w:val="0064688F"/>
    <w:rsid w:val="00647844"/>
    <w:rsid w:val="006478D5"/>
    <w:rsid w:val="00652AFF"/>
    <w:rsid w:val="00660C76"/>
    <w:rsid w:val="006622D0"/>
    <w:rsid w:val="006625BD"/>
    <w:rsid w:val="00664954"/>
    <w:rsid w:val="00665F05"/>
    <w:rsid w:val="00670C2E"/>
    <w:rsid w:val="00673817"/>
    <w:rsid w:val="0068304D"/>
    <w:rsid w:val="0069046B"/>
    <w:rsid w:val="006931E3"/>
    <w:rsid w:val="00693B54"/>
    <w:rsid w:val="00696C82"/>
    <w:rsid w:val="006A0ED1"/>
    <w:rsid w:val="006A1CEA"/>
    <w:rsid w:val="006A2D73"/>
    <w:rsid w:val="006A43D6"/>
    <w:rsid w:val="006A57CB"/>
    <w:rsid w:val="006A5996"/>
    <w:rsid w:val="006A65EA"/>
    <w:rsid w:val="006A6F30"/>
    <w:rsid w:val="006B196E"/>
    <w:rsid w:val="006B6E5C"/>
    <w:rsid w:val="006C1B4C"/>
    <w:rsid w:val="006C225C"/>
    <w:rsid w:val="006C6E47"/>
    <w:rsid w:val="006D0CF0"/>
    <w:rsid w:val="006D2011"/>
    <w:rsid w:val="006D2AFF"/>
    <w:rsid w:val="006D5587"/>
    <w:rsid w:val="006D63E5"/>
    <w:rsid w:val="006D7BC9"/>
    <w:rsid w:val="006E02B1"/>
    <w:rsid w:val="006E09B3"/>
    <w:rsid w:val="006E1584"/>
    <w:rsid w:val="006E4E05"/>
    <w:rsid w:val="006F2F56"/>
    <w:rsid w:val="006F307D"/>
    <w:rsid w:val="0070117D"/>
    <w:rsid w:val="00704750"/>
    <w:rsid w:val="007063A3"/>
    <w:rsid w:val="00710BBE"/>
    <w:rsid w:val="007131D0"/>
    <w:rsid w:val="00713A9C"/>
    <w:rsid w:val="00715BDA"/>
    <w:rsid w:val="00723450"/>
    <w:rsid w:val="00723C8F"/>
    <w:rsid w:val="00730E63"/>
    <w:rsid w:val="0073199F"/>
    <w:rsid w:val="00731B96"/>
    <w:rsid w:val="0073217F"/>
    <w:rsid w:val="00733FFB"/>
    <w:rsid w:val="00734DB9"/>
    <w:rsid w:val="007361B4"/>
    <w:rsid w:val="00750A11"/>
    <w:rsid w:val="00750B14"/>
    <w:rsid w:val="007538F1"/>
    <w:rsid w:val="0075567A"/>
    <w:rsid w:val="0076001A"/>
    <w:rsid w:val="0076009F"/>
    <w:rsid w:val="007607AB"/>
    <w:rsid w:val="00761691"/>
    <w:rsid w:val="007617C6"/>
    <w:rsid w:val="00762DB5"/>
    <w:rsid w:val="00765482"/>
    <w:rsid w:val="00765585"/>
    <w:rsid w:val="007742DC"/>
    <w:rsid w:val="00775C51"/>
    <w:rsid w:val="00777581"/>
    <w:rsid w:val="0078257C"/>
    <w:rsid w:val="00791638"/>
    <w:rsid w:val="007933B5"/>
    <w:rsid w:val="007A1128"/>
    <w:rsid w:val="007A2B74"/>
    <w:rsid w:val="007A2FF9"/>
    <w:rsid w:val="007B07D8"/>
    <w:rsid w:val="007C0E88"/>
    <w:rsid w:val="007C12BF"/>
    <w:rsid w:val="007C6BAC"/>
    <w:rsid w:val="007C7477"/>
    <w:rsid w:val="007D2988"/>
    <w:rsid w:val="007D36A1"/>
    <w:rsid w:val="007D43D8"/>
    <w:rsid w:val="007E1E96"/>
    <w:rsid w:val="007E1FA5"/>
    <w:rsid w:val="007E2AAC"/>
    <w:rsid w:val="007E49C6"/>
    <w:rsid w:val="007E77B4"/>
    <w:rsid w:val="007F3A00"/>
    <w:rsid w:val="0080066B"/>
    <w:rsid w:val="00800FA2"/>
    <w:rsid w:val="00803888"/>
    <w:rsid w:val="008065DF"/>
    <w:rsid w:val="0080690A"/>
    <w:rsid w:val="008130D8"/>
    <w:rsid w:val="0081416B"/>
    <w:rsid w:val="00816030"/>
    <w:rsid w:val="00821E77"/>
    <w:rsid w:val="00826F36"/>
    <w:rsid w:val="00832D6E"/>
    <w:rsid w:val="00833A05"/>
    <w:rsid w:val="00833DEB"/>
    <w:rsid w:val="00834D5C"/>
    <w:rsid w:val="008356C4"/>
    <w:rsid w:val="0083585C"/>
    <w:rsid w:val="008365F8"/>
    <w:rsid w:val="00836AD7"/>
    <w:rsid w:val="00840BCF"/>
    <w:rsid w:val="0084257D"/>
    <w:rsid w:val="00843A43"/>
    <w:rsid w:val="00845225"/>
    <w:rsid w:val="00852ED0"/>
    <w:rsid w:val="00855322"/>
    <w:rsid w:val="00856C99"/>
    <w:rsid w:val="008608F5"/>
    <w:rsid w:val="00862CAC"/>
    <w:rsid w:val="00866AD6"/>
    <w:rsid w:val="00866FBD"/>
    <w:rsid w:val="00872523"/>
    <w:rsid w:val="00873A69"/>
    <w:rsid w:val="00875DC3"/>
    <w:rsid w:val="00876681"/>
    <w:rsid w:val="00877818"/>
    <w:rsid w:val="00881F58"/>
    <w:rsid w:val="008837A1"/>
    <w:rsid w:val="00883C02"/>
    <w:rsid w:val="00886656"/>
    <w:rsid w:val="008866EB"/>
    <w:rsid w:val="0088720C"/>
    <w:rsid w:val="00890DD8"/>
    <w:rsid w:val="008910B6"/>
    <w:rsid w:val="00893767"/>
    <w:rsid w:val="00894291"/>
    <w:rsid w:val="008A4599"/>
    <w:rsid w:val="008B0A0A"/>
    <w:rsid w:val="008B10F0"/>
    <w:rsid w:val="008B23EF"/>
    <w:rsid w:val="008B26B1"/>
    <w:rsid w:val="008B41C8"/>
    <w:rsid w:val="008B47A7"/>
    <w:rsid w:val="008B4FCB"/>
    <w:rsid w:val="008B72F2"/>
    <w:rsid w:val="008B7910"/>
    <w:rsid w:val="008C1F9B"/>
    <w:rsid w:val="008C415C"/>
    <w:rsid w:val="008C531E"/>
    <w:rsid w:val="008C6234"/>
    <w:rsid w:val="008D0B56"/>
    <w:rsid w:val="008D2BB1"/>
    <w:rsid w:val="008D35E9"/>
    <w:rsid w:val="008D5ACD"/>
    <w:rsid w:val="008E1555"/>
    <w:rsid w:val="008E3204"/>
    <w:rsid w:val="008E3ADA"/>
    <w:rsid w:val="008E4A72"/>
    <w:rsid w:val="008F00C3"/>
    <w:rsid w:val="008F730F"/>
    <w:rsid w:val="008F775F"/>
    <w:rsid w:val="008F7F62"/>
    <w:rsid w:val="0090205E"/>
    <w:rsid w:val="00906258"/>
    <w:rsid w:val="0091270C"/>
    <w:rsid w:val="009138BA"/>
    <w:rsid w:val="00914B22"/>
    <w:rsid w:val="00914DEE"/>
    <w:rsid w:val="009151ED"/>
    <w:rsid w:val="00916684"/>
    <w:rsid w:val="00916F56"/>
    <w:rsid w:val="00920AD4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407DE"/>
    <w:rsid w:val="00940DAB"/>
    <w:rsid w:val="009420F3"/>
    <w:rsid w:val="00944348"/>
    <w:rsid w:val="00944906"/>
    <w:rsid w:val="00951AE0"/>
    <w:rsid w:val="00952428"/>
    <w:rsid w:val="00954939"/>
    <w:rsid w:val="00956C42"/>
    <w:rsid w:val="00957B52"/>
    <w:rsid w:val="009600D1"/>
    <w:rsid w:val="009624A7"/>
    <w:rsid w:val="0096706A"/>
    <w:rsid w:val="00967CE8"/>
    <w:rsid w:val="00970094"/>
    <w:rsid w:val="009716BD"/>
    <w:rsid w:val="0097559D"/>
    <w:rsid w:val="00975B51"/>
    <w:rsid w:val="00975E2B"/>
    <w:rsid w:val="00976CB5"/>
    <w:rsid w:val="00976EFB"/>
    <w:rsid w:val="00981409"/>
    <w:rsid w:val="00983577"/>
    <w:rsid w:val="00984682"/>
    <w:rsid w:val="009907B4"/>
    <w:rsid w:val="00992750"/>
    <w:rsid w:val="0099533F"/>
    <w:rsid w:val="00995FC6"/>
    <w:rsid w:val="00996772"/>
    <w:rsid w:val="009A0BAC"/>
    <w:rsid w:val="009A2C67"/>
    <w:rsid w:val="009A4B90"/>
    <w:rsid w:val="009A5B05"/>
    <w:rsid w:val="009A6637"/>
    <w:rsid w:val="009A6B69"/>
    <w:rsid w:val="009B0286"/>
    <w:rsid w:val="009B0E03"/>
    <w:rsid w:val="009B5B09"/>
    <w:rsid w:val="009B77E6"/>
    <w:rsid w:val="009C1032"/>
    <w:rsid w:val="009C1262"/>
    <w:rsid w:val="009D1B55"/>
    <w:rsid w:val="009D24EB"/>
    <w:rsid w:val="009D571D"/>
    <w:rsid w:val="009D7DBB"/>
    <w:rsid w:val="009E1828"/>
    <w:rsid w:val="009E2207"/>
    <w:rsid w:val="009E3E41"/>
    <w:rsid w:val="009E582B"/>
    <w:rsid w:val="009E6566"/>
    <w:rsid w:val="009F08C2"/>
    <w:rsid w:val="009F11BA"/>
    <w:rsid w:val="009F1AAA"/>
    <w:rsid w:val="00A00CB7"/>
    <w:rsid w:val="00A01452"/>
    <w:rsid w:val="00A040FA"/>
    <w:rsid w:val="00A07DC2"/>
    <w:rsid w:val="00A131BF"/>
    <w:rsid w:val="00A21151"/>
    <w:rsid w:val="00A22F26"/>
    <w:rsid w:val="00A234FB"/>
    <w:rsid w:val="00A23E23"/>
    <w:rsid w:val="00A2506C"/>
    <w:rsid w:val="00A31656"/>
    <w:rsid w:val="00A360A5"/>
    <w:rsid w:val="00A404B0"/>
    <w:rsid w:val="00A4252D"/>
    <w:rsid w:val="00A42912"/>
    <w:rsid w:val="00A4395A"/>
    <w:rsid w:val="00A43C55"/>
    <w:rsid w:val="00A44CB6"/>
    <w:rsid w:val="00A4715A"/>
    <w:rsid w:val="00A47221"/>
    <w:rsid w:val="00A51A54"/>
    <w:rsid w:val="00A54039"/>
    <w:rsid w:val="00A61923"/>
    <w:rsid w:val="00A62A77"/>
    <w:rsid w:val="00A63430"/>
    <w:rsid w:val="00A662B6"/>
    <w:rsid w:val="00A6751B"/>
    <w:rsid w:val="00A71D9D"/>
    <w:rsid w:val="00A734B6"/>
    <w:rsid w:val="00A74B64"/>
    <w:rsid w:val="00A74BF8"/>
    <w:rsid w:val="00A81C2B"/>
    <w:rsid w:val="00A82873"/>
    <w:rsid w:val="00A82A6F"/>
    <w:rsid w:val="00A84085"/>
    <w:rsid w:val="00A90635"/>
    <w:rsid w:val="00A91A3F"/>
    <w:rsid w:val="00A920D7"/>
    <w:rsid w:val="00A95F8B"/>
    <w:rsid w:val="00A973EF"/>
    <w:rsid w:val="00A97C2B"/>
    <w:rsid w:val="00AA3418"/>
    <w:rsid w:val="00AA3D9F"/>
    <w:rsid w:val="00AB1088"/>
    <w:rsid w:val="00AB13C8"/>
    <w:rsid w:val="00AB4FCA"/>
    <w:rsid w:val="00AB52D3"/>
    <w:rsid w:val="00AB70A2"/>
    <w:rsid w:val="00AC0C80"/>
    <w:rsid w:val="00AC11B3"/>
    <w:rsid w:val="00AC1794"/>
    <w:rsid w:val="00AC3C91"/>
    <w:rsid w:val="00AD6843"/>
    <w:rsid w:val="00AD7F02"/>
    <w:rsid w:val="00AE0CA6"/>
    <w:rsid w:val="00AE2E65"/>
    <w:rsid w:val="00AE39A1"/>
    <w:rsid w:val="00AE477D"/>
    <w:rsid w:val="00AE7A22"/>
    <w:rsid w:val="00AF3317"/>
    <w:rsid w:val="00AF44F8"/>
    <w:rsid w:val="00AF4B25"/>
    <w:rsid w:val="00AF75E4"/>
    <w:rsid w:val="00B02847"/>
    <w:rsid w:val="00B02C5B"/>
    <w:rsid w:val="00B04D34"/>
    <w:rsid w:val="00B05345"/>
    <w:rsid w:val="00B06472"/>
    <w:rsid w:val="00B076FC"/>
    <w:rsid w:val="00B103F5"/>
    <w:rsid w:val="00B10993"/>
    <w:rsid w:val="00B14221"/>
    <w:rsid w:val="00B1498A"/>
    <w:rsid w:val="00B15DEB"/>
    <w:rsid w:val="00B16686"/>
    <w:rsid w:val="00B17C68"/>
    <w:rsid w:val="00B204BB"/>
    <w:rsid w:val="00B2193D"/>
    <w:rsid w:val="00B22B98"/>
    <w:rsid w:val="00B23E86"/>
    <w:rsid w:val="00B27521"/>
    <w:rsid w:val="00B31185"/>
    <w:rsid w:val="00B33346"/>
    <w:rsid w:val="00B369A6"/>
    <w:rsid w:val="00B3720F"/>
    <w:rsid w:val="00B37443"/>
    <w:rsid w:val="00B45951"/>
    <w:rsid w:val="00B46F5B"/>
    <w:rsid w:val="00B50B1D"/>
    <w:rsid w:val="00B57680"/>
    <w:rsid w:val="00B62236"/>
    <w:rsid w:val="00B63653"/>
    <w:rsid w:val="00B65046"/>
    <w:rsid w:val="00B65068"/>
    <w:rsid w:val="00B66E74"/>
    <w:rsid w:val="00B67C49"/>
    <w:rsid w:val="00B7633D"/>
    <w:rsid w:val="00B8166C"/>
    <w:rsid w:val="00B82664"/>
    <w:rsid w:val="00B832F1"/>
    <w:rsid w:val="00B84DB9"/>
    <w:rsid w:val="00B91E0E"/>
    <w:rsid w:val="00B97F4E"/>
    <w:rsid w:val="00BA43FC"/>
    <w:rsid w:val="00BB066E"/>
    <w:rsid w:val="00BB35EF"/>
    <w:rsid w:val="00BB5CE1"/>
    <w:rsid w:val="00BB6C25"/>
    <w:rsid w:val="00BC191B"/>
    <w:rsid w:val="00BC51CF"/>
    <w:rsid w:val="00BC674E"/>
    <w:rsid w:val="00BC7841"/>
    <w:rsid w:val="00BD2328"/>
    <w:rsid w:val="00BD33A1"/>
    <w:rsid w:val="00BD615F"/>
    <w:rsid w:val="00BD6D9B"/>
    <w:rsid w:val="00BE0333"/>
    <w:rsid w:val="00BE16FD"/>
    <w:rsid w:val="00BE3C21"/>
    <w:rsid w:val="00BE3F1A"/>
    <w:rsid w:val="00BE7475"/>
    <w:rsid w:val="00BF0491"/>
    <w:rsid w:val="00BF43B8"/>
    <w:rsid w:val="00BF4E05"/>
    <w:rsid w:val="00BF6BE7"/>
    <w:rsid w:val="00BF771D"/>
    <w:rsid w:val="00C00BD4"/>
    <w:rsid w:val="00C01F56"/>
    <w:rsid w:val="00C02154"/>
    <w:rsid w:val="00C03E06"/>
    <w:rsid w:val="00C0462F"/>
    <w:rsid w:val="00C052C3"/>
    <w:rsid w:val="00C11A14"/>
    <w:rsid w:val="00C1275D"/>
    <w:rsid w:val="00C1361A"/>
    <w:rsid w:val="00C14A32"/>
    <w:rsid w:val="00C20019"/>
    <w:rsid w:val="00C20707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627D"/>
    <w:rsid w:val="00C4666A"/>
    <w:rsid w:val="00C46C8E"/>
    <w:rsid w:val="00C4716A"/>
    <w:rsid w:val="00C51516"/>
    <w:rsid w:val="00C51C30"/>
    <w:rsid w:val="00C52576"/>
    <w:rsid w:val="00C55BA5"/>
    <w:rsid w:val="00C55FFB"/>
    <w:rsid w:val="00C56CCC"/>
    <w:rsid w:val="00C6252C"/>
    <w:rsid w:val="00C63A44"/>
    <w:rsid w:val="00C65118"/>
    <w:rsid w:val="00C72184"/>
    <w:rsid w:val="00C72C3B"/>
    <w:rsid w:val="00C73BE0"/>
    <w:rsid w:val="00C75151"/>
    <w:rsid w:val="00C756AA"/>
    <w:rsid w:val="00C77CC9"/>
    <w:rsid w:val="00C803C3"/>
    <w:rsid w:val="00C81344"/>
    <w:rsid w:val="00C81F61"/>
    <w:rsid w:val="00C835C9"/>
    <w:rsid w:val="00C84551"/>
    <w:rsid w:val="00C86EC3"/>
    <w:rsid w:val="00C944EB"/>
    <w:rsid w:val="00C96671"/>
    <w:rsid w:val="00C97032"/>
    <w:rsid w:val="00CA238D"/>
    <w:rsid w:val="00CA40F3"/>
    <w:rsid w:val="00CA4433"/>
    <w:rsid w:val="00CA4ED6"/>
    <w:rsid w:val="00CA5B8A"/>
    <w:rsid w:val="00CB011E"/>
    <w:rsid w:val="00CB3867"/>
    <w:rsid w:val="00CB54BA"/>
    <w:rsid w:val="00CB6684"/>
    <w:rsid w:val="00CB7FC8"/>
    <w:rsid w:val="00CC40E3"/>
    <w:rsid w:val="00CD17E5"/>
    <w:rsid w:val="00CD1FBA"/>
    <w:rsid w:val="00CD27EC"/>
    <w:rsid w:val="00CD2CD7"/>
    <w:rsid w:val="00CE13CE"/>
    <w:rsid w:val="00CE1E21"/>
    <w:rsid w:val="00CE1F6F"/>
    <w:rsid w:val="00CE28B3"/>
    <w:rsid w:val="00CE5854"/>
    <w:rsid w:val="00CE592E"/>
    <w:rsid w:val="00CE6AA2"/>
    <w:rsid w:val="00CE7334"/>
    <w:rsid w:val="00CF0044"/>
    <w:rsid w:val="00CF71EA"/>
    <w:rsid w:val="00CF7774"/>
    <w:rsid w:val="00D00A1C"/>
    <w:rsid w:val="00D020A9"/>
    <w:rsid w:val="00D0554C"/>
    <w:rsid w:val="00D07D47"/>
    <w:rsid w:val="00D10094"/>
    <w:rsid w:val="00D1512B"/>
    <w:rsid w:val="00D16EBB"/>
    <w:rsid w:val="00D16FAF"/>
    <w:rsid w:val="00D21557"/>
    <w:rsid w:val="00D23A5A"/>
    <w:rsid w:val="00D23E4F"/>
    <w:rsid w:val="00D25E05"/>
    <w:rsid w:val="00D27051"/>
    <w:rsid w:val="00D32118"/>
    <w:rsid w:val="00D328A2"/>
    <w:rsid w:val="00D32D48"/>
    <w:rsid w:val="00D32D57"/>
    <w:rsid w:val="00D34579"/>
    <w:rsid w:val="00D3461C"/>
    <w:rsid w:val="00D374C2"/>
    <w:rsid w:val="00D41EA3"/>
    <w:rsid w:val="00D42DC3"/>
    <w:rsid w:val="00D441CB"/>
    <w:rsid w:val="00D46602"/>
    <w:rsid w:val="00D51833"/>
    <w:rsid w:val="00D56664"/>
    <w:rsid w:val="00D56DC2"/>
    <w:rsid w:val="00D60C8A"/>
    <w:rsid w:val="00D61435"/>
    <w:rsid w:val="00D61857"/>
    <w:rsid w:val="00D62106"/>
    <w:rsid w:val="00D62923"/>
    <w:rsid w:val="00D6628C"/>
    <w:rsid w:val="00D70CA4"/>
    <w:rsid w:val="00D73F59"/>
    <w:rsid w:val="00D75A36"/>
    <w:rsid w:val="00D802CF"/>
    <w:rsid w:val="00D85C49"/>
    <w:rsid w:val="00D86883"/>
    <w:rsid w:val="00D90986"/>
    <w:rsid w:val="00D9318F"/>
    <w:rsid w:val="00D940F3"/>
    <w:rsid w:val="00D95AF6"/>
    <w:rsid w:val="00D960A7"/>
    <w:rsid w:val="00D9686A"/>
    <w:rsid w:val="00D9695C"/>
    <w:rsid w:val="00D97B7D"/>
    <w:rsid w:val="00DA06C6"/>
    <w:rsid w:val="00DA1D21"/>
    <w:rsid w:val="00DA20CD"/>
    <w:rsid w:val="00DA3038"/>
    <w:rsid w:val="00DA46FB"/>
    <w:rsid w:val="00DA4920"/>
    <w:rsid w:val="00DA5837"/>
    <w:rsid w:val="00DA5BCA"/>
    <w:rsid w:val="00DA7873"/>
    <w:rsid w:val="00DB0B14"/>
    <w:rsid w:val="00DB0BD9"/>
    <w:rsid w:val="00DB30DE"/>
    <w:rsid w:val="00DB366C"/>
    <w:rsid w:val="00DB4580"/>
    <w:rsid w:val="00DB47AA"/>
    <w:rsid w:val="00DB4FD6"/>
    <w:rsid w:val="00DB5187"/>
    <w:rsid w:val="00DB56C9"/>
    <w:rsid w:val="00DB6317"/>
    <w:rsid w:val="00DC0770"/>
    <w:rsid w:val="00DC0BBD"/>
    <w:rsid w:val="00DC3954"/>
    <w:rsid w:val="00DD1822"/>
    <w:rsid w:val="00DD2615"/>
    <w:rsid w:val="00DD44D1"/>
    <w:rsid w:val="00DD6615"/>
    <w:rsid w:val="00DE089C"/>
    <w:rsid w:val="00DE0B99"/>
    <w:rsid w:val="00DE0BE1"/>
    <w:rsid w:val="00DE0D89"/>
    <w:rsid w:val="00DE2B8A"/>
    <w:rsid w:val="00DE43FD"/>
    <w:rsid w:val="00DF6175"/>
    <w:rsid w:val="00DF7A95"/>
    <w:rsid w:val="00DF7ED1"/>
    <w:rsid w:val="00E01E43"/>
    <w:rsid w:val="00E02FBC"/>
    <w:rsid w:val="00E03852"/>
    <w:rsid w:val="00E05117"/>
    <w:rsid w:val="00E06439"/>
    <w:rsid w:val="00E069DA"/>
    <w:rsid w:val="00E07F39"/>
    <w:rsid w:val="00E104D4"/>
    <w:rsid w:val="00E11C00"/>
    <w:rsid w:val="00E14545"/>
    <w:rsid w:val="00E17B7A"/>
    <w:rsid w:val="00E17EB9"/>
    <w:rsid w:val="00E23069"/>
    <w:rsid w:val="00E25734"/>
    <w:rsid w:val="00E27F75"/>
    <w:rsid w:val="00E351A2"/>
    <w:rsid w:val="00E352BB"/>
    <w:rsid w:val="00E406F6"/>
    <w:rsid w:val="00E413BF"/>
    <w:rsid w:val="00E42FC9"/>
    <w:rsid w:val="00E43F3F"/>
    <w:rsid w:val="00E458D6"/>
    <w:rsid w:val="00E50317"/>
    <w:rsid w:val="00E50B8F"/>
    <w:rsid w:val="00E522AE"/>
    <w:rsid w:val="00E52A15"/>
    <w:rsid w:val="00E56B45"/>
    <w:rsid w:val="00E56EB1"/>
    <w:rsid w:val="00E60E0A"/>
    <w:rsid w:val="00E61233"/>
    <w:rsid w:val="00E630ED"/>
    <w:rsid w:val="00E65127"/>
    <w:rsid w:val="00E658C4"/>
    <w:rsid w:val="00E66F64"/>
    <w:rsid w:val="00E67677"/>
    <w:rsid w:val="00E71E66"/>
    <w:rsid w:val="00E74AD7"/>
    <w:rsid w:val="00E7667D"/>
    <w:rsid w:val="00E81369"/>
    <w:rsid w:val="00E874DF"/>
    <w:rsid w:val="00E92CD3"/>
    <w:rsid w:val="00EA0707"/>
    <w:rsid w:val="00EA46D4"/>
    <w:rsid w:val="00EB1AA9"/>
    <w:rsid w:val="00EB5B21"/>
    <w:rsid w:val="00EB659D"/>
    <w:rsid w:val="00EC03A9"/>
    <w:rsid w:val="00EC0A57"/>
    <w:rsid w:val="00EC0D9D"/>
    <w:rsid w:val="00EC1DD3"/>
    <w:rsid w:val="00ED1C44"/>
    <w:rsid w:val="00ED2B7F"/>
    <w:rsid w:val="00ED342B"/>
    <w:rsid w:val="00ED5024"/>
    <w:rsid w:val="00ED5847"/>
    <w:rsid w:val="00EE21D3"/>
    <w:rsid w:val="00EE662C"/>
    <w:rsid w:val="00EF100B"/>
    <w:rsid w:val="00EF2F66"/>
    <w:rsid w:val="00EF6362"/>
    <w:rsid w:val="00F02096"/>
    <w:rsid w:val="00F02996"/>
    <w:rsid w:val="00F030A3"/>
    <w:rsid w:val="00F0630F"/>
    <w:rsid w:val="00F07857"/>
    <w:rsid w:val="00F11C60"/>
    <w:rsid w:val="00F11D69"/>
    <w:rsid w:val="00F14EA2"/>
    <w:rsid w:val="00F21A86"/>
    <w:rsid w:val="00F21F80"/>
    <w:rsid w:val="00F250E8"/>
    <w:rsid w:val="00F25BD5"/>
    <w:rsid w:val="00F31E06"/>
    <w:rsid w:val="00F35FB9"/>
    <w:rsid w:val="00F364A9"/>
    <w:rsid w:val="00F3658C"/>
    <w:rsid w:val="00F40EBA"/>
    <w:rsid w:val="00F50C4E"/>
    <w:rsid w:val="00F5242B"/>
    <w:rsid w:val="00F52467"/>
    <w:rsid w:val="00F55451"/>
    <w:rsid w:val="00F62BD9"/>
    <w:rsid w:val="00F6412A"/>
    <w:rsid w:val="00F66141"/>
    <w:rsid w:val="00F7014D"/>
    <w:rsid w:val="00F75B7E"/>
    <w:rsid w:val="00F765F4"/>
    <w:rsid w:val="00F779F6"/>
    <w:rsid w:val="00F81FE0"/>
    <w:rsid w:val="00F8550F"/>
    <w:rsid w:val="00F87B5B"/>
    <w:rsid w:val="00F91A2D"/>
    <w:rsid w:val="00F91AE3"/>
    <w:rsid w:val="00F9248F"/>
    <w:rsid w:val="00F93141"/>
    <w:rsid w:val="00F9540E"/>
    <w:rsid w:val="00FA6BF8"/>
    <w:rsid w:val="00FB0539"/>
    <w:rsid w:val="00FB597E"/>
    <w:rsid w:val="00FC1464"/>
    <w:rsid w:val="00FC18B8"/>
    <w:rsid w:val="00FC2934"/>
    <w:rsid w:val="00FC4833"/>
    <w:rsid w:val="00FC6650"/>
    <w:rsid w:val="00FD096C"/>
    <w:rsid w:val="00FD12F0"/>
    <w:rsid w:val="00FD3E51"/>
    <w:rsid w:val="00FE04D7"/>
    <w:rsid w:val="00FE1E95"/>
    <w:rsid w:val="00FE2CD2"/>
    <w:rsid w:val="00FE510A"/>
    <w:rsid w:val="00FF1575"/>
    <w:rsid w:val="00FF26FC"/>
    <w:rsid w:val="00FF3B1F"/>
    <w:rsid w:val="00FF4877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824D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039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78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ascii="Segoe UI" w:hAnsi="Segoe UI"/>
      <w:b/>
      <w:bCs/>
      <w:i w:val="0"/>
      <w:i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D1278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4D127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4D1278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4D127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4D127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4D127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99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6F6"/>
  </w:style>
  <w:style w:type="character" w:customStyle="1" w:styleId="TextkomenteChar">
    <w:name w:val="Text komentáře Char"/>
    <w:link w:val="Textkomente"/>
    <w:uiPriority w:val="99"/>
    <w:semiHidden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aliases w:val="Tabulka"/>
    <w:basedOn w:val="Normlntabulka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2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numPr>
        <w:ilvl w:val="1"/>
        <w:numId w:val="2"/>
      </w:numPr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numPr>
        <w:ilvl w:val="2"/>
        <w:numId w:val="2"/>
      </w:numPr>
      <w:spacing w:before="120" w:after="1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character" w:customStyle="1" w:styleId="Nadpis3Char">
    <w:name w:val="Nadpis 3 Char"/>
    <w:basedOn w:val="Standardnpsmoodstavce"/>
    <w:link w:val="Nadpis3"/>
    <w:rsid w:val="004D1278"/>
    <w:rPr>
      <w:rFonts w:ascii="Segoe UI" w:hAnsi="Segoe UI"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4D1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4D12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4D12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4D1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titul11">
    <w:name w:val="Podtitul 1.1"/>
    <w:basedOn w:val="Nadpis2"/>
    <w:link w:val="Podtitul11Char"/>
    <w:qFormat/>
    <w:rsid w:val="004D1278"/>
    <w:pPr>
      <w:keepNext w:val="0"/>
      <w:numPr>
        <w:ilvl w:val="1"/>
      </w:numPr>
      <w:spacing w:before="0" w:after="120" w:line="264" w:lineRule="auto"/>
      <w:ind w:left="578" w:hanging="578"/>
      <w:jc w:val="both"/>
    </w:pPr>
    <w:rPr>
      <w:rFonts w:ascii="Segoe UI" w:hAnsi="Segoe UI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4D127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4D1278"/>
    <w:pPr>
      <w:numPr>
        <w:ilvl w:val="2"/>
      </w:numPr>
      <w:pBdr>
        <w:bottom w:val="none" w:sz="0" w:space="0" w:color="auto"/>
      </w:pBdr>
      <w:spacing w:before="0" w:after="120" w:line="264" w:lineRule="auto"/>
      <w:ind w:left="720" w:hanging="720"/>
      <w:jc w:val="both"/>
    </w:pPr>
    <w:rPr>
      <w:b w:val="0"/>
    </w:rPr>
  </w:style>
  <w:style w:type="character" w:customStyle="1" w:styleId="Podtitu111Char">
    <w:name w:val="Podtitu 1.1.1 Char"/>
    <w:link w:val="Podtitu111"/>
    <w:rsid w:val="004D1278"/>
    <w:rPr>
      <w:rFonts w:ascii="Segoe UI" w:hAnsi="Segoe UI" w:cs="Arial"/>
      <w:bCs/>
      <w:szCs w:val="26"/>
    </w:rPr>
  </w:style>
  <w:style w:type="paragraph" w:styleId="Zkladntext">
    <w:name w:val="Body Text"/>
    <w:basedOn w:val="Normln"/>
    <w:link w:val="ZkladntextChar"/>
    <w:rsid w:val="004650C9"/>
    <w:rPr>
      <w:rFonts w:ascii="Times New Roman" w:hAnsi="Times New Roman" w:cs="Times New Roman"/>
      <w:b/>
      <w:i w:val="0"/>
      <w:iCs w:val="0"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4650C9"/>
    <w:rPr>
      <w:b/>
      <w:sz w:val="28"/>
      <w:u w:val="single"/>
    </w:rPr>
  </w:style>
  <w:style w:type="paragraph" w:customStyle="1" w:styleId="Textnadtabulkou">
    <w:name w:val="Text nad tabulkou"/>
    <w:basedOn w:val="Normln"/>
    <w:rsid w:val="001C4D5B"/>
    <w:pPr>
      <w:spacing w:after="60" w:line="288" w:lineRule="auto"/>
      <w:jc w:val="both"/>
    </w:pPr>
    <w:rPr>
      <w:rFonts w:ascii="JohnSans Text Pro" w:hAnsi="JohnSans Text Pro" w:cs="Times New Roman"/>
      <w:b/>
      <w:i w:val="0"/>
      <w:iCs w:val="0"/>
    </w:rPr>
  </w:style>
  <w:style w:type="paragraph" w:customStyle="1" w:styleId="Normln1">
    <w:name w:val="Normální1"/>
    <w:aliases w:val="za 6 b."/>
    <w:basedOn w:val="Normln"/>
    <w:qFormat/>
    <w:rsid w:val="001C4D5B"/>
    <w:pPr>
      <w:spacing w:after="60" w:line="288" w:lineRule="auto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odrazkynormalni">
    <w:name w:val="odrazky_normalni"/>
    <w:basedOn w:val="Normln"/>
    <w:rsid w:val="00FE2CD2"/>
    <w:pPr>
      <w:numPr>
        <w:numId w:val="3"/>
      </w:numPr>
      <w:spacing w:line="288" w:lineRule="auto"/>
      <w:ind w:left="357" w:hanging="357"/>
      <w:jc w:val="both"/>
    </w:pPr>
    <w:rPr>
      <w:rFonts w:ascii="JohnSans Text Pro" w:hAnsi="JohnSans Text Pro" w:cs="JohnSans Text Pro"/>
      <w:i w:val="0"/>
      <w:iCs w:val="0"/>
    </w:rPr>
  </w:style>
  <w:style w:type="paragraph" w:styleId="Revize">
    <w:name w:val="Revision"/>
    <w:hidden/>
    <w:uiPriority w:val="99"/>
    <w:semiHidden/>
    <w:rsid w:val="002B473E"/>
    <w:rPr>
      <w:rFonts w:ascii="Arial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039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78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ascii="Segoe UI" w:hAnsi="Segoe UI"/>
      <w:b/>
      <w:bCs/>
      <w:i w:val="0"/>
      <w:i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D1278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4D127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4D1278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4D127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4D127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4D127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99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6F6"/>
  </w:style>
  <w:style w:type="character" w:customStyle="1" w:styleId="TextkomenteChar">
    <w:name w:val="Text komentáře Char"/>
    <w:link w:val="Textkomente"/>
    <w:uiPriority w:val="99"/>
    <w:semiHidden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aliases w:val="Tabulka"/>
    <w:basedOn w:val="Normlntabulka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2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numPr>
        <w:ilvl w:val="1"/>
        <w:numId w:val="2"/>
      </w:numPr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numPr>
        <w:ilvl w:val="2"/>
        <w:numId w:val="2"/>
      </w:numPr>
      <w:spacing w:before="120" w:after="1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character" w:customStyle="1" w:styleId="Nadpis3Char">
    <w:name w:val="Nadpis 3 Char"/>
    <w:basedOn w:val="Standardnpsmoodstavce"/>
    <w:link w:val="Nadpis3"/>
    <w:rsid w:val="004D1278"/>
    <w:rPr>
      <w:rFonts w:ascii="Segoe UI" w:hAnsi="Segoe UI"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4D1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4D12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4D12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4D1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titul11">
    <w:name w:val="Podtitul 1.1"/>
    <w:basedOn w:val="Nadpis2"/>
    <w:link w:val="Podtitul11Char"/>
    <w:qFormat/>
    <w:rsid w:val="004D1278"/>
    <w:pPr>
      <w:keepNext w:val="0"/>
      <w:numPr>
        <w:ilvl w:val="1"/>
      </w:numPr>
      <w:spacing w:before="0" w:after="120" w:line="264" w:lineRule="auto"/>
      <w:ind w:left="578" w:hanging="578"/>
      <w:jc w:val="both"/>
    </w:pPr>
    <w:rPr>
      <w:rFonts w:ascii="Segoe UI" w:hAnsi="Segoe UI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4D127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4D1278"/>
    <w:pPr>
      <w:numPr>
        <w:ilvl w:val="2"/>
      </w:numPr>
      <w:pBdr>
        <w:bottom w:val="none" w:sz="0" w:space="0" w:color="auto"/>
      </w:pBdr>
      <w:spacing w:before="0" w:after="120" w:line="264" w:lineRule="auto"/>
      <w:ind w:left="720" w:hanging="720"/>
      <w:jc w:val="both"/>
    </w:pPr>
    <w:rPr>
      <w:b w:val="0"/>
    </w:rPr>
  </w:style>
  <w:style w:type="character" w:customStyle="1" w:styleId="Podtitu111Char">
    <w:name w:val="Podtitu 1.1.1 Char"/>
    <w:link w:val="Podtitu111"/>
    <w:rsid w:val="004D1278"/>
    <w:rPr>
      <w:rFonts w:ascii="Segoe UI" w:hAnsi="Segoe UI" w:cs="Arial"/>
      <w:bCs/>
      <w:szCs w:val="26"/>
    </w:rPr>
  </w:style>
  <w:style w:type="paragraph" w:styleId="Zkladntext">
    <w:name w:val="Body Text"/>
    <w:basedOn w:val="Normln"/>
    <w:link w:val="ZkladntextChar"/>
    <w:rsid w:val="004650C9"/>
    <w:rPr>
      <w:rFonts w:ascii="Times New Roman" w:hAnsi="Times New Roman" w:cs="Times New Roman"/>
      <w:b/>
      <w:i w:val="0"/>
      <w:iCs w:val="0"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4650C9"/>
    <w:rPr>
      <w:b/>
      <w:sz w:val="28"/>
      <w:u w:val="single"/>
    </w:rPr>
  </w:style>
  <w:style w:type="paragraph" w:customStyle="1" w:styleId="Textnadtabulkou">
    <w:name w:val="Text nad tabulkou"/>
    <w:basedOn w:val="Normln"/>
    <w:rsid w:val="001C4D5B"/>
    <w:pPr>
      <w:spacing w:after="60" w:line="288" w:lineRule="auto"/>
      <w:jc w:val="both"/>
    </w:pPr>
    <w:rPr>
      <w:rFonts w:ascii="JohnSans Text Pro" w:hAnsi="JohnSans Text Pro" w:cs="Times New Roman"/>
      <w:b/>
      <w:i w:val="0"/>
      <w:iCs w:val="0"/>
    </w:rPr>
  </w:style>
  <w:style w:type="paragraph" w:customStyle="1" w:styleId="Normln1">
    <w:name w:val="Normální1"/>
    <w:aliases w:val="za 6 b."/>
    <w:basedOn w:val="Normln"/>
    <w:qFormat/>
    <w:rsid w:val="001C4D5B"/>
    <w:pPr>
      <w:spacing w:after="60" w:line="288" w:lineRule="auto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odrazkynormalni">
    <w:name w:val="odrazky_normalni"/>
    <w:basedOn w:val="Normln"/>
    <w:rsid w:val="00FE2CD2"/>
    <w:pPr>
      <w:numPr>
        <w:numId w:val="3"/>
      </w:numPr>
      <w:spacing w:line="288" w:lineRule="auto"/>
      <w:ind w:left="357" w:hanging="357"/>
      <w:jc w:val="both"/>
    </w:pPr>
    <w:rPr>
      <w:rFonts w:ascii="JohnSans Text Pro" w:hAnsi="JohnSans Text Pro" w:cs="JohnSans Text Pro"/>
      <w:i w:val="0"/>
      <w:iCs w:val="0"/>
    </w:rPr>
  </w:style>
  <w:style w:type="paragraph" w:styleId="Revize">
    <w:name w:val="Revision"/>
    <w:hidden/>
    <w:uiPriority w:val="99"/>
    <w:semiHidden/>
    <w:rsid w:val="002B473E"/>
    <w:rPr>
      <w:rFonts w:ascii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646-EDA6-49EE-9AB0-F511CF33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3055</Words>
  <Characters>17946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20960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Miroslava Tomková</cp:lastModifiedBy>
  <cp:revision>2</cp:revision>
  <cp:lastPrinted>2018-01-02T11:41:00Z</cp:lastPrinted>
  <dcterms:created xsi:type="dcterms:W3CDTF">2018-01-02T11:58:00Z</dcterms:created>
  <dcterms:modified xsi:type="dcterms:W3CDTF">2018-01-02T11:58:00Z</dcterms:modified>
</cp:coreProperties>
</file>