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81" w:rsidRPr="00760081" w:rsidRDefault="00760081" w:rsidP="00760081">
      <w:pPr>
        <w:jc w:val="center"/>
        <w:rPr>
          <w:rFonts w:ascii="Arial" w:hAnsi="Arial" w:cs="Arial"/>
          <w:b/>
          <w:sz w:val="28"/>
        </w:rPr>
      </w:pPr>
      <w:r w:rsidRPr="00760081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5E484A">
        <w:rPr>
          <w:rFonts w:ascii="Arial" w:hAnsi="Arial" w:cs="Arial"/>
          <w:b/>
          <w:color w:val="333333"/>
          <w:w w:val="80"/>
          <w:sz w:val="28"/>
          <w:szCs w:val="28"/>
        </w:rPr>
        <w:t>490170756</w:t>
      </w:r>
      <w:r w:rsidR="00972831">
        <w:rPr>
          <w:rFonts w:ascii="Arial" w:hAnsi="Arial" w:cs="Arial"/>
          <w:b/>
          <w:color w:val="333333"/>
          <w:w w:val="80"/>
          <w:sz w:val="28"/>
          <w:szCs w:val="28"/>
        </w:rPr>
        <w:t>, č. 2017/0366/2300</w:t>
      </w:r>
      <w:r w:rsidRPr="00760081">
        <w:rPr>
          <w:rFonts w:ascii="Arial" w:hAnsi="Arial" w:cs="Arial"/>
          <w:b/>
          <w:color w:val="333333"/>
          <w:w w:val="80"/>
          <w:sz w:val="28"/>
          <w:szCs w:val="28"/>
        </w:rPr>
        <w:t xml:space="preserve"> </w:t>
      </w:r>
      <w:r w:rsidRPr="00760081">
        <w:rPr>
          <w:rFonts w:ascii="Arial" w:hAnsi="Arial" w:cs="Arial"/>
          <w:b/>
          <w:w w:val="80"/>
          <w:sz w:val="28"/>
          <w:szCs w:val="28"/>
        </w:rPr>
        <w:t xml:space="preserve">programového vybavení </w:t>
      </w:r>
      <w:r w:rsidR="005E484A">
        <w:rPr>
          <w:rFonts w:ascii="Arial" w:hAnsi="Arial" w:cs="Arial"/>
          <w:b/>
          <w:color w:val="333333"/>
          <w:w w:val="80"/>
          <w:sz w:val="28"/>
          <w:szCs w:val="28"/>
        </w:rPr>
        <w:t>CODEXIS</w:t>
      </w:r>
      <w:r w:rsidRPr="00760081">
        <w:rPr>
          <w:rFonts w:ascii="Arial" w:hAnsi="Arial" w:cs="Arial"/>
          <w:b/>
          <w:sz w:val="28"/>
          <w:vertAlign w:val="superscript"/>
        </w:rPr>
        <w:t>®</w:t>
      </w:r>
    </w:p>
    <w:p w:rsidR="00760081" w:rsidRPr="00760081" w:rsidRDefault="00760081" w:rsidP="00760081">
      <w:pPr>
        <w:jc w:val="center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uzavřená zejména dle ust. § </w:t>
      </w:r>
      <w:smartTag w:uri="urn:schemas-microsoft-com:office:smarttags" w:element="metricconverter">
        <w:smartTagPr>
          <w:attr w:name="ProductID" w:val="2358 a"/>
        </w:smartTagPr>
        <w:r w:rsidRPr="00760081">
          <w:rPr>
            <w:rFonts w:ascii="Arial" w:hAnsi="Arial" w:cs="Arial"/>
            <w:sz w:val="18"/>
            <w:szCs w:val="18"/>
          </w:rPr>
          <w:t>2358 a</w:t>
        </w:r>
      </w:smartTag>
      <w:r w:rsidRPr="00760081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760081">
          <w:rPr>
            <w:rFonts w:ascii="Arial" w:hAnsi="Arial" w:cs="Arial"/>
            <w:sz w:val="18"/>
            <w:szCs w:val="18"/>
          </w:rPr>
          <w:t>2586 a</w:t>
        </w:r>
      </w:smartTag>
      <w:r w:rsidRPr="00760081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:rsidR="00760081" w:rsidRPr="00760081" w:rsidRDefault="00760081" w:rsidP="00760081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760081">
        <w:rPr>
          <w:rFonts w:ascii="Arial" w:hAnsi="Arial" w:cs="Arial"/>
          <w:b/>
          <w:w w:val="80"/>
        </w:rPr>
        <w:t>1. Smluvní strany</w:t>
      </w:r>
    </w:p>
    <w:p w:rsidR="00760081" w:rsidRPr="00760081" w:rsidRDefault="00760081" w:rsidP="00760081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760081">
        <w:rPr>
          <w:rFonts w:ascii="Arial" w:hAnsi="Arial" w:cs="Arial"/>
          <w:b/>
          <w:sz w:val="20"/>
          <w:szCs w:val="20"/>
        </w:rPr>
        <w:t xml:space="preserve">ATLAS consulting spol. s r.o. </w:t>
      </w:r>
    </w:p>
    <w:p w:rsidR="00760081" w:rsidRPr="0076008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Výstavní 292/13, 702 00  Ostrava, Moravská Ostrava</w:t>
      </w:r>
    </w:p>
    <w:p w:rsidR="00760081" w:rsidRPr="0076008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IČO: 46578706, DIČ: CZ46578706 </w:t>
      </w:r>
      <w:r w:rsidRPr="00760081">
        <w:rPr>
          <w:rFonts w:ascii="Arial" w:hAnsi="Arial" w:cs="Arial"/>
          <w:sz w:val="18"/>
          <w:szCs w:val="18"/>
        </w:rPr>
        <w:br/>
        <w:t xml:space="preserve">Bankovní spojení: </w:t>
      </w:r>
      <w:r w:rsidR="000D2B6E">
        <w:rPr>
          <w:rFonts w:ascii="Arial" w:hAnsi="Arial" w:cs="Arial"/>
          <w:sz w:val="18"/>
          <w:szCs w:val="18"/>
        </w:rPr>
        <w:t>xxxxx</w:t>
      </w:r>
    </w:p>
    <w:p w:rsidR="00760081" w:rsidRPr="0076008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e-mail: obchod@</w:t>
      </w:r>
      <w:r w:rsidR="00FF0530">
        <w:rPr>
          <w:rFonts w:ascii="Arial" w:hAnsi="Arial" w:cs="Arial"/>
          <w:sz w:val="18"/>
          <w:szCs w:val="18"/>
        </w:rPr>
        <w:t>atlasgroup</w:t>
      </w:r>
      <w:r w:rsidRPr="00760081">
        <w:rPr>
          <w:rFonts w:ascii="Arial" w:hAnsi="Arial" w:cs="Arial"/>
          <w:sz w:val="18"/>
          <w:szCs w:val="18"/>
        </w:rPr>
        <w:t>.cz</w:t>
      </w:r>
    </w:p>
    <w:p w:rsidR="00760081" w:rsidRPr="0076008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Společnost je zapsána v Obchodním rejstříku vedeném Krajským soudem v Ostravě, oddíl C, vložka 3293</w:t>
      </w:r>
    </w:p>
    <w:p w:rsidR="00760081" w:rsidRPr="0076008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zastoupená: Ing. Pavlou Řehákovou, jednatelkou společnosti  </w:t>
      </w:r>
    </w:p>
    <w:p w:rsidR="00760081" w:rsidRPr="00760081" w:rsidRDefault="00760081" w:rsidP="00760081">
      <w:pPr>
        <w:rPr>
          <w:rFonts w:ascii="Arial" w:hAnsi="Arial" w:cs="Arial"/>
          <w:b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(dále jen „dodavatel“)</w:t>
      </w:r>
    </w:p>
    <w:p w:rsidR="00760081" w:rsidRPr="00760081" w:rsidRDefault="00760081" w:rsidP="00760081">
      <w:pPr>
        <w:spacing w:before="60" w:after="20"/>
        <w:rPr>
          <w:rFonts w:ascii="Arial" w:hAnsi="Arial" w:cs="Arial"/>
          <w:b/>
          <w:sz w:val="20"/>
          <w:szCs w:val="20"/>
        </w:rPr>
      </w:pPr>
      <w:r w:rsidRPr="00760081">
        <w:rPr>
          <w:rFonts w:ascii="Arial" w:hAnsi="Arial" w:cs="Arial"/>
          <w:b/>
          <w:sz w:val="20"/>
          <w:szCs w:val="20"/>
        </w:rPr>
        <w:t>a</w:t>
      </w:r>
    </w:p>
    <w:p w:rsidR="00760081" w:rsidRPr="00760081" w:rsidRDefault="005E484A" w:rsidP="00760081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Teplárna České Budějovice, a.s.</w:t>
      </w:r>
    </w:p>
    <w:p w:rsidR="00760081" w:rsidRPr="00760081" w:rsidRDefault="005E484A" w:rsidP="0076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Novohradská 32</w:t>
      </w:r>
      <w:r w:rsidR="00760081" w:rsidRPr="00760081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37</w:t>
      </w:r>
      <w:r w:rsidR="00972831">
        <w:rPr>
          <w:rFonts w:ascii="Arial" w:hAnsi="Arial" w:cs="Arial"/>
          <w:sz w:val="18"/>
          <w:szCs w:val="18"/>
        </w:rPr>
        <w:t>0 01</w:t>
      </w:r>
      <w:r w:rsidR="00760081" w:rsidRPr="0076008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České Budějovice</w:t>
      </w:r>
    </w:p>
    <w:p w:rsidR="00760081" w:rsidRPr="0076008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IČO: </w:t>
      </w:r>
      <w:r w:rsidR="005E484A">
        <w:rPr>
          <w:rFonts w:ascii="Arial" w:hAnsi="Arial" w:cs="Arial"/>
          <w:sz w:val="18"/>
          <w:szCs w:val="18"/>
        </w:rPr>
        <w:t>60826835</w:t>
      </w:r>
      <w:r w:rsidRPr="00760081">
        <w:rPr>
          <w:rFonts w:ascii="Arial" w:hAnsi="Arial" w:cs="Arial"/>
          <w:sz w:val="18"/>
          <w:szCs w:val="18"/>
        </w:rPr>
        <w:t xml:space="preserve">, DIČ: </w:t>
      </w:r>
      <w:r w:rsidR="005E484A">
        <w:rPr>
          <w:rFonts w:ascii="Arial" w:hAnsi="Arial" w:cs="Arial"/>
          <w:sz w:val="18"/>
          <w:szCs w:val="18"/>
        </w:rPr>
        <w:t>CZ60826835</w:t>
      </w:r>
    </w:p>
    <w:p w:rsidR="00760081" w:rsidRPr="0076008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Bankovní spojení: </w:t>
      </w:r>
      <w:r w:rsidR="000D2B6E">
        <w:rPr>
          <w:rFonts w:ascii="Arial" w:hAnsi="Arial" w:cs="Arial"/>
          <w:sz w:val="18"/>
          <w:szCs w:val="18"/>
        </w:rPr>
        <w:t>xxxxx</w:t>
      </w:r>
    </w:p>
    <w:p w:rsidR="00760081" w:rsidRPr="0076008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e-mail: </w:t>
      </w:r>
      <w:r w:rsidR="000D2B6E">
        <w:rPr>
          <w:rFonts w:ascii="Arial" w:hAnsi="Arial" w:cs="Arial"/>
          <w:sz w:val="18"/>
          <w:szCs w:val="18"/>
        </w:rPr>
        <w:t>xxxxx</w:t>
      </w:r>
    </w:p>
    <w:p w:rsidR="00760081" w:rsidRPr="0076008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Společnost je zapsána v Obchodním rejstříku vedeném </w:t>
      </w:r>
      <w:r w:rsidR="00972831">
        <w:rPr>
          <w:rFonts w:ascii="Arial" w:hAnsi="Arial" w:cs="Arial"/>
          <w:sz w:val="18"/>
          <w:szCs w:val="18"/>
        </w:rPr>
        <w:t>Krajským</w:t>
      </w:r>
      <w:r w:rsidRPr="00760081">
        <w:rPr>
          <w:rFonts w:ascii="Arial" w:hAnsi="Arial" w:cs="Arial"/>
          <w:sz w:val="18"/>
          <w:szCs w:val="18"/>
        </w:rPr>
        <w:t xml:space="preserve"> soudem v</w:t>
      </w:r>
      <w:r w:rsidR="00972831">
        <w:rPr>
          <w:rFonts w:ascii="Arial" w:hAnsi="Arial" w:cs="Arial"/>
          <w:sz w:val="18"/>
          <w:szCs w:val="18"/>
        </w:rPr>
        <w:t> Českých Budějovicích</w:t>
      </w:r>
      <w:r w:rsidRPr="00760081">
        <w:rPr>
          <w:rFonts w:ascii="Arial" w:hAnsi="Arial" w:cs="Arial"/>
          <w:sz w:val="18"/>
          <w:szCs w:val="18"/>
        </w:rPr>
        <w:t xml:space="preserve">, oddíl </w:t>
      </w:r>
      <w:r w:rsidR="00972831">
        <w:rPr>
          <w:rFonts w:ascii="Arial" w:hAnsi="Arial" w:cs="Arial"/>
          <w:sz w:val="18"/>
          <w:szCs w:val="18"/>
        </w:rPr>
        <w:t>B</w:t>
      </w:r>
      <w:r w:rsidRPr="00760081">
        <w:rPr>
          <w:rFonts w:ascii="Arial" w:hAnsi="Arial" w:cs="Arial"/>
          <w:sz w:val="18"/>
          <w:szCs w:val="18"/>
        </w:rPr>
        <w:t>, vložka</w:t>
      </w:r>
      <w:r w:rsidR="00972831">
        <w:rPr>
          <w:rFonts w:ascii="Arial" w:hAnsi="Arial" w:cs="Arial"/>
          <w:sz w:val="18"/>
          <w:szCs w:val="18"/>
        </w:rPr>
        <w:t xml:space="preserve"> 637</w:t>
      </w:r>
    </w:p>
    <w:p w:rsidR="0097283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zastoupená: </w:t>
      </w:r>
      <w:r w:rsidR="00972831">
        <w:rPr>
          <w:rFonts w:ascii="Arial" w:hAnsi="Arial" w:cs="Arial"/>
          <w:sz w:val="18"/>
          <w:szCs w:val="18"/>
        </w:rPr>
        <w:t>Ing. Václavem Králem, Předsedou představenstva a</w:t>
      </w:r>
    </w:p>
    <w:p w:rsidR="00920A44" w:rsidRDefault="00B23C91" w:rsidP="00B23C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="00972831">
        <w:rPr>
          <w:rFonts w:ascii="Arial" w:hAnsi="Arial" w:cs="Arial"/>
          <w:sz w:val="18"/>
          <w:szCs w:val="18"/>
        </w:rPr>
        <w:t>Mgr. Martinem Žahourkem, členem představenstva</w:t>
      </w:r>
    </w:p>
    <w:p w:rsidR="00760081" w:rsidRPr="0076008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(dále jen „odběratel“)</w:t>
      </w:r>
    </w:p>
    <w:p w:rsidR="00760081" w:rsidRPr="00760081" w:rsidRDefault="00760081" w:rsidP="00760081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760081">
        <w:rPr>
          <w:rFonts w:ascii="Arial" w:hAnsi="Arial" w:cs="Arial"/>
          <w:b/>
          <w:w w:val="80"/>
        </w:rPr>
        <w:t>2. Předmět smlouvy</w:t>
      </w:r>
    </w:p>
    <w:p w:rsidR="00760081" w:rsidRPr="00760081" w:rsidRDefault="00760081" w:rsidP="00760081">
      <w:pPr>
        <w:numPr>
          <w:ilvl w:val="1"/>
          <w:numId w:val="8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Dodavatel se touto smlouvou zavazuje poskytnout odběrateli licenci k užití programového vybavení právní informační systém </w:t>
      </w:r>
      <w:r w:rsidRPr="00760081">
        <w:rPr>
          <w:rFonts w:ascii="Arial" w:hAnsi="Arial" w:cs="Arial"/>
          <w:b/>
          <w:sz w:val="18"/>
          <w:szCs w:val="18"/>
        </w:rPr>
        <w:t>CODEXIS</w:t>
      </w:r>
      <w:r w:rsidRPr="00760081">
        <w:rPr>
          <w:rFonts w:ascii="Arial" w:hAnsi="Arial" w:cs="Arial"/>
          <w:sz w:val="18"/>
          <w:szCs w:val="18"/>
          <w:vertAlign w:val="superscript"/>
        </w:rPr>
        <w:t>®</w:t>
      </w:r>
      <w:r w:rsidRPr="00760081">
        <w:rPr>
          <w:rFonts w:ascii="Arial" w:hAnsi="Arial" w:cs="Arial"/>
          <w:sz w:val="18"/>
          <w:szCs w:val="18"/>
        </w:rPr>
        <w:t xml:space="preserve">, ve verzi </w:t>
      </w:r>
      <w:r w:rsidR="00B97E5B" w:rsidRPr="00B97E5B">
        <w:rPr>
          <w:rFonts w:ascii="Arial" w:hAnsi="Arial" w:cs="Arial"/>
          <w:b/>
          <w:sz w:val="18"/>
          <w:szCs w:val="18"/>
        </w:rPr>
        <w:t>N/5</w:t>
      </w:r>
      <w:r w:rsidR="00B97E5B">
        <w:rPr>
          <w:rFonts w:ascii="Arial" w:hAnsi="Arial" w:cs="Arial"/>
          <w:sz w:val="18"/>
          <w:szCs w:val="18"/>
        </w:rPr>
        <w:t>, 5 stálých dynamických přístupů</w:t>
      </w:r>
      <w:r w:rsidRPr="00760081">
        <w:rPr>
          <w:rFonts w:ascii="Arial" w:hAnsi="Arial" w:cs="Arial"/>
          <w:sz w:val="18"/>
          <w:szCs w:val="18"/>
        </w:rPr>
        <w:t xml:space="preserve"> na síti, včetně doplňků </w:t>
      </w:r>
      <w:r w:rsidR="00B97E5B">
        <w:rPr>
          <w:rFonts w:ascii="Arial" w:hAnsi="Arial" w:cs="Arial"/>
          <w:sz w:val="18"/>
          <w:szCs w:val="18"/>
        </w:rPr>
        <w:t>NET Servis PLUS (průběžné aktualizace), CITEX, Rekodifikace, Literatura, Balíček slovníky, Vzory smluv, Sledované dokumenty, Liberis Silver, Právní kalkulačka, Monitor Veřejné zakázky, Monitor Daně, Monitor Účetnictví, Monitor Personalistika a Monitor GDPR</w:t>
      </w:r>
      <w:r w:rsidRPr="00760081">
        <w:rPr>
          <w:rFonts w:ascii="Arial" w:hAnsi="Arial" w:cs="Arial"/>
          <w:sz w:val="18"/>
          <w:szCs w:val="18"/>
        </w:rPr>
        <w:t xml:space="preserve"> (dále jen „produkt“) a po dobu účinnosti této smlouvy zajišťovat pro odběratele poradenské a servisní služby dle ust. 2.2 této servisní smlouvy a odběratel se zavazuje za tyto služby dodavateli zaplatit smluvenou cenu dle ust. 3. této servisní smlouvy.</w:t>
      </w:r>
    </w:p>
    <w:p w:rsidR="00760081" w:rsidRPr="00760081" w:rsidRDefault="00760081" w:rsidP="00760081">
      <w:pPr>
        <w:numPr>
          <w:ilvl w:val="1"/>
          <w:numId w:val="8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Čerpání služeb:</w:t>
      </w:r>
    </w:p>
    <w:p w:rsidR="00760081" w:rsidRPr="00760081" w:rsidRDefault="00760081" w:rsidP="00760081">
      <w:pPr>
        <w:tabs>
          <w:tab w:val="left" w:pos="567"/>
        </w:tabs>
        <w:spacing w:before="20"/>
        <w:ind w:left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Prvotní instalace produktu zahrnuje tyto služby:</w:t>
      </w:r>
    </w:p>
    <w:p w:rsidR="00760081" w:rsidRPr="00760081" w:rsidRDefault="00760081" w:rsidP="00760081">
      <w:pPr>
        <w:numPr>
          <w:ilvl w:val="0"/>
          <w:numId w:val="7"/>
        </w:numPr>
        <w:tabs>
          <w:tab w:val="clear" w:pos="360"/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prvotní instalace produktu CODEXIS</w:t>
      </w:r>
      <w:r w:rsidRPr="00760081">
        <w:rPr>
          <w:rFonts w:ascii="Arial" w:hAnsi="Arial" w:cs="Arial"/>
          <w:sz w:val="18"/>
          <w:szCs w:val="18"/>
          <w:vertAlign w:val="superscript"/>
        </w:rPr>
        <w:t xml:space="preserve">® </w:t>
      </w:r>
      <w:r w:rsidRPr="00760081">
        <w:rPr>
          <w:rFonts w:ascii="Arial" w:hAnsi="Arial" w:cs="Arial"/>
          <w:sz w:val="18"/>
          <w:szCs w:val="18"/>
        </w:rPr>
        <w:t>včetně základního zaškolení po instalaci,</w:t>
      </w:r>
    </w:p>
    <w:p w:rsidR="00760081" w:rsidRPr="00760081" w:rsidRDefault="00760081" w:rsidP="00760081">
      <w:pPr>
        <w:numPr>
          <w:ilvl w:val="0"/>
          <w:numId w:val="7"/>
        </w:numPr>
        <w:tabs>
          <w:tab w:val="clear" w:pos="360"/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přeinstalace produktu CODEXIS</w:t>
      </w:r>
      <w:r w:rsidRPr="00760081">
        <w:rPr>
          <w:rFonts w:ascii="Arial" w:hAnsi="Arial" w:cs="Arial"/>
          <w:sz w:val="18"/>
          <w:szCs w:val="18"/>
          <w:vertAlign w:val="superscript"/>
        </w:rPr>
        <w:t>®</w:t>
      </w:r>
      <w:r w:rsidRPr="00760081">
        <w:rPr>
          <w:rFonts w:ascii="Arial" w:hAnsi="Arial" w:cs="Arial"/>
          <w:sz w:val="18"/>
          <w:szCs w:val="18"/>
        </w:rPr>
        <w:t xml:space="preserve"> v průběhu </w:t>
      </w:r>
      <w:r w:rsidRPr="00760081">
        <w:rPr>
          <w:rFonts w:ascii="Arial" w:hAnsi="Arial" w:cs="Arial"/>
          <w:sz w:val="18"/>
          <w:szCs w:val="18"/>
        </w:rPr>
        <w:t xml:space="preserve">účinnosti smlouvy za cenu </w:t>
      </w:r>
      <w:r w:rsidR="000D2B6E">
        <w:rPr>
          <w:rFonts w:ascii="Arial" w:hAnsi="Arial" w:cs="Arial"/>
          <w:sz w:val="18"/>
          <w:szCs w:val="18"/>
        </w:rPr>
        <w:t>xxxxx</w:t>
      </w:r>
      <w:r w:rsidRPr="00760081">
        <w:rPr>
          <w:rFonts w:ascii="Arial" w:hAnsi="Arial" w:cs="Arial"/>
          <w:sz w:val="18"/>
          <w:szCs w:val="18"/>
        </w:rPr>
        <w:t xml:space="preserve"> bez DPH</w:t>
      </w:r>
      <w:r w:rsidRPr="00760081">
        <w:rPr>
          <w:rFonts w:ascii="Arial" w:hAnsi="Arial" w:cs="Arial"/>
          <w:sz w:val="18"/>
          <w:szCs w:val="18"/>
        </w:rPr>
        <w:t>, v ceně je zahrnuto i dopravné,</w:t>
      </w:r>
    </w:p>
    <w:p w:rsidR="00760081" w:rsidRPr="00760081" w:rsidRDefault="00760081" w:rsidP="00760081">
      <w:pPr>
        <w:numPr>
          <w:ilvl w:val="0"/>
          <w:numId w:val="7"/>
        </w:numPr>
        <w:tabs>
          <w:tab w:val="clear" w:pos="360"/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bezplatné zaškolení libovolného počtu pracovníků do uživatelských funkcí v rozsahu 2 hodin.</w:t>
      </w:r>
    </w:p>
    <w:p w:rsidR="00760081" w:rsidRPr="00760081" w:rsidRDefault="00760081" w:rsidP="00760081">
      <w:pPr>
        <w:spacing w:before="60"/>
        <w:ind w:left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Další služby: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telefon na Linku zákaznické podpory,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přednostní e-mail na technickou podporu,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servisní práce dle zvýhodněných sazeb (50 % sleva),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metodické školení dle zvýhodněných sazeb (25 % sleva),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doprava dle zvýhodněných sazeb,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informace o novinkách formou bulletinu,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pravidelné měsíční aktualizace zdarma formou doplňku NET Servis,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služba „volání zpět“,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poskytování e-mailové a telefonické podpory zdarma,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verze notebook za zvýhodněné ceny,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10 % sleva na rozšíření produktu.</w:t>
      </w:r>
    </w:p>
    <w:p w:rsidR="00927619" w:rsidRDefault="00760081" w:rsidP="00927619">
      <w:pPr>
        <w:pStyle w:val="Nadpis1"/>
        <w:spacing w:after="120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Právo na čerpání výše uvedených služeb vzniká dnem úhrady za poskytování služeb dle článku 3 této servisní smlouvy.</w:t>
      </w:r>
    </w:p>
    <w:p w:rsidR="00760081" w:rsidRPr="00AD582B" w:rsidRDefault="00760081" w:rsidP="00760081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D582B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:rsidR="00760081" w:rsidRPr="006D18CA" w:rsidRDefault="00760081" w:rsidP="00760081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6D18CA">
        <w:rPr>
          <w:rFonts w:ascii="Arial" w:hAnsi="Arial" w:cs="Arial"/>
          <w:sz w:val="18"/>
          <w:szCs w:val="18"/>
          <w:u w:val="single"/>
        </w:rPr>
        <w:t>www.atlasconsulting.cz</w:t>
      </w:r>
      <w:r w:rsidRPr="006D18CA">
        <w:rPr>
          <w:rFonts w:ascii="Arial" w:hAnsi="Arial" w:cs="Arial"/>
          <w:sz w:val="18"/>
          <w:szCs w:val="18"/>
        </w:rPr>
        <w:t>.</w:t>
      </w:r>
    </w:p>
    <w:p w:rsidR="00B97E5B" w:rsidRDefault="00760081" w:rsidP="00B97E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:rsidR="00760081" w:rsidRPr="00B97E5B" w:rsidRDefault="00760081" w:rsidP="00B97E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7E5B">
        <w:rPr>
          <w:rFonts w:ascii="Arial" w:hAnsi="Arial" w:cs="Arial"/>
          <w:sz w:val="18"/>
          <w:szCs w:val="18"/>
        </w:rPr>
        <w:t xml:space="preserve">Cena za 1 rok </w:t>
      </w:r>
      <w:r w:rsidRPr="00B97E5B">
        <w:rPr>
          <w:rFonts w:ascii="Arial" w:hAnsi="Arial" w:cs="Arial"/>
          <w:sz w:val="18"/>
          <w:szCs w:val="18"/>
        </w:rPr>
        <w:t xml:space="preserve">poskytování služeb je stanovena na </w:t>
      </w:r>
      <w:r w:rsidR="000D2B6E">
        <w:rPr>
          <w:rFonts w:ascii="Arial" w:hAnsi="Arial" w:cs="Arial"/>
          <w:b/>
          <w:color w:val="333333"/>
          <w:sz w:val="18"/>
          <w:szCs w:val="18"/>
        </w:rPr>
        <w:t>xxxxx</w:t>
      </w:r>
      <w:r w:rsidR="005E484A" w:rsidRPr="00B97E5B">
        <w:rPr>
          <w:rFonts w:ascii="Arial" w:hAnsi="Arial" w:cs="Arial"/>
          <w:b/>
          <w:color w:val="333333"/>
          <w:sz w:val="18"/>
          <w:szCs w:val="18"/>
        </w:rPr>
        <w:t xml:space="preserve">. Celková </w:t>
      </w:r>
      <w:r w:rsidR="00B97E5B">
        <w:rPr>
          <w:rFonts w:ascii="Arial" w:hAnsi="Arial" w:cs="Arial"/>
          <w:b/>
          <w:color w:val="333333"/>
          <w:sz w:val="18"/>
          <w:szCs w:val="18"/>
        </w:rPr>
        <w:t xml:space="preserve">zvýhodněná </w:t>
      </w:r>
      <w:r w:rsidR="005E484A" w:rsidRPr="00B97E5B">
        <w:rPr>
          <w:rFonts w:ascii="Arial" w:hAnsi="Arial" w:cs="Arial"/>
          <w:b/>
          <w:color w:val="333333"/>
          <w:sz w:val="18"/>
          <w:szCs w:val="18"/>
        </w:rPr>
        <w:t xml:space="preserve">cena za období trvání smlouvy </w:t>
      </w:r>
      <w:r w:rsidR="00B97E5B">
        <w:rPr>
          <w:rFonts w:ascii="Arial" w:hAnsi="Arial" w:cs="Arial"/>
          <w:b/>
          <w:color w:val="333333"/>
          <w:sz w:val="18"/>
          <w:szCs w:val="18"/>
        </w:rPr>
        <w:t>do 31.12.2023</w:t>
      </w:r>
      <w:r w:rsidR="005E484A" w:rsidRPr="00B97E5B">
        <w:rPr>
          <w:rFonts w:ascii="Arial" w:hAnsi="Arial" w:cs="Arial"/>
          <w:b/>
          <w:color w:val="333333"/>
          <w:sz w:val="18"/>
          <w:szCs w:val="18"/>
        </w:rPr>
        <w:t xml:space="preserve"> je </w:t>
      </w:r>
      <w:r w:rsidR="000D2B6E">
        <w:rPr>
          <w:rFonts w:ascii="Arial" w:hAnsi="Arial" w:cs="Arial"/>
          <w:b/>
          <w:color w:val="333333"/>
          <w:sz w:val="18"/>
          <w:szCs w:val="18"/>
        </w:rPr>
        <w:t>xxxxx</w:t>
      </w:r>
      <w:r w:rsidRPr="00B97E5B">
        <w:rPr>
          <w:rFonts w:ascii="Arial" w:hAnsi="Arial" w:cs="Arial"/>
          <w:b/>
          <w:sz w:val="18"/>
          <w:szCs w:val="18"/>
        </w:rPr>
        <w:t xml:space="preserve">. </w:t>
      </w:r>
      <w:r w:rsidRPr="00B97E5B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:rsidR="00760081" w:rsidRPr="006D18CA" w:rsidRDefault="00760081" w:rsidP="00760081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lastRenderedPageBreak/>
        <w:t xml:space="preserve">Úhrada za služby bude </w:t>
      </w:r>
      <w:r>
        <w:rPr>
          <w:rFonts w:ascii="Arial" w:hAnsi="Arial" w:cs="Arial"/>
          <w:sz w:val="18"/>
          <w:szCs w:val="18"/>
        </w:rPr>
        <w:t>u</w:t>
      </w:r>
      <w:r w:rsidRPr="006D18CA">
        <w:rPr>
          <w:rFonts w:ascii="Arial" w:hAnsi="Arial" w:cs="Arial"/>
          <w:sz w:val="18"/>
          <w:szCs w:val="18"/>
        </w:rPr>
        <w:t>hrazena jedn</w:t>
      </w:r>
      <w:r>
        <w:rPr>
          <w:rFonts w:ascii="Arial" w:hAnsi="Arial" w:cs="Arial"/>
          <w:sz w:val="18"/>
          <w:szCs w:val="18"/>
        </w:rPr>
        <w:t>orázově dopředu na celé období trvání smlouvy</w:t>
      </w:r>
      <w:r w:rsidRPr="006D18CA">
        <w:rPr>
          <w:rFonts w:ascii="Arial" w:hAnsi="Arial" w:cs="Arial"/>
          <w:sz w:val="18"/>
          <w:szCs w:val="18"/>
        </w:rPr>
        <w:t xml:space="preserve"> na základě elektronického </w:t>
      </w:r>
      <w:r>
        <w:rPr>
          <w:rFonts w:ascii="Arial" w:hAnsi="Arial" w:cs="Arial"/>
          <w:sz w:val="18"/>
          <w:szCs w:val="18"/>
        </w:rPr>
        <w:t xml:space="preserve">zálohového platebního nebo daňového dokladu </w:t>
      </w:r>
      <w:r w:rsidRPr="006D18CA">
        <w:rPr>
          <w:rFonts w:ascii="Arial" w:hAnsi="Arial" w:cs="Arial"/>
          <w:sz w:val="18"/>
          <w:szCs w:val="18"/>
        </w:rPr>
        <w:t xml:space="preserve">(dále jen faktura) dle § 26, odst. </w:t>
      </w:r>
      <w:r>
        <w:rPr>
          <w:rFonts w:ascii="Arial" w:hAnsi="Arial" w:cs="Arial"/>
          <w:sz w:val="18"/>
          <w:szCs w:val="18"/>
        </w:rPr>
        <w:t>3</w:t>
      </w:r>
      <w:r w:rsidRPr="006D18CA">
        <w:rPr>
          <w:rFonts w:ascii="Arial" w:hAnsi="Arial" w:cs="Arial"/>
          <w:sz w:val="18"/>
          <w:szCs w:val="18"/>
        </w:rPr>
        <w:t xml:space="preserve"> zákona č. 235/2004Sb. v platném znění, vystaveného dodavatelem se splatností do 8 dnů ode dne jeho doručení odběrateli na jeho e-mailovou adresu:</w:t>
      </w:r>
      <w:r w:rsidR="005E484A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972831" w:rsidRPr="00972831">
          <w:rPr>
            <w:rStyle w:val="Hypertextovodkaz"/>
            <w:rFonts w:ascii="Arial" w:hAnsi="Arial" w:cs="Arial"/>
            <w:sz w:val="18"/>
            <w:szCs w:val="18"/>
          </w:rPr>
          <w:t>podatelna@teplarna-cb.cz</w:t>
        </w:r>
      </w:hyperlink>
      <w:r w:rsidR="00B97E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. </w:t>
      </w:r>
      <w:r w:rsidRPr="008D35FC">
        <w:rPr>
          <w:rFonts w:ascii="Arial" w:hAnsi="Arial" w:cs="Arial"/>
          <w:sz w:val="18"/>
          <w:szCs w:val="18"/>
        </w:rPr>
        <w:t xml:space="preserve">Doručením </w:t>
      </w:r>
      <w:r w:rsidRPr="008D35FC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:rsidR="00760081" w:rsidRPr="006D18CA" w:rsidRDefault="00760081" w:rsidP="00760081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Kontaktní osoba odběratele pro </w:t>
      </w:r>
      <w:r w:rsidRPr="006D18CA">
        <w:rPr>
          <w:rFonts w:ascii="Arial" w:hAnsi="Arial" w:cs="Arial"/>
          <w:sz w:val="18"/>
          <w:szCs w:val="18"/>
        </w:rPr>
        <w:t>fakturaci</w:t>
      </w:r>
      <w:r w:rsidRPr="00AD4D53">
        <w:rPr>
          <w:rFonts w:ascii="Arial" w:hAnsi="Arial" w:cs="Arial"/>
          <w:sz w:val="18"/>
          <w:szCs w:val="18"/>
        </w:rPr>
        <w:t xml:space="preserve">: </w:t>
      </w:r>
      <w:r w:rsidR="006A7F8F" w:rsidRPr="00AD4D53">
        <w:rPr>
          <w:rFonts w:ascii="Arial" w:hAnsi="Arial" w:cs="Arial"/>
          <w:sz w:val="18"/>
          <w:szCs w:val="18"/>
        </w:rPr>
        <w:t>xxxxx</w:t>
      </w:r>
      <w:r w:rsidR="009E2930" w:rsidRPr="00AD4D53">
        <w:rPr>
          <w:rFonts w:ascii="Arial" w:hAnsi="Arial" w:cs="Arial"/>
          <w:sz w:val="18"/>
          <w:szCs w:val="18"/>
        </w:rPr>
        <w:t>.</w:t>
      </w:r>
    </w:p>
    <w:p w:rsidR="00760081" w:rsidRPr="006D18CA" w:rsidRDefault="00760081" w:rsidP="00760081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:rsidR="00760081" w:rsidRDefault="00760081" w:rsidP="00760081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6D18CA">
        <w:rPr>
          <w:rFonts w:ascii="Arial" w:hAnsi="Arial" w:cs="Arial"/>
          <w:sz w:val="18"/>
          <w:szCs w:val="18"/>
        </w:rPr>
        <w:t>řed uplynutím předplaceného období bude odběrateli zaslána faktura na další období</w:t>
      </w:r>
      <w:r>
        <w:rPr>
          <w:rFonts w:ascii="Arial" w:hAnsi="Arial" w:cs="Arial"/>
          <w:sz w:val="18"/>
          <w:szCs w:val="18"/>
        </w:rPr>
        <w:t xml:space="preserve">  </w:t>
      </w:r>
      <w:r w:rsidRPr="006D18CA">
        <w:rPr>
          <w:rFonts w:ascii="Arial" w:hAnsi="Arial" w:cs="Arial"/>
          <w:sz w:val="18"/>
          <w:szCs w:val="18"/>
        </w:rPr>
        <w:t xml:space="preserve"> poskytování služe</w:t>
      </w:r>
      <w:r>
        <w:rPr>
          <w:rFonts w:ascii="Arial" w:hAnsi="Arial" w:cs="Arial"/>
          <w:sz w:val="18"/>
          <w:szCs w:val="18"/>
        </w:rPr>
        <w:t xml:space="preserve">b, faktura bude </w:t>
      </w:r>
      <w:r w:rsidRPr="006D18CA">
        <w:rPr>
          <w:rFonts w:ascii="Arial" w:hAnsi="Arial" w:cs="Arial"/>
          <w:sz w:val="18"/>
          <w:szCs w:val="18"/>
        </w:rPr>
        <w:t xml:space="preserve">doručení na e-mailovou adresu odběratele uvedenou v odst. 3.4. </w:t>
      </w:r>
      <w:r>
        <w:rPr>
          <w:rFonts w:ascii="Arial" w:hAnsi="Arial" w:cs="Arial"/>
          <w:sz w:val="18"/>
          <w:szCs w:val="18"/>
        </w:rPr>
        <w:t>nebo na doručovací adresu odběratele.</w:t>
      </w:r>
    </w:p>
    <w:p w:rsidR="00760081" w:rsidRPr="006D18CA" w:rsidRDefault="00760081" w:rsidP="00760081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rok</w:t>
      </w:r>
      <w:r>
        <w:rPr>
          <w:rFonts w:ascii="Arial" w:hAnsi="Arial" w:cs="Arial"/>
          <w:sz w:val="18"/>
          <w:szCs w:val="18"/>
        </w:rPr>
        <w:t>, nejdříve však po uplynutí období, na které byla tato smlouva sjednána</w:t>
      </w:r>
      <w:r w:rsidRPr="006D18CA">
        <w:rPr>
          <w:rFonts w:ascii="Arial" w:hAnsi="Arial" w:cs="Arial"/>
          <w:sz w:val="18"/>
          <w:szCs w:val="18"/>
        </w:rPr>
        <w:t>.</w:t>
      </w:r>
    </w:p>
    <w:p w:rsidR="00760081" w:rsidRPr="006D18CA" w:rsidRDefault="00760081" w:rsidP="00760081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:rsidR="00760081" w:rsidRPr="00AD582B" w:rsidRDefault="00760081" w:rsidP="00760081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D582B">
        <w:rPr>
          <w:rFonts w:ascii="Arial" w:hAnsi="Arial" w:cs="Arial"/>
          <w:b/>
          <w:w w:val="80"/>
          <w:sz w:val="24"/>
        </w:rPr>
        <w:t>4. Spolupráce ze strany dodavatele</w:t>
      </w:r>
    </w:p>
    <w:p w:rsidR="00760081" w:rsidRPr="00AD582B" w:rsidRDefault="00760081" w:rsidP="00760081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:rsidR="00760081" w:rsidRPr="00AD582B" w:rsidRDefault="00760081" w:rsidP="00760081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Dodavatel odběrateli účtuje ceny servisních prací se zvýhodněními oproti standardnímu ceníku.</w:t>
      </w:r>
    </w:p>
    <w:p w:rsidR="00760081" w:rsidRPr="00AD582B" w:rsidRDefault="00760081" w:rsidP="00760081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:rsidR="00760081" w:rsidRPr="00AD582B" w:rsidRDefault="00760081" w:rsidP="00760081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:rsidR="00760081" w:rsidRPr="00AD582B" w:rsidRDefault="00760081" w:rsidP="00760081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:rsidR="00760081" w:rsidRPr="00AD582B" w:rsidRDefault="00760081" w:rsidP="00760081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Na data </w:t>
      </w:r>
      <w:r w:rsidRPr="00871AB6">
        <w:rPr>
          <w:rFonts w:ascii="Arial" w:hAnsi="Arial" w:cs="Arial"/>
          <w:sz w:val="18"/>
          <w:szCs w:val="18"/>
        </w:rPr>
        <w:t>poskytnutá v rámci základní dodávky produktu a aktualizací</w:t>
      </w:r>
      <w:r w:rsidRPr="00AD582B">
        <w:rPr>
          <w:rFonts w:ascii="Arial" w:hAnsi="Arial" w:cs="Arial"/>
          <w:sz w:val="18"/>
          <w:szCs w:val="18"/>
        </w:rPr>
        <w:t xml:space="preserve"> se vztahují Všeobecné obchodní a licenční podmínky základní dodávky ve stejném rozsahu. Jejich znění je umístěno na internetových stránkách dodavatele</w:t>
      </w:r>
      <w:r>
        <w:rPr>
          <w:rFonts w:ascii="Arial" w:hAnsi="Arial" w:cs="Arial"/>
          <w:sz w:val="18"/>
          <w:szCs w:val="18"/>
        </w:rPr>
        <w:t xml:space="preserve"> </w:t>
      </w:r>
      <w:r w:rsidRPr="006D18CA">
        <w:rPr>
          <w:rFonts w:ascii="Arial" w:hAnsi="Arial" w:cs="Arial"/>
          <w:sz w:val="18"/>
          <w:szCs w:val="18"/>
          <w:u w:val="single"/>
        </w:rPr>
        <w:t>www.atlasconsulting.cz</w:t>
      </w:r>
      <w:r w:rsidRPr="0043345F">
        <w:rPr>
          <w:rStyle w:val="Hypertextovodkaz"/>
          <w:rFonts w:ascii="Arial" w:hAnsi="Arial" w:cs="Arial"/>
          <w:sz w:val="18"/>
          <w:szCs w:val="18"/>
        </w:rPr>
        <w:t xml:space="preserve"> </w:t>
      </w:r>
      <w:r w:rsidRPr="00AD582B">
        <w:rPr>
          <w:rFonts w:ascii="Arial" w:hAnsi="Arial" w:cs="Arial"/>
          <w:sz w:val="18"/>
          <w:szCs w:val="18"/>
        </w:rPr>
        <w:t>a odběratel je povinen se jimi řídit.</w:t>
      </w:r>
    </w:p>
    <w:p w:rsidR="00760081" w:rsidRPr="00AD582B" w:rsidRDefault="00760081" w:rsidP="00760081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D582B">
        <w:rPr>
          <w:rFonts w:ascii="Arial" w:hAnsi="Arial" w:cs="Arial"/>
          <w:b/>
          <w:w w:val="80"/>
          <w:sz w:val="24"/>
        </w:rPr>
        <w:t>5. Spolupráce ze strany odběratele</w:t>
      </w:r>
    </w:p>
    <w:p w:rsidR="00760081" w:rsidRPr="00AD582B" w:rsidRDefault="00760081" w:rsidP="00760081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:rsidR="00760081" w:rsidRDefault="00760081" w:rsidP="00760081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-</w:t>
      </w:r>
      <w:r w:rsidRPr="00AD582B">
        <w:rPr>
          <w:rFonts w:ascii="Arial" w:hAnsi="Arial" w:cs="Arial"/>
          <w:sz w:val="18"/>
          <w:szCs w:val="18"/>
        </w:rPr>
        <w:tab/>
        <w:t>za dodavatele: Klientské centrum, tel.: 596 613 333, e-mail:</w:t>
      </w:r>
      <w:r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B23C91" w:rsidRPr="00FD2D2A">
          <w:rPr>
            <w:rStyle w:val="Hypertextovodkaz"/>
            <w:rFonts w:ascii="Arial" w:hAnsi="Arial" w:cs="Arial"/>
            <w:sz w:val="18"/>
            <w:szCs w:val="18"/>
          </w:rPr>
          <w:t>klientske.centrum@atlasgroup.cz</w:t>
        </w:r>
      </w:hyperlink>
      <w:r w:rsidR="00B23C91">
        <w:rPr>
          <w:rFonts w:ascii="Arial" w:hAnsi="Arial" w:cs="Arial"/>
          <w:sz w:val="18"/>
          <w:szCs w:val="18"/>
        </w:rPr>
        <w:t xml:space="preserve"> </w:t>
      </w:r>
    </w:p>
    <w:p w:rsidR="00760081" w:rsidRPr="00AD582B" w:rsidRDefault="00760081" w:rsidP="00760081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-</w:t>
      </w:r>
      <w:r w:rsidRPr="00AD582B">
        <w:rPr>
          <w:rFonts w:ascii="Arial" w:hAnsi="Arial" w:cs="Arial"/>
          <w:sz w:val="18"/>
          <w:szCs w:val="18"/>
        </w:rPr>
        <w:tab/>
        <w:t xml:space="preserve">za </w:t>
      </w:r>
      <w:r w:rsidRPr="00AD582B">
        <w:rPr>
          <w:rFonts w:ascii="Arial" w:hAnsi="Arial" w:cs="Arial"/>
          <w:sz w:val="18"/>
          <w:szCs w:val="18"/>
        </w:rPr>
        <w:t>odběratele:</w:t>
      </w:r>
      <w:r>
        <w:rPr>
          <w:rFonts w:ascii="Arial" w:hAnsi="Arial" w:cs="Arial"/>
          <w:sz w:val="18"/>
          <w:szCs w:val="18"/>
        </w:rPr>
        <w:t xml:space="preserve"> </w:t>
      </w:r>
      <w:r w:rsidR="006A7F8F">
        <w:rPr>
          <w:rFonts w:ascii="Arial" w:hAnsi="Arial" w:cs="Arial"/>
          <w:sz w:val="18"/>
          <w:szCs w:val="18"/>
        </w:rPr>
        <w:t>xxxxx</w:t>
      </w:r>
      <w:bookmarkStart w:id="0" w:name="_GoBack"/>
      <w:bookmarkEnd w:id="0"/>
      <w:r w:rsidR="00B23C91">
        <w:rPr>
          <w:rFonts w:ascii="Arial" w:hAnsi="Arial" w:cs="Arial"/>
          <w:sz w:val="18"/>
          <w:szCs w:val="18"/>
        </w:rPr>
        <w:t xml:space="preserve"> </w:t>
      </w:r>
      <w:r w:rsidR="005E484A">
        <w:rPr>
          <w:rFonts w:ascii="Arial" w:hAnsi="Arial" w:cs="Arial"/>
          <w:sz w:val="18"/>
          <w:szCs w:val="18"/>
        </w:rPr>
        <w:t xml:space="preserve"> </w:t>
      </w:r>
      <w:r w:rsidR="00B23C91">
        <w:rPr>
          <w:rFonts w:ascii="Arial" w:hAnsi="Arial" w:cs="Arial"/>
          <w:sz w:val="18"/>
          <w:szCs w:val="18"/>
        </w:rPr>
        <w:t xml:space="preserve"> </w:t>
      </w:r>
    </w:p>
    <w:p w:rsidR="00760081" w:rsidRPr="00AD582B" w:rsidRDefault="00760081" w:rsidP="00760081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Chce-li odběratel využít služeb s výjimkou telefonické podpory, uvedených v </w:t>
      </w:r>
      <w:r>
        <w:rPr>
          <w:rFonts w:ascii="Arial" w:hAnsi="Arial" w:cs="Arial"/>
          <w:sz w:val="18"/>
          <w:szCs w:val="18"/>
        </w:rPr>
        <w:t>odst</w:t>
      </w:r>
      <w:r w:rsidRPr="00AD582B">
        <w:rPr>
          <w:rFonts w:ascii="Arial" w:hAnsi="Arial" w:cs="Arial"/>
          <w:sz w:val="18"/>
          <w:szCs w:val="18"/>
        </w:rPr>
        <w:t>. 2.2 této servisní smlouvy, o poskytnutí těchto služeb požádá na e-mail:</w:t>
      </w:r>
      <w:r>
        <w:rPr>
          <w:rFonts w:ascii="Arial" w:hAnsi="Arial" w:cs="Arial"/>
          <w:sz w:val="18"/>
          <w:szCs w:val="18"/>
        </w:rPr>
        <w:t xml:space="preserve"> </w:t>
      </w:r>
      <w:r w:rsidRPr="00CF7AFB">
        <w:rPr>
          <w:rFonts w:ascii="Arial" w:hAnsi="Arial" w:cs="Arial"/>
          <w:sz w:val="18"/>
          <w:szCs w:val="18"/>
        </w:rPr>
        <w:t>klientske.centrum</w:t>
      </w:r>
      <w:r w:rsidRPr="00271809">
        <w:rPr>
          <w:rFonts w:ascii="Arial" w:hAnsi="Arial" w:cs="Arial"/>
          <w:sz w:val="18"/>
          <w:szCs w:val="18"/>
        </w:rPr>
        <w:t>@</w:t>
      </w:r>
      <w:r w:rsidR="00FF0530">
        <w:rPr>
          <w:rFonts w:ascii="Arial" w:hAnsi="Arial" w:cs="Arial"/>
          <w:sz w:val="18"/>
          <w:szCs w:val="18"/>
        </w:rPr>
        <w:t>atlasgroup</w:t>
      </w:r>
      <w:r w:rsidRPr="00271809">
        <w:rPr>
          <w:rFonts w:ascii="Arial" w:hAnsi="Arial" w:cs="Arial"/>
          <w:sz w:val="18"/>
          <w:szCs w:val="18"/>
        </w:rPr>
        <w:t>.cz</w:t>
      </w:r>
      <w:r w:rsidRPr="00AD582B">
        <w:rPr>
          <w:rFonts w:ascii="Arial" w:hAnsi="Arial" w:cs="Arial"/>
          <w:sz w:val="18"/>
          <w:szCs w:val="18"/>
        </w:rPr>
        <w:t>.</w:t>
      </w:r>
    </w:p>
    <w:p w:rsidR="00760081" w:rsidRPr="00AD582B" w:rsidRDefault="00760081" w:rsidP="00760081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:rsidR="00760081" w:rsidRPr="00AD582B" w:rsidRDefault="00760081" w:rsidP="00760081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Odběratel informuje dodavatele předem o plánovaných zásadních změnách v podmínkách provozování systému</w:t>
      </w:r>
      <w:r>
        <w:rPr>
          <w:rFonts w:ascii="Arial" w:hAnsi="Arial" w:cs="Arial"/>
          <w:sz w:val="18"/>
          <w:szCs w:val="18"/>
        </w:rPr>
        <w:t xml:space="preserve"> </w:t>
      </w:r>
      <w:r w:rsidR="005E484A">
        <w:rPr>
          <w:rFonts w:ascii="Arial" w:hAnsi="Arial" w:cs="Arial"/>
          <w:sz w:val="18"/>
          <w:szCs w:val="18"/>
        </w:rPr>
        <w:t>CODEXIS</w:t>
      </w:r>
      <w:r w:rsidRPr="00AD582B">
        <w:rPr>
          <w:rFonts w:ascii="Arial" w:hAnsi="Arial" w:cs="Arial"/>
          <w:sz w:val="18"/>
          <w:szCs w:val="18"/>
          <w:vertAlign w:val="superscript"/>
        </w:rPr>
        <w:t>®</w:t>
      </w:r>
      <w:r w:rsidRPr="00AD582B">
        <w:rPr>
          <w:rFonts w:ascii="Arial" w:hAnsi="Arial" w:cs="Arial"/>
          <w:sz w:val="18"/>
          <w:szCs w:val="18"/>
        </w:rPr>
        <w:t xml:space="preserve"> (technické a softwarové prostředky počítačové sítě, nastavení parametrů systému apod.).</w:t>
      </w:r>
    </w:p>
    <w:p w:rsidR="00760081" w:rsidRPr="00AD582B" w:rsidRDefault="00760081" w:rsidP="00760081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  <w:r>
        <w:rPr>
          <w:rFonts w:ascii="Arial" w:hAnsi="Arial" w:cs="Arial"/>
          <w:sz w:val="18"/>
          <w:szCs w:val="18"/>
        </w:rPr>
        <w:t xml:space="preserve">  </w:t>
      </w:r>
      <w:r w:rsidRPr="00AD582B">
        <w:rPr>
          <w:rFonts w:ascii="Arial" w:hAnsi="Arial" w:cs="Arial"/>
          <w:sz w:val="18"/>
          <w:szCs w:val="18"/>
        </w:rPr>
        <w:t>Klientská linka dodavatele: tel. č.: 596 613 333.</w:t>
      </w:r>
    </w:p>
    <w:p w:rsidR="00760081" w:rsidRPr="00AD582B" w:rsidRDefault="00760081" w:rsidP="00760081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 18:00 hod. v pracovní dny a v této době zajistí přítomnost odpovědných osob.</w:t>
      </w:r>
    </w:p>
    <w:p w:rsidR="00760081" w:rsidRPr="00AD582B" w:rsidRDefault="00760081" w:rsidP="00760081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D582B">
        <w:rPr>
          <w:rFonts w:ascii="Arial" w:hAnsi="Arial" w:cs="Arial"/>
          <w:b/>
          <w:w w:val="80"/>
          <w:sz w:val="24"/>
        </w:rPr>
        <w:t>6. Poplatky</w:t>
      </w:r>
    </w:p>
    <w:p w:rsidR="00760081" w:rsidRPr="00AD582B" w:rsidRDefault="00760081" w:rsidP="00760081">
      <w:pPr>
        <w:pStyle w:val="Seznam"/>
        <w:numPr>
          <w:ilvl w:val="1"/>
          <w:numId w:val="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:rsidR="00760081" w:rsidRPr="00AD582B" w:rsidRDefault="00760081" w:rsidP="00760081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Nedojde-li k úhradě ceny za poskytování služeb řádně a včas dle</w:t>
      </w:r>
      <w:r>
        <w:rPr>
          <w:rFonts w:ascii="Arial" w:hAnsi="Arial" w:cs="Arial"/>
          <w:sz w:val="18"/>
          <w:szCs w:val="18"/>
        </w:rPr>
        <w:t xml:space="preserve"> článku 3</w:t>
      </w:r>
      <w:r w:rsidRPr="00AD582B">
        <w:rPr>
          <w:rFonts w:ascii="Arial" w:hAnsi="Arial" w:cs="Arial"/>
          <w:sz w:val="18"/>
          <w:szCs w:val="18"/>
        </w:rPr>
        <w:t xml:space="preserve"> této servisní smlouvy, budou ceny účtovány jako u odběratele bez uzavřené servisní smlouvy, nárok na úrok z prodlení dle </w:t>
      </w:r>
      <w:r>
        <w:rPr>
          <w:rFonts w:ascii="Arial" w:hAnsi="Arial" w:cs="Arial"/>
          <w:sz w:val="18"/>
          <w:szCs w:val="18"/>
        </w:rPr>
        <w:t>odst</w:t>
      </w:r>
      <w:r w:rsidRPr="00AD582B">
        <w:rPr>
          <w:rFonts w:ascii="Arial" w:hAnsi="Arial" w:cs="Arial"/>
          <w:sz w:val="18"/>
          <w:szCs w:val="18"/>
        </w:rPr>
        <w:t>. 3.</w:t>
      </w:r>
      <w:r>
        <w:rPr>
          <w:rFonts w:ascii="Arial" w:hAnsi="Arial" w:cs="Arial"/>
          <w:sz w:val="18"/>
          <w:szCs w:val="18"/>
        </w:rPr>
        <w:t>9</w:t>
      </w:r>
      <w:r w:rsidRPr="00AD582B">
        <w:rPr>
          <w:rFonts w:ascii="Arial" w:hAnsi="Arial" w:cs="Arial"/>
          <w:sz w:val="18"/>
          <w:szCs w:val="18"/>
        </w:rPr>
        <w:t xml:space="preserve"> této servisní smlouvy není tímto ustanovením dotčen.</w:t>
      </w:r>
    </w:p>
    <w:p w:rsidR="00760081" w:rsidRPr="00AD582B" w:rsidRDefault="00760081" w:rsidP="00760081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případě odstoupení od smlouvy ze strany dodavatele dle </w:t>
      </w:r>
      <w:r>
        <w:rPr>
          <w:rFonts w:ascii="Arial" w:hAnsi="Arial" w:cs="Arial"/>
          <w:sz w:val="18"/>
          <w:szCs w:val="18"/>
        </w:rPr>
        <w:t>ods</w:t>
      </w:r>
      <w:r w:rsidRPr="00AD582B">
        <w:rPr>
          <w:rFonts w:ascii="Arial" w:hAnsi="Arial" w:cs="Arial"/>
          <w:sz w:val="18"/>
          <w:szCs w:val="18"/>
        </w:rPr>
        <w:t>t. 7.4.2 této servisní smlouvy, budou provedené práce účtovány v plné výši, dle platného ceníku servisních prací.</w:t>
      </w:r>
    </w:p>
    <w:p w:rsidR="00760081" w:rsidRPr="00AD582B" w:rsidRDefault="00760081" w:rsidP="00760081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AD582B">
        <w:rPr>
          <w:rFonts w:ascii="Arial" w:hAnsi="Arial"/>
          <w:b/>
          <w:w w:val="80"/>
          <w:sz w:val="24"/>
          <w:szCs w:val="28"/>
        </w:rPr>
        <w:lastRenderedPageBreak/>
        <w:t>7. Platnost smlouvy</w:t>
      </w:r>
    </w:p>
    <w:p w:rsidR="00760081" w:rsidRPr="00AD582B" w:rsidRDefault="00760081" w:rsidP="00760081">
      <w:pPr>
        <w:pStyle w:val="Seznam"/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Smlouva</w:t>
      </w:r>
      <w:r>
        <w:rPr>
          <w:rFonts w:ascii="Arial" w:hAnsi="Arial" w:cs="Arial"/>
          <w:sz w:val="18"/>
          <w:szCs w:val="18"/>
        </w:rPr>
        <w:t xml:space="preserve"> je uzavřena na dobu určitou – </w:t>
      </w:r>
      <w:r w:rsidR="00B97E5B">
        <w:rPr>
          <w:rFonts w:ascii="Arial" w:hAnsi="Arial" w:cs="Arial"/>
          <w:sz w:val="18"/>
          <w:szCs w:val="18"/>
        </w:rPr>
        <w:t>do 31.12.2023</w:t>
      </w:r>
      <w:r w:rsidRPr="00AD582B">
        <w:rPr>
          <w:rFonts w:ascii="Arial" w:hAnsi="Arial" w:cs="Arial"/>
          <w:sz w:val="18"/>
          <w:szCs w:val="18"/>
        </w:rPr>
        <w:t>.</w:t>
      </w:r>
    </w:p>
    <w:p w:rsidR="00FF0530" w:rsidRDefault="00760081" w:rsidP="00760081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0530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B97E5B">
        <w:rPr>
          <w:rFonts w:ascii="Arial" w:hAnsi="Arial" w:cs="Arial"/>
          <w:sz w:val="18"/>
          <w:szCs w:val="18"/>
        </w:rPr>
        <w:t>dalších 5</w:t>
      </w:r>
      <w:r w:rsidR="005E484A">
        <w:rPr>
          <w:rFonts w:ascii="Arial" w:hAnsi="Arial" w:cs="Arial"/>
          <w:sz w:val="18"/>
          <w:szCs w:val="18"/>
        </w:rPr>
        <w:t xml:space="preserve"> let</w:t>
      </w:r>
      <w:r w:rsidRPr="00FF0530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:rsidR="00760081" w:rsidRPr="00FF0530" w:rsidRDefault="00760081" w:rsidP="00760081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0530">
        <w:rPr>
          <w:rFonts w:ascii="Arial" w:hAnsi="Arial" w:cs="Arial"/>
          <w:sz w:val="18"/>
          <w:szCs w:val="18"/>
        </w:rPr>
        <w:t xml:space="preserve">Smlouva nabývá platnost dnem podpisu oběma smluvními stranami a účinnost dnem </w:t>
      </w:r>
      <w:r w:rsidR="00B97E5B">
        <w:rPr>
          <w:rFonts w:ascii="Arial" w:hAnsi="Arial" w:cs="Arial"/>
          <w:sz w:val="18"/>
          <w:szCs w:val="18"/>
        </w:rPr>
        <w:t>1.1.2018</w:t>
      </w:r>
      <w:r w:rsidRPr="00FF0530">
        <w:rPr>
          <w:rFonts w:ascii="Arial" w:hAnsi="Arial" w:cs="Arial"/>
          <w:sz w:val="18"/>
          <w:szCs w:val="18"/>
        </w:rPr>
        <w:t>.</w:t>
      </w:r>
    </w:p>
    <w:p w:rsidR="00760081" w:rsidRPr="00AD582B" w:rsidRDefault="00760081" w:rsidP="00760081">
      <w:pPr>
        <w:pStyle w:val="Zkladntext"/>
        <w:numPr>
          <w:ilvl w:val="1"/>
          <w:numId w:val="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:rsidR="00760081" w:rsidRPr="00AD582B" w:rsidRDefault="00760081" w:rsidP="00760081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7.4.1</w:t>
      </w:r>
      <w:r w:rsidRPr="00AD582B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:rsidR="00760081" w:rsidRDefault="00760081" w:rsidP="00760081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7.4.2</w:t>
      </w:r>
      <w:r w:rsidRPr="00AD582B">
        <w:rPr>
          <w:rFonts w:ascii="Arial" w:hAnsi="Arial" w:cs="Arial"/>
          <w:sz w:val="18"/>
          <w:szCs w:val="18"/>
        </w:rPr>
        <w:tab/>
        <w:t>odstoupením od smlouvy ze strany dodavatele v případě, že odběratel 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:rsidR="00760081" w:rsidRDefault="00760081" w:rsidP="00760081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7.4</w:t>
      </w:r>
      <w:r w:rsidRPr="00EB49A5">
        <w:rPr>
          <w:rFonts w:ascii="Arial" w:hAnsi="Arial" w:cs="Arial"/>
          <w:sz w:val="18"/>
          <w:szCs w:val="18"/>
        </w:rPr>
        <w:t>.3</w:t>
      </w:r>
      <w:r w:rsidRPr="00EB49A5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760081" w:rsidRPr="00AD582B" w:rsidRDefault="00760081" w:rsidP="00760081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D582B">
        <w:rPr>
          <w:rFonts w:ascii="Arial" w:hAnsi="Arial" w:cs="Arial"/>
          <w:b/>
          <w:w w:val="80"/>
          <w:sz w:val="24"/>
        </w:rPr>
        <w:t>8. Přechodná a závěrečná ujednání</w:t>
      </w:r>
    </w:p>
    <w:p w:rsidR="00760081" w:rsidRPr="00EB49A5" w:rsidRDefault="00760081" w:rsidP="00760081">
      <w:pPr>
        <w:pStyle w:val="Seznam"/>
        <w:numPr>
          <w:ilvl w:val="1"/>
          <w:numId w:val="9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Tuto servisní smlouvu lze měnit nebo doplňovat pouze číslovanými písemnými dodatky, signovanými zástupci smluvních stran.</w:t>
      </w:r>
    </w:p>
    <w:p w:rsidR="00760081" w:rsidRPr="00EB49A5" w:rsidRDefault="00760081" w:rsidP="00760081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(z.č. 89/2012 Sb.) a autorského zákona (z.č. 121/2000 Sb.).</w:t>
      </w:r>
    </w:p>
    <w:p w:rsidR="00760081" w:rsidRPr="00EB49A5" w:rsidRDefault="00760081" w:rsidP="00760081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 xml:space="preserve">Smlouva je sepsána ve dvou vyhotoveních, z nichž každé má platnost originálu. Každá strana obdrží jedno paré. </w:t>
      </w:r>
    </w:p>
    <w:p w:rsidR="00760081" w:rsidRPr="00EB49A5" w:rsidRDefault="00760081" w:rsidP="00760081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:rsidR="00760081" w:rsidRPr="00871AB6" w:rsidRDefault="00760081" w:rsidP="00760081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71AB6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:rsidR="00760081" w:rsidRPr="00871AB6" w:rsidRDefault="00760081" w:rsidP="00760081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71AB6"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:rsidR="00760081" w:rsidRPr="00871AB6" w:rsidRDefault="00760081" w:rsidP="00760081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71AB6"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:rsidR="00760081" w:rsidRPr="00EB49A5" w:rsidRDefault="00760081" w:rsidP="00760081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:rsidR="00760081" w:rsidRPr="00AD582B" w:rsidRDefault="00760081" w:rsidP="00760081">
      <w:pPr>
        <w:rPr>
          <w:rFonts w:ascii="Arial" w:hAnsi="Arial" w:cs="Arial"/>
          <w:sz w:val="18"/>
          <w:szCs w:val="18"/>
        </w:rPr>
      </w:pPr>
    </w:p>
    <w:p w:rsidR="00760081" w:rsidRDefault="00760081" w:rsidP="00760081">
      <w:pPr>
        <w:rPr>
          <w:rFonts w:ascii="Arial" w:hAnsi="Arial" w:cs="Arial"/>
          <w:sz w:val="18"/>
          <w:szCs w:val="18"/>
        </w:rPr>
      </w:pPr>
    </w:p>
    <w:p w:rsidR="00760081" w:rsidRDefault="00760081" w:rsidP="00760081">
      <w:pPr>
        <w:rPr>
          <w:rFonts w:ascii="Arial" w:hAnsi="Arial" w:cs="Arial"/>
          <w:sz w:val="18"/>
          <w:szCs w:val="18"/>
        </w:rPr>
      </w:pPr>
    </w:p>
    <w:p w:rsidR="00760081" w:rsidRPr="00AD582B" w:rsidRDefault="00760081" w:rsidP="00760081">
      <w:pPr>
        <w:rPr>
          <w:rFonts w:ascii="Arial" w:hAnsi="Arial" w:cs="Arial"/>
          <w:sz w:val="18"/>
          <w:szCs w:val="18"/>
        </w:rPr>
      </w:pPr>
    </w:p>
    <w:p w:rsidR="003555DC" w:rsidRPr="00AD582B" w:rsidRDefault="00760081" w:rsidP="003555DC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 Ostravě, dne:</w:t>
      </w:r>
      <w:r w:rsidR="003555DC">
        <w:rPr>
          <w:rFonts w:ascii="Arial" w:hAnsi="Arial" w:cs="Arial"/>
          <w:sz w:val="18"/>
          <w:szCs w:val="18"/>
        </w:rPr>
        <w:t xml:space="preserve"> </w:t>
      </w:r>
      <w:r w:rsidR="005E484A">
        <w:rPr>
          <w:rFonts w:ascii="Arial" w:hAnsi="Arial" w:cs="Arial"/>
          <w:color w:val="333333"/>
          <w:sz w:val="18"/>
          <w:szCs w:val="18"/>
        </w:rPr>
        <w:t>6. prosince 2017</w:t>
      </w:r>
    </w:p>
    <w:p w:rsidR="00760081" w:rsidRDefault="00760081" w:rsidP="00760081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760081" w:rsidRDefault="00760081" w:rsidP="00760081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760081" w:rsidRDefault="00760081" w:rsidP="00760081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760081" w:rsidRDefault="00760081" w:rsidP="00760081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760081" w:rsidRDefault="00760081" w:rsidP="00760081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760081" w:rsidRPr="00AD582B" w:rsidRDefault="00760081" w:rsidP="00760081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:rsidR="00760081" w:rsidRPr="00AD582B" w:rsidRDefault="00760081" w:rsidP="00760081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:rsidR="00760081" w:rsidRDefault="00760081" w:rsidP="00760081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="00AD4D53">
        <w:rPr>
          <w:rFonts w:ascii="Arial" w:hAnsi="Arial" w:cs="Arial"/>
          <w:sz w:val="18"/>
          <w:szCs w:val="18"/>
        </w:rPr>
        <w:t xml:space="preserve">         </w:t>
      </w:r>
      <w:r w:rsidRPr="00AD582B">
        <w:rPr>
          <w:rFonts w:ascii="Arial" w:hAnsi="Arial" w:cs="Arial"/>
          <w:sz w:val="18"/>
          <w:szCs w:val="18"/>
        </w:rPr>
        <w:t>razítko a podpis zástupce</w:t>
      </w:r>
      <w:r w:rsidRPr="00AD58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Pr="00AD582B">
        <w:rPr>
          <w:rFonts w:ascii="Arial" w:hAnsi="Arial" w:cs="Arial"/>
          <w:sz w:val="18"/>
          <w:szCs w:val="18"/>
        </w:rPr>
        <w:t>razítko a podpis zástupce</w:t>
      </w:r>
    </w:p>
    <w:p w:rsidR="001D068D" w:rsidRPr="001502EC" w:rsidRDefault="001D068D" w:rsidP="001D068D">
      <w:pPr>
        <w:rPr>
          <w:rFonts w:ascii="Arial" w:hAnsi="Arial" w:cs="Arial"/>
          <w:color w:val="333333"/>
          <w:sz w:val="16"/>
          <w:szCs w:val="16"/>
        </w:rPr>
      </w:pPr>
      <w:r w:rsidRPr="001502EC">
        <w:rPr>
          <w:rFonts w:ascii="Arial" w:hAnsi="Arial" w:cs="Arial"/>
          <w:color w:val="333333"/>
          <w:sz w:val="16"/>
          <w:szCs w:val="16"/>
        </w:rPr>
        <w:t xml:space="preserve">  </w:t>
      </w:r>
    </w:p>
    <w:p w:rsidR="001D068D" w:rsidRPr="001502EC" w:rsidRDefault="001D068D" w:rsidP="001D068D">
      <w:pPr>
        <w:rPr>
          <w:rFonts w:ascii="Arial" w:hAnsi="Arial" w:cs="Arial"/>
          <w:color w:val="333333"/>
          <w:sz w:val="16"/>
          <w:szCs w:val="16"/>
        </w:rPr>
      </w:pPr>
    </w:p>
    <w:p w:rsidR="001D068D" w:rsidRPr="001737E2" w:rsidRDefault="001D068D" w:rsidP="001D068D">
      <w:pPr>
        <w:rPr>
          <w:rFonts w:ascii="Arial" w:hAnsi="Arial" w:cs="Arial"/>
          <w:color w:val="333333"/>
          <w:sz w:val="16"/>
          <w:szCs w:val="16"/>
        </w:rPr>
      </w:pPr>
    </w:p>
    <w:p w:rsidR="001D068D" w:rsidRPr="00D77F24" w:rsidRDefault="001D068D" w:rsidP="00760081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sectPr w:rsidR="001D068D" w:rsidRPr="00D77F24" w:rsidSect="00FF0530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694" w:rsidRDefault="00812694" w:rsidP="00946F86">
      <w:r>
        <w:separator/>
      </w:r>
    </w:p>
  </w:endnote>
  <w:endnote w:type="continuationSeparator" w:id="1">
    <w:p w:rsidR="00812694" w:rsidRDefault="00812694" w:rsidP="00946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6E" w:rsidRDefault="000D2B6E" w:rsidP="00FF0530">
    <w:pPr>
      <w:jc w:val="center"/>
    </w:pPr>
  </w:p>
  <w:p w:rsidR="000D2B6E" w:rsidRPr="005C1885" w:rsidRDefault="009E2930" w:rsidP="00FF0530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9E2930">
      <w:rPr>
        <w:rFonts w:ascii="Arial" w:hAnsi="Arial" w:cs="Arial"/>
        <w:b/>
        <w:noProof/>
        <w:color w:val="706F6F"/>
        <w:sz w:val="15"/>
        <w:szCs w:val="15"/>
      </w:rPr>
      <w:pict>
        <v:line id="Přímá spojnice 8" o:spid="_x0000_s1026" style="position:absolute;left:0;text-align:left;flip:y;z-index:251659264;visibility:visible;mso-wrap-distance-top:-3e-5mm;mso-wrap-distance-bottom:-3e-5mm;mso-position-horizontal-relative:page;mso-position-vertical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" strokecolor="#706f6f" strokeweight=".5pt">
          <v:stroke joinstyle="miter"/>
          <w10:wrap anchorx="page" anchory="page"/>
        </v:line>
      </w:pict>
    </w:r>
    <w:r w:rsidR="000D2B6E"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="000D2B6E"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0D2B6E" w:rsidRDefault="000D2B6E" w:rsidP="00FF0530">
    <w:pPr>
      <w:pStyle w:val="Zpat"/>
      <w:tabs>
        <w:tab w:val="left" w:pos="1440"/>
        <w:tab w:val="left" w:pos="4155"/>
      </w:tabs>
      <w:spacing w:line="360" w:lineRule="auto"/>
    </w:pP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="009E2930"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="009E2930"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647925">
      <w:rPr>
        <w:rFonts w:ascii="Arial" w:hAnsi="Arial" w:cs="Arial"/>
        <w:noProof/>
        <w:color w:val="706F6F"/>
        <w:sz w:val="15"/>
        <w:szCs w:val="15"/>
      </w:rPr>
      <w:t>3</w:t>
    </w:r>
    <w:r w:rsidR="009E2930"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6E" w:rsidRDefault="009E2930" w:rsidP="00FF0530">
    <w:pPr>
      <w:suppressLineNumbers/>
      <w:spacing w:line="360" w:lineRule="auto"/>
      <w:jc w:val="center"/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</w:pPr>
    <w:r w:rsidRPr="009E2930">
      <w:rPr>
        <w:noProof/>
      </w:rPr>
      <w:pict>
        <v:line id="Přímá spojnice 6" o:spid="_x0000_s1027" style="position:absolute;left:0;text-align:left;flip:y;z-index:251661312;visibility:visible;mso-wrap-distance-top:-3e-5mm;mso-wrap-distance-bottom:-3e-5mm;mso-position-horizontal-relative:page;mso-position-vertical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" strokecolor="#a5a5a5" strokeweight=".5pt">
          <v:stroke joinstyle="miter"/>
          <w10:wrap anchorx="page" anchory="page"/>
        </v:line>
      </w:pict>
    </w:r>
    <w:r w:rsidR="000D2B6E" w:rsidRPr="00FF0530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consulting spol. s r.o., </w:t>
    </w:r>
    <w:r w:rsidR="000D2B6E" w:rsidRPr="00FF0530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="000D2B6E" w:rsidRPr="00FF0530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="000D2B6E" w:rsidRPr="00FF0530">
        <w:rPr>
          <w:rFonts w:ascii="Arial" w:eastAsia="Arial Unicode MS" w:hAnsi="Arial" w:cs="Arial"/>
          <w:color w:val="706F6F"/>
          <w:kern w:val="2"/>
          <w:sz w:val="15"/>
          <w:szCs w:val="15"/>
          <w:lang w:eastAsia="zh-CN" w:bidi="hi-IN"/>
        </w:rPr>
        <w:t>klientske.centrum@atlasgroup.cz</w:t>
      </w:r>
    </w:hyperlink>
    <w:r w:rsidR="000D2B6E" w:rsidRPr="00FF0530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          www.atlasgroup.cz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694" w:rsidRDefault="00812694" w:rsidP="00946F86">
      <w:r>
        <w:separator/>
      </w:r>
    </w:p>
  </w:footnote>
  <w:footnote w:type="continuationSeparator" w:id="1">
    <w:p w:rsidR="00812694" w:rsidRDefault="00812694" w:rsidP="00946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6E" w:rsidRPr="00FF0530" w:rsidRDefault="000D2B6E" w:rsidP="00FF0530">
    <w:pPr>
      <w:pStyle w:val="Zhlav"/>
    </w:pPr>
    <w:r>
      <w:rPr>
        <w:noProof/>
      </w:rPr>
      <w:drawing>
        <wp:inline distT="0" distB="0" distL="0" distR="0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8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gová Zuzana Mgr.">
    <w15:presenceInfo w15:providerId="AD" w15:userId="S-1-5-21-816558079-3953755918-2026346562-31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cumentProtection w:edit="trackedChanges" w:enforcement="1" w:cryptProviderType="rsaFull" w:cryptAlgorithmClass="hash" w:cryptAlgorithmType="typeAny" w:cryptAlgorithmSid="4" w:cryptSpinCount="50000" w:hash="hN8VMgDVhQ0RiGMCT5wtaTJtnWc=" w:salt="2pf/7Dc2t3rzt5mbHfIBZA==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46F86"/>
    <w:rsid w:val="000161C6"/>
    <w:rsid w:val="0005437D"/>
    <w:rsid w:val="000D2B6E"/>
    <w:rsid w:val="0015222F"/>
    <w:rsid w:val="001D068D"/>
    <w:rsid w:val="00305EFE"/>
    <w:rsid w:val="003555DC"/>
    <w:rsid w:val="003F62DE"/>
    <w:rsid w:val="00422DCA"/>
    <w:rsid w:val="0043114E"/>
    <w:rsid w:val="005E484A"/>
    <w:rsid w:val="00647925"/>
    <w:rsid w:val="006A16CA"/>
    <w:rsid w:val="006A7F8F"/>
    <w:rsid w:val="0070038A"/>
    <w:rsid w:val="007574A7"/>
    <w:rsid w:val="00760081"/>
    <w:rsid w:val="0076537B"/>
    <w:rsid w:val="007A1160"/>
    <w:rsid w:val="007A469E"/>
    <w:rsid w:val="00812694"/>
    <w:rsid w:val="00823F0A"/>
    <w:rsid w:val="0084086F"/>
    <w:rsid w:val="00853A2F"/>
    <w:rsid w:val="008F5B1C"/>
    <w:rsid w:val="00920A44"/>
    <w:rsid w:val="00927619"/>
    <w:rsid w:val="00946F86"/>
    <w:rsid w:val="00972831"/>
    <w:rsid w:val="009A09B0"/>
    <w:rsid w:val="009E2930"/>
    <w:rsid w:val="00A47E8E"/>
    <w:rsid w:val="00AA1B53"/>
    <w:rsid w:val="00AD4D53"/>
    <w:rsid w:val="00B23C91"/>
    <w:rsid w:val="00B41461"/>
    <w:rsid w:val="00B54DC7"/>
    <w:rsid w:val="00B97E5B"/>
    <w:rsid w:val="00D61440"/>
    <w:rsid w:val="00D74FA4"/>
    <w:rsid w:val="00D77F24"/>
    <w:rsid w:val="00F93A1F"/>
    <w:rsid w:val="00F977D9"/>
    <w:rsid w:val="00FF0530"/>
    <w:rsid w:val="00FF4ACC"/>
    <w:rsid w:val="00FF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iPriority w:val="99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76008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6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61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teplarna-c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lientske.centrum@atlasgroup.c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40EB4-F697-45E7-AF3E-FEFC7453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1508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Hanusková Lucie</cp:lastModifiedBy>
  <cp:revision>5</cp:revision>
  <cp:lastPrinted>2017-12-07T05:00:00Z</cp:lastPrinted>
  <dcterms:created xsi:type="dcterms:W3CDTF">2018-01-02T05:33:00Z</dcterms:created>
  <dcterms:modified xsi:type="dcterms:W3CDTF">2018-01-02T05:35:00Z</dcterms:modified>
</cp:coreProperties>
</file>