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2B" w:rsidRDefault="0074032B">
      <w:pPr>
        <w:pBdr>
          <w:bottom w:val="single" w:sz="12" w:space="0" w:color="000000"/>
        </w:pBdr>
        <w:jc w:val="center"/>
        <w:rPr>
          <w:sz w:val="22"/>
          <w:szCs w:val="22"/>
        </w:rPr>
      </w:pPr>
    </w:p>
    <w:p w:rsidR="0074032B" w:rsidRDefault="0074032B">
      <w:pPr>
        <w:jc w:val="center"/>
        <w:rPr>
          <w:b/>
          <w:bCs/>
          <w:sz w:val="28"/>
          <w:szCs w:val="28"/>
        </w:rPr>
      </w:pPr>
    </w:p>
    <w:p w:rsidR="0074032B" w:rsidRDefault="008346C1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pt-PT"/>
        </w:rPr>
        <w:t>SMLOUVA O D</w:t>
      </w:r>
      <w:r>
        <w:rPr>
          <w:rFonts w:ascii="Calibri" w:eastAsia="Calibri" w:hAnsi="Calibri" w:cs="Calibri"/>
          <w:b/>
          <w:bCs/>
          <w:sz w:val="32"/>
          <w:szCs w:val="32"/>
        </w:rPr>
        <w:t>ÍLO</w:t>
      </w:r>
    </w:p>
    <w:p w:rsidR="0074032B" w:rsidRDefault="0074032B">
      <w:pPr>
        <w:pBdr>
          <w:bottom w:val="single" w:sz="12" w:space="0" w:color="000000"/>
        </w:pBd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74032B" w:rsidRDefault="0074032B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74032B" w:rsidRDefault="008346C1">
      <w:p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Smluvní strany:</w:t>
      </w:r>
    </w:p>
    <w:p w:rsidR="0074032B" w:rsidRDefault="0074032B">
      <w:pPr>
        <w:rPr>
          <w:rFonts w:ascii="Calibri" w:eastAsia="Calibri" w:hAnsi="Calibri" w:cs="Calibri"/>
          <w:sz w:val="22"/>
          <w:szCs w:val="22"/>
          <w:u w:val="single"/>
        </w:rPr>
      </w:pPr>
    </w:p>
    <w:p w:rsidR="0074032B" w:rsidRDefault="008346C1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Univerzita Karlova, Fakulta tělesn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výchovy a sportu </w:t>
      </w:r>
    </w:p>
    <w:p w:rsidR="0074032B" w:rsidRDefault="008346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sídlem: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Jos</w:t>
      </w:r>
      <w:r>
        <w:rPr>
          <w:rFonts w:ascii="Calibri" w:eastAsia="Calibri" w:hAnsi="Calibri" w:cs="Calibri"/>
          <w:sz w:val="22"/>
          <w:szCs w:val="22"/>
          <w:lang w:val="fr-FR"/>
        </w:rPr>
        <w:t>é Mart</w:t>
      </w:r>
      <w:r>
        <w:rPr>
          <w:rFonts w:ascii="Calibri" w:eastAsia="Calibri" w:hAnsi="Calibri" w:cs="Calibri"/>
          <w:sz w:val="22"/>
          <w:szCs w:val="22"/>
        </w:rPr>
        <w:t>ího 269/31, 162 52 Praha 6 – Veleslavín</w:t>
      </w:r>
    </w:p>
    <w:p w:rsidR="0074032B" w:rsidRDefault="008346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zastoupená: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doc. MUDr. Eva Kohlíková, CSc.</w:t>
      </w:r>
    </w:p>
    <w:p w:rsidR="0074032B" w:rsidRDefault="008346C1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jednající: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Ing. Radim Zelenka, Ph.D., tajemník UK FTVS</w:t>
      </w:r>
    </w:p>
    <w:p w:rsidR="0074032B" w:rsidRDefault="008346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00216208</w:t>
      </w:r>
    </w:p>
    <w:p w:rsidR="0074032B" w:rsidRDefault="008346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DIČ: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CZ00216208</w:t>
      </w:r>
    </w:p>
    <w:p w:rsidR="0074032B" w:rsidRDefault="008346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Bankovní spojení:</w:t>
      </w:r>
      <w:r>
        <w:rPr>
          <w:rFonts w:ascii="Calibri" w:eastAsia="Calibri" w:hAnsi="Calibri" w:cs="Calibri"/>
          <w:sz w:val="22"/>
          <w:szCs w:val="22"/>
        </w:rPr>
        <w:tab/>
      </w:r>
      <w:r w:rsidRPr="006954A8">
        <w:rPr>
          <w:rFonts w:ascii="Calibri" w:eastAsia="Calibri" w:hAnsi="Calibri" w:cs="Calibri"/>
          <w:sz w:val="22"/>
          <w:szCs w:val="22"/>
          <w:highlight w:val="black"/>
        </w:rPr>
        <w:t>85332011/0100</w:t>
      </w:r>
    </w:p>
    <w:p w:rsidR="0074032B" w:rsidRDefault="008346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“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Objednatel</w:t>
      </w:r>
      <w:r>
        <w:rPr>
          <w:rFonts w:ascii="Calibri" w:eastAsia="Calibri" w:hAnsi="Calibri" w:cs="Calibri"/>
          <w:sz w:val="22"/>
          <w:szCs w:val="22"/>
        </w:rPr>
        <w:t xml:space="preserve">“) </w:t>
      </w:r>
    </w:p>
    <w:p w:rsidR="0074032B" w:rsidRDefault="008346C1">
      <w:pPr>
        <w:pStyle w:val="Textvbloku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</w:t>
      </w:r>
    </w:p>
    <w:p w:rsidR="0074032B" w:rsidRDefault="008346C1">
      <w:pPr>
        <w:pStyle w:val="Textvbloku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a </w:t>
      </w:r>
    </w:p>
    <w:p w:rsidR="0074032B" w:rsidRDefault="0074032B">
      <w:pPr>
        <w:pStyle w:val="Textvbloku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Textvbloku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společnost: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Verdana" w:hAnsi="Verdana"/>
          <w:color w:val="333333"/>
          <w:sz w:val="18"/>
          <w:szCs w:val="18"/>
          <w:u w:color="333333"/>
          <w:shd w:val="clear" w:color="auto" w:fill="FFFFFF"/>
          <w:lang w:val="pt-PT"/>
        </w:rPr>
        <w:t>NEOTA CZ s.r.o.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4032B" w:rsidRDefault="008346C1">
      <w:pPr>
        <w:pStyle w:val="Textvbloku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 sídlem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Brno - Ponava, Štefánikova 75/8, PSČ 60200</w:t>
      </w:r>
    </w:p>
    <w:p w:rsidR="0074032B" w:rsidRDefault="008346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jednající / zastoupená  </w:t>
      </w:r>
      <w:r>
        <w:rPr>
          <w:rFonts w:ascii="Calibri" w:eastAsia="Calibri" w:hAnsi="Calibri" w:cs="Calibri"/>
          <w:sz w:val="22"/>
          <w:szCs w:val="22"/>
        </w:rPr>
        <w:tab/>
        <w:t>Ing. IVO TATÝ</w:t>
      </w:r>
      <w:r>
        <w:rPr>
          <w:rFonts w:ascii="Calibri" w:eastAsia="Calibri" w:hAnsi="Calibri" w:cs="Calibri"/>
          <w:sz w:val="22"/>
          <w:szCs w:val="22"/>
          <w:lang w:val="de-DE"/>
        </w:rPr>
        <w:t>REK</w:t>
      </w:r>
    </w:p>
    <w:p w:rsidR="0074032B" w:rsidRDefault="008346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27759431</w:t>
      </w:r>
    </w:p>
    <w:p w:rsidR="0074032B" w:rsidRDefault="008346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DIČ: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CZ27759431</w:t>
      </w:r>
    </w:p>
    <w:p w:rsidR="0074032B" w:rsidRDefault="008346C1">
      <w:pPr>
        <w:tabs>
          <w:tab w:val="left" w:pos="20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Bankovní spojení: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bookmarkStart w:id="0" w:name="_GoBack"/>
      <w:bookmarkEnd w:id="0"/>
      <w:r w:rsidRPr="006954A8">
        <w:rPr>
          <w:rFonts w:ascii="Calibri" w:eastAsia="Calibri" w:hAnsi="Calibri" w:cs="Calibri"/>
          <w:sz w:val="22"/>
          <w:szCs w:val="22"/>
          <w:highlight w:val="black"/>
        </w:rPr>
        <w:t>43-1217660207/0100</w:t>
      </w:r>
    </w:p>
    <w:p w:rsidR="0074032B" w:rsidRDefault="008346C1">
      <w:pPr>
        <w:tabs>
          <w:tab w:val="left" w:pos="20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zapsaná v obchodní</w:t>
      </w:r>
      <w:r>
        <w:rPr>
          <w:rFonts w:ascii="Calibri" w:eastAsia="Calibri" w:hAnsi="Calibri" w:cs="Calibri"/>
          <w:sz w:val="22"/>
          <w:szCs w:val="22"/>
          <w:lang w:val="da-DK"/>
        </w:rPr>
        <w:t>m rejst</w:t>
      </w:r>
      <w:r>
        <w:rPr>
          <w:rFonts w:ascii="Calibri" w:eastAsia="Calibri" w:hAnsi="Calibri" w:cs="Calibri"/>
          <w:sz w:val="22"/>
          <w:szCs w:val="22"/>
        </w:rPr>
        <w:t>říku veden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 u Krajsk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soudu v Brně pod sp. zn. C 57059</w:t>
      </w:r>
    </w:p>
    <w:p w:rsidR="0074032B" w:rsidRDefault="008346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“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Zhotovitel</w:t>
      </w:r>
      <w:r>
        <w:rPr>
          <w:rFonts w:ascii="Calibri" w:eastAsia="Calibri" w:hAnsi="Calibri" w:cs="Calibri"/>
          <w:sz w:val="22"/>
          <w:szCs w:val="22"/>
        </w:rPr>
        <w:t>“)</w:t>
      </w:r>
    </w:p>
    <w:p w:rsidR="0074032B" w:rsidRDefault="0074032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(Objednatel a Zhotovitel společně též jako „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smluvní strany</w:t>
      </w:r>
      <w:r>
        <w:rPr>
          <w:rFonts w:ascii="Calibri" w:eastAsia="Calibri" w:hAnsi="Calibri" w:cs="Calibri"/>
          <w:sz w:val="22"/>
          <w:szCs w:val="22"/>
        </w:rPr>
        <w:t>“, nebo samostatně jako „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smluvní strana</w:t>
      </w:r>
      <w:r>
        <w:rPr>
          <w:rFonts w:ascii="Calibri" w:eastAsia="Calibri" w:hAnsi="Calibri" w:cs="Calibri"/>
          <w:sz w:val="22"/>
          <w:szCs w:val="22"/>
        </w:rPr>
        <w:t>“)</w:t>
      </w:r>
    </w:p>
    <w:p w:rsidR="0074032B" w:rsidRDefault="0074032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Smluvní strany v souladu s ustanovením § </w:t>
      </w:r>
      <w:r>
        <w:rPr>
          <w:rFonts w:ascii="Calibri" w:eastAsia="Calibri" w:hAnsi="Calibri" w:cs="Calibri"/>
          <w:sz w:val="22"/>
          <w:szCs w:val="22"/>
          <w:lang w:val="en-US"/>
        </w:rPr>
        <w:t>2586 a n</w:t>
      </w:r>
      <w:r>
        <w:rPr>
          <w:rFonts w:ascii="Calibri" w:eastAsia="Calibri" w:hAnsi="Calibri" w:cs="Calibri"/>
          <w:sz w:val="22"/>
          <w:szCs w:val="22"/>
        </w:rPr>
        <w:t>ásl. zákona č.89/2012 Sb. obč</w:t>
      </w:r>
      <w:r>
        <w:rPr>
          <w:rFonts w:ascii="Calibri" w:eastAsia="Calibri" w:hAnsi="Calibri" w:cs="Calibri"/>
          <w:sz w:val="22"/>
          <w:szCs w:val="22"/>
          <w:lang w:val="da-DK"/>
        </w:rPr>
        <w:t>ansk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zákoníku, ve znění pozdějších předpisů (dále jen „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OZ</w:t>
      </w:r>
      <w:r>
        <w:rPr>
          <w:rFonts w:ascii="Calibri" w:eastAsia="Calibri" w:hAnsi="Calibri" w:cs="Calibri"/>
          <w:sz w:val="22"/>
          <w:szCs w:val="22"/>
        </w:rPr>
        <w:t>“), uzavř</w:t>
      </w:r>
      <w:r>
        <w:rPr>
          <w:rFonts w:ascii="Calibri" w:eastAsia="Calibri" w:hAnsi="Calibri" w:cs="Calibri"/>
          <w:sz w:val="22"/>
          <w:szCs w:val="22"/>
          <w:lang w:val="en-US"/>
        </w:rPr>
        <w:t>ely d</w:t>
      </w:r>
      <w:r>
        <w:rPr>
          <w:rFonts w:ascii="Calibri" w:eastAsia="Calibri" w:hAnsi="Calibri" w:cs="Calibri"/>
          <w:sz w:val="22"/>
          <w:szCs w:val="22"/>
        </w:rPr>
        <w:t>ále uveden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dne, měsíce a roku tuto</w:t>
      </w:r>
    </w:p>
    <w:p w:rsidR="0074032B" w:rsidRDefault="0074032B">
      <w:pPr>
        <w:tabs>
          <w:tab w:val="left" w:pos="993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74032B" w:rsidRDefault="0074032B">
      <w:pPr>
        <w:tabs>
          <w:tab w:val="left" w:pos="993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74032B" w:rsidRDefault="008346C1">
      <w:pPr>
        <w:tabs>
          <w:tab w:val="left" w:pos="993"/>
        </w:tabs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Smlouvu o dílo</w:t>
      </w:r>
    </w:p>
    <w:p w:rsidR="0074032B" w:rsidRDefault="008346C1">
      <w:pPr>
        <w:tabs>
          <w:tab w:val="left" w:pos="993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též jen „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Smlouva</w:t>
      </w:r>
      <w:r>
        <w:rPr>
          <w:rFonts w:ascii="Calibri" w:eastAsia="Calibri" w:hAnsi="Calibri" w:cs="Calibri"/>
          <w:sz w:val="22"/>
          <w:szCs w:val="22"/>
        </w:rPr>
        <w:t>“)</w:t>
      </w:r>
    </w:p>
    <w:p w:rsidR="0074032B" w:rsidRDefault="0074032B">
      <w:pPr>
        <w:tabs>
          <w:tab w:val="left" w:pos="993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spacing w:before="120" w:after="12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VZHLEDEM K</w:t>
      </w:r>
      <w:r>
        <w:rPr>
          <w:rFonts w:ascii="Calibri" w:eastAsia="Calibri" w:hAnsi="Calibri" w:cs="Calibri"/>
          <w:b/>
          <w:bCs/>
          <w:sz w:val="22"/>
          <w:szCs w:val="22"/>
        </w:rPr>
        <w:t> 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TOMU, </w:t>
      </w:r>
      <w:r>
        <w:rPr>
          <w:rFonts w:ascii="Calibri" w:eastAsia="Calibri" w:hAnsi="Calibri" w:cs="Calibri"/>
          <w:b/>
          <w:bCs/>
          <w:sz w:val="22"/>
          <w:szCs w:val="22"/>
        </w:rPr>
        <w:t>ŽE</w:t>
      </w:r>
    </w:p>
    <w:p w:rsidR="0074032B" w:rsidRDefault="008346C1">
      <w:pPr>
        <w:pStyle w:val="AKFZFPreambule"/>
        <w:numPr>
          <w:ilvl w:val="0"/>
          <w:numId w:val="2"/>
        </w:numPr>
        <w:rPr>
          <w:rFonts w:ascii="Calibri" w:eastAsia="Calibri" w:hAnsi="Calibri" w:cs="Calibri"/>
        </w:rPr>
      </w:pPr>
      <w:bookmarkStart w:id="1" w:name="_Ref187663140"/>
      <w:r>
        <w:rPr>
          <w:rFonts w:ascii="Calibri" w:eastAsia="Calibri" w:hAnsi="Calibri" w:cs="Calibri"/>
        </w:rPr>
        <w:t>Objednatel provedl výběrové řízení na veřejnou zakázku mal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 xml:space="preserve">ho rozsahu s názvem </w:t>
      </w:r>
      <w:r>
        <w:rPr>
          <w:rFonts w:ascii="Calibri" w:eastAsia="Calibri" w:hAnsi="Calibri" w:cs="Calibri"/>
          <w:b/>
          <w:bCs/>
        </w:rPr>
        <w:t>„Čištění topn</w:t>
      </w:r>
      <w:r>
        <w:rPr>
          <w:rFonts w:ascii="Calibri" w:eastAsia="Calibri" w:hAnsi="Calibri" w:cs="Calibri"/>
          <w:b/>
          <w:bCs/>
          <w:lang w:val="fr-FR"/>
        </w:rPr>
        <w:t>é</w:t>
      </w:r>
      <w:r>
        <w:rPr>
          <w:rFonts w:ascii="Calibri" w:eastAsia="Calibri" w:hAnsi="Calibri" w:cs="Calibri"/>
          <w:b/>
          <w:bCs/>
        </w:rPr>
        <w:t>ho okruhu C a D + E a H pro UK FTVS – areál Veleslavín“</w:t>
      </w:r>
      <w:r>
        <w:rPr>
          <w:rFonts w:ascii="Calibri" w:eastAsia="Calibri" w:hAnsi="Calibri" w:cs="Calibri"/>
        </w:rPr>
        <w:t xml:space="preserve"> (dále jen „</w:t>
      </w:r>
      <w:r>
        <w:rPr>
          <w:rFonts w:ascii="Calibri" w:eastAsia="Calibri" w:hAnsi="Calibri" w:cs="Calibri"/>
          <w:b/>
          <w:bCs/>
        </w:rPr>
        <w:t>Veřejná zakázka</w:t>
      </w:r>
      <w:r>
        <w:rPr>
          <w:rFonts w:ascii="Calibri" w:eastAsia="Calibri" w:hAnsi="Calibri" w:cs="Calibri"/>
        </w:rPr>
        <w:t>“);</w:t>
      </w:r>
    </w:p>
    <w:p w:rsidR="0074032B" w:rsidRDefault="008346C1">
      <w:pPr>
        <w:numPr>
          <w:ilvl w:val="0"/>
          <w:numId w:val="2"/>
        </w:numPr>
        <w:spacing w:before="120" w:after="120" w:line="288" w:lineRule="auto"/>
        <w:jc w:val="both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Prod</w:t>
      </w:r>
      <w:r>
        <w:rPr>
          <w:rFonts w:ascii="Calibri" w:eastAsia="Calibri" w:hAnsi="Calibri" w:cs="Calibri"/>
          <w:sz w:val="22"/>
          <w:szCs w:val="22"/>
        </w:rPr>
        <w:t>ávající podal závaznou nabídku na Veřejnou zakázku a tato byla Kupujícím vybrána jako nejvhodnější;</w:t>
      </w:r>
    </w:p>
    <w:p w:rsidR="0074032B" w:rsidRDefault="008346C1">
      <w:pPr>
        <w:numPr>
          <w:ilvl w:val="0"/>
          <w:numId w:val="2"/>
        </w:numPr>
        <w:spacing w:before="120" w:after="120" w:line="288" w:lineRule="auto"/>
        <w:jc w:val="both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Prod</w:t>
      </w:r>
      <w:r>
        <w:rPr>
          <w:rFonts w:ascii="Calibri" w:eastAsia="Calibri" w:hAnsi="Calibri" w:cs="Calibri"/>
          <w:sz w:val="22"/>
          <w:szCs w:val="22"/>
        </w:rPr>
        <w:t xml:space="preserve">ávající je podnikatelem, který </w:t>
      </w:r>
      <w:r>
        <w:rPr>
          <w:rFonts w:ascii="Calibri" w:eastAsia="Calibri" w:hAnsi="Calibri" w:cs="Calibri"/>
          <w:sz w:val="22"/>
          <w:szCs w:val="22"/>
          <w:lang w:val="nl-NL"/>
        </w:rPr>
        <w:t xml:space="preserve">je schopen </w:t>
      </w:r>
      <w:r>
        <w:rPr>
          <w:rFonts w:ascii="Calibri" w:eastAsia="Calibri" w:hAnsi="Calibri" w:cs="Calibri"/>
          <w:sz w:val="22"/>
          <w:szCs w:val="22"/>
        </w:rPr>
        <w:t>řádně splnit předmě</w:t>
      </w:r>
      <w:r>
        <w:rPr>
          <w:rFonts w:ascii="Calibri" w:eastAsia="Calibri" w:hAnsi="Calibri" w:cs="Calibri"/>
          <w:sz w:val="22"/>
          <w:szCs w:val="22"/>
          <w:lang w:val="de-DE"/>
        </w:rPr>
        <w:t>t Ve</w:t>
      </w:r>
      <w:r>
        <w:rPr>
          <w:rFonts w:ascii="Calibri" w:eastAsia="Calibri" w:hAnsi="Calibri" w:cs="Calibri"/>
          <w:sz w:val="22"/>
          <w:szCs w:val="22"/>
        </w:rPr>
        <w:t>řejn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zakázky, k čemuž má příslušná </w:t>
      </w:r>
      <w:r>
        <w:rPr>
          <w:rFonts w:ascii="Calibri" w:eastAsia="Calibri" w:hAnsi="Calibri" w:cs="Calibri"/>
          <w:sz w:val="22"/>
          <w:szCs w:val="22"/>
          <w:lang w:val="it-IT"/>
        </w:rPr>
        <w:t>opr</w:t>
      </w:r>
      <w:r>
        <w:rPr>
          <w:rFonts w:ascii="Calibri" w:eastAsia="Calibri" w:hAnsi="Calibri" w:cs="Calibri"/>
          <w:sz w:val="22"/>
          <w:szCs w:val="22"/>
        </w:rPr>
        <w:t>ávnění;</w:t>
      </w:r>
    </w:p>
    <w:p w:rsidR="0074032B" w:rsidRDefault="008346C1">
      <w:pPr>
        <w:pStyle w:val="AKFZpreambule"/>
        <w:numPr>
          <w:ilvl w:val="0"/>
          <w:numId w:val="2"/>
        </w:num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Kupující má, s ohledem na výsledek výběrov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ho řízení na Veřejnou zakázku, v úmyslu zadat Prodávajícímu realizaci předmětu plnění Veřejn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zakázky; a</w:t>
      </w:r>
    </w:p>
    <w:p w:rsidR="0074032B" w:rsidRDefault="008346C1">
      <w:pPr>
        <w:pStyle w:val="AKFZpreambule"/>
        <w:numPr>
          <w:ilvl w:val="0"/>
          <w:numId w:val="2"/>
        </w:num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 mají zájem upravit svá práva a povinnosti tak, aby zejm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it-IT"/>
        </w:rPr>
        <w:t>na do</w:t>
      </w:r>
      <w:r>
        <w:rPr>
          <w:rFonts w:ascii="Calibri" w:eastAsia="Calibri" w:hAnsi="Calibri" w:cs="Calibri"/>
        </w:rPr>
        <w:t>šlo ze strany Prodávajícího k řádn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realizaci předmětu plnění Veřejn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zakázky;</w:t>
      </w:r>
      <w:bookmarkEnd w:id="1"/>
    </w:p>
    <w:p w:rsidR="0074032B" w:rsidRDefault="008346C1">
      <w:pPr>
        <w:pStyle w:val="AKFZpreambule"/>
        <w:tabs>
          <w:tab w:val="clear" w:pos="680"/>
        </w:tabs>
        <w:spacing w:before="120" w:after="12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se smluvní strany, vědomy si svých závazků v t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to Smlouvě obsažených a s úmyslem být touto Smlouvou vázány, dohodly na následujícím znění Smlouvy:</w:t>
      </w:r>
    </w:p>
    <w:p w:rsidR="0074032B" w:rsidRDefault="0074032B">
      <w:pPr>
        <w:keepNext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keepNext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keepNext/>
        <w:numPr>
          <w:ilvl w:val="0"/>
          <w:numId w:val="4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PŘ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EDM</w:t>
      </w:r>
      <w:r>
        <w:rPr>
          <w:rFonts w:ascii="Calibri" w:eastAsia="Calibri" w:hAnsi="Calibri" w:cs="Calibri"/>
          <w:b/>
          <w:bCs/>
          <w:sz w:val="22"/>
          <w:szCs w:val="22"/>
        </w:rPr>
        <w:t>Ě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T SMLOUVY</w:t>
      </w:r>
    </w:p>
    <w:p w:rsidR="0074032B" w:rsidRDefault="008346C1">
      <w:pPr>
        <w:pStyle w:val="Odstavecseseznamem"/>
        <w:keepNext/>
        <w:ind w:left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4032B" w:rsidRDefault="008346C1">
      <w:pPr>
        <w:pStyle w:val="Odstavecseseznamem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Předmě</w:t>
      </w:r>
      <w:r>
        <w:rPr>
          <w:rFonts w:ascii="Calibri" w:eastAsia="Calibri" w:hAnsi="Calibri" w:cs="Calibri"/>
          <w:sz w:val="22"/>
          <w:szCs w:val="22"/>
          <w:lang w:val="pt-PT"/>
        </w:rPr>
        <w:t>tem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 je závazek Zhotovitele prov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st osobně na svůj náklad a nebezpečí pro Objednatele dílo a Objednatel se zavazuje dílo převzít a zaplatit cenu.</w:t>
      </w:r>
    </w:p>
    <w:p w:rsidR="0074032B" w:rsidRDefault="0074032B">
      <w:pPr>
        <w:pStyle w:val="Odstavecseseznamem"/>
        <w:ind w:left="993"/>
        <w:jc w:val="both"/>
        <w:rPr>
          <w:rFonts w:ascii="Calibri" w:eastAsia="Calibri" w:hAnsi="Calibri" w:cs="Calibri"/>
          <w:color w:val="7030A0"/>
          <w:sz w:val="22"/>
          <w:szCs w:val="22"/>
          <w:u w:color="7030A0"/>
        </w:rPr>
      </w:pPr>
    </w:p>
    <w:p w:rsidR="0074032B" w:rsidRDefault="008346C1">
      <w:pPr>
        <w:pStyle w:val="Odstavecseseznamem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Dílem se rozumí: Čištění topn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okruhu C a D + E a H pro UK FTVS v areálu Veleslavín.</w:t>
      </w:r>
    </w:p>
    <w:p w:rsidR="0074032B" w:rsidRDefault="0074032B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Technick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parametry jsou specifikovány v pří</w:t>
      </w:r>
      <w:r>
        <w:rPr>
          <w:rFonts w:ascii="Calibri" w:eastAsia="Calibri" w:hAnsi="Calibri" w:cs="Calibri"/>
          <w:sz w:val="22"/>
          <w:szCs w:val="22"/>
          <w:lang w:val="nl-NL"/>
        </w:rPr>
        <w:t xml:space="preserve">loze 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. 1 </w:t>
      </w:r>
      <w:r>
        <w:rPr>
          <w:rFonts w:ascii="Calibri" w:eastAsia="Calibri" w:hAnsi="Calibri" w:cs="Calibri"/>
          <w:sz w:val="22"/>
          <w:szCs w:val="22"/>
        </w:rPr>
        <w:t>– Technická specifikace a v pří</w:t>
      </w:r>
      <w:r>
        <w:rPr>
          <w:rFonts w:ascii="Calibri" w:eastAsia="Calibri" w:hAnsi="Calibri" w:cs="Calibri"/>
          <w:sz w:val="22"/>
          <w:szCs w:val="22"/>
          <w:lang w:val="nl-NL"/>
        </w:rPr>
        <w:t xml:space="preserve">loze </w:t>
      </w:r>
      <w:r>
        <w:rPr>
          <w:rFonts w:ascii="Calibri" w:eastAsia="Calibri" w:hAnsi="Calibri" w:cs="Calibri"/>
          <w:sz w:val="22"/>
          <w:szCs w:val="22"/>
        </w:rPr>
        <w:t xml:space="preserve">č. 2 – </w:t>
      </w:r>
      <w:r>
        <w:rPr>
          <w:rFonts w:ascii="Calibri" w:eastAsia="Calibri" w:hAnsi="Calibri" w:cs="Calibri"/>
          <w:sz w:val="22"/>
          <w:szCs w:val="22"/>
          <w:lang w:val="it-IT"/>
        </w:rPr>
        <w:t>Polo</w:t>
      </w:r>
      <w:r>
        <w:rPr>
          <w:rFonts w:ascii="Calibri" w:eastAsia="Calibri" w:hAnsi="Calibri" w:cs="Calibri"/>
          <w:sz w:val="22"/>
          <w:szCs w:val="22"/>
        </w:rPr>
        <w:t>žkový výkaz. Přílohy jsou nedílnou součástí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to smlouvy. </w:t>
      </w:r>
    </w:p>
    <w:p w:rsidR="0074032B" w:rsidRDefault="0074032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keepNext/>
        <w:numPr>
          <w:ilvl w:val="0"/>
          <w:numId w:val="5"/>
        </w:numPr>
        <w:jc w:val="both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CENA D</w:t>
      </w:r>
      <w:r>
        <w:rPr>
          <w:rFonts w:ascii="Calibri" w:eastAsia="Calibri" w:hAnsi="Calibri" w:cs="Calibri"/>
          <w:b/>
          <w:bCs/>
          <w:sz w:val="22"/>
          <w:szCs w:val="22"/>
        </w:rPr>
        <w:t>Í</w:t>
      </w:r>
      <w:r>
        <w:rPr>
          <w:rFonts w:ascii="Calibri" w:eastAsia="Calibri" w:hAnsi="Calibri" w:cs="Calibri"/>
          <w:b/>
          <w:bCs/>
          <w:sz w:val="22"/>
          <w:szCs w:val="22"/>
          <w:lang w:val="da-DK"/>
        </w:rPr>
        <w:t>LA</w:t>
      </w:r>
    </w:p>
    <w:p w:rsidR="0074032B" w:rsidRDefault="0074032B">
      <w:pPr>
        <w:pStyle w:val="Odstavecseseznamem"/>
        <w:keepNext/>
        <w:ind w:left="425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bookmarkStart w:id="2" w:name="_Ref379197000"/>
      <w:r>
        <w:rPr>
          <w:rFonts w:ascii="Calibri" w:eastAsia="Calibri" w:hAnsi="Calibri" w:cs="Calibri"/>
          <w:sz w:val="22"/>
          <w:szCs w:val="22"/>
        </w:rPr>
        <w:t>Strany se dohodly, že celková cena za provedení Díla je určena jako cena smluvní. Celková cena za provedení Díla činí 704479 (slovy sedm set č</w:t>
      </w:r>
      <w:r>
        <w:rPr>
          <w:rFonts w:ascii="Calibri" w:eastAsia="Calibri" w:hAnsi="Calibri" w:cs="Calibri"/>
          <w:sz w:val="22"/>
          <w:szCs w:val="22"/>
          <w:lang w:val="en-US"/>
        </w:rPr>
        <w:t>ty</w:t>
      </w:r>
      <w:r>
        <w:rPr>
          <w:rFonts w:ascii="Calibri" w:eastAsia="Calibri" w:hAnsi="Calibri" w:cs="Calibri"/>
          <w:sz w:val="22"/>
          <w:szCs w:val="22"/>
        </w:rPr>
        <w:t>ři tisíc č</w:t>
      </w:r>
      <w:r>
        <w:rPr>
          <w:rFonts w:ascii="Calibri" w:eastAsia="Calibri" w:hAnsi="Calibri" w:cs="Calibri"/>
          <w:sz w:val="22"/>
          <w:szCs w:val="22"/>
          <w:lang w:val="en-US"/>
        </w:rPr>
        <w:t>ty</w:t>
      </w:r>
      <w:r>
        <w:rPr>
          <w:rFonts w:ascii="Calibri" w:eastAsia="Calibri" w:hAnsi="Calibri" w:cs="Calibri"/>
          <w:sz w:val="22"/>
          <w:szCs w:val="22"/>
        </w:rPr>
        <w:t>ři sta sedmdesá</w:t>
      </w:r>
      <w:r>
        <w:rPr>
          <w:rFonts w:ascii="Calibri" w:eastAsia="Calibri" w:hAnsi="Calibri" w:cs="Calibri"/>
          <w:sz w:val="22"/>
          <w:szCs w:val="22"/>
          <w:lang w:val="fr-FR"/>
        </w:rPr>
        <w:t>t dev</w:t>
      </w:r>
      <w:r>
        <w:rPr>
          <w:rFonts w:ascii="Calibri" w:eastAsia="Calibri" w:hAnsi="Calibri" w:cs="Calibri"/>
          <w:sz w:val="22"/>
          <w:szCs w:val="22"/>
        </w:rPr>
        <w:t xml:space="preserve">ět korun českých) včetně DPH. </w:t>
      </w:r>
      <w:bookmarkEnd w:id="2"/>
    </w:p>
    <w:p w:rsidR="0074032B" w:rsidRDefault="0074032B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8521" w:type="dxa"/>
        <w:tblInd w:w="1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49"/>
        <w:gridCol w:w="2823"/>
        <w:gridCol w:w="2849"/>
      </w:tblGrid>
      <w:tr w:rsidR="0074032B">
        <w:trPr>
          <w:trHeight w:val="490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2B" w:rsidRDefault="008346C1">
            <w:pPr>
              <w:pStyle w:val="Odstavecseseznamem"/>
              <w:ind w:left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Celková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cena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 Kč bez DPH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2B" w:rsidRDefault="008346C1">
            <w:pPr>
              <w:pStyle w:val="Odstavecseseznamem"/>
              <w:ind w:left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Sazba DPH v %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2B" w:rsidRDefault="008346C1">
            <w:pPr>
              <w:pStyle w:val="Odstavecseseznamem"/>
              <w:ind w:left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Celková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cena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 Kč včetně DPH</w:t>
            </w:r>
          </w:p>
        </w:tc>
      </w:tr>
      <w:tr w:rsidR="0074032B">
        <w:trPr>
          <w:trHeight w:val="28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2B" w:rsidRDefault="008346C1">
            <w:pPr>
              <w:pStyle w:val="Odstavecseseznamem"/>
              <w:ind w:left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582214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2B" w:rsidRDefault="008346C1">
            <w:pPr>
              <w:pStyle w:val="Odstavecseseznamem"/>
              <w:ind w:left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2B" w:rsidRDefault="008346C1">
            <w:pPr>
              <w:pStyle w:val="Odstavecseseznamem"/>
              <w:ind w:left="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704479</w:t>
            </w:r>
          </w:p>
        </w:tc>
      </w:tr>
    </w:tbl>
    <w:p w:rsidR="0074032B" w:rsidRDefault="0074032B">
      <w:pPr>
        <w:pStyle w:val="Odstavecseseznamem"/>
        <w:widowControl w:val="0"/>
        <w:ind w:left="19" w:hanging="19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2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Ceny v nabídce musí vycházet nejen z předložen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soupisu výkonů, ale i ze znalosti cel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prováděcího projektu. Prostudování kompletní dokumentace je nutnou podmínkou předložení nabídky.</w:t>
      </w:r>
    </w:p>
    <w:p w:rsidR="0074032B" w:rsidRDefault="008346C1">
      <w:pPr>
        <w:pStyle w:val="Odstavecseseznamem"/>
        <w:numPr>
          <w:ilvl w:val="2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jednotlivých cená</w:t>
      </w:r>
      <w:r>
        <w:rPr>
          <w:rFonts w:ascii="Calibri" w:eastAsia="Calibri" w:hAnsi="Calibri" w:cs="Calibri"/>
          <w:sz w:val="22"/>
          <w:szCs w:val="22"/>
          <w:lang w:val="de-DE"/>
        </w:rPr>
        <w:t>ch mus</w:t>
      </w:r>
      <w:r>
        <w:rPr>
          <w:rFonts w:ascii="Calibri" w:eastAsia="Calibri" w:hAnsi="Calibri" w:cs="Calibri"/>
          <w:sz w:val="22"/>
          <w:szCs w:val="22"/>
        </w:rPr>
        <w:t xml:space="preserve">í být zahrnuty náklady na případnou vlastní </w:t>
      </w:r>
      <w:r>
        <w:rPr>
          <w:rFonts w:ascii="Calibri" w:eastAsia="Calibri" w:hAnsi="Calibri" w:cs="Calibri"/>
          <w:sz w:val="22"/>
          <w:szCs w:val="22"/>
          <w:lang w:val="en-US"/>
        </w:rPr>
        <w:t>mont</w:t>
      </w:r>
      <w:r>
        <w:rPr>
          <w:rFonts w:ascii="Calibri" w:eastAsia="Calibri" w:hAnsi="Calibri" w:cs="Calibri"/>
          <w:sz w:val="22"/>
          <w:szCs w:val="22"/>
        </w:rPr>
        <w:t>áž, dopravu, vešker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případn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přesuny materiálu a opatření BOZP.</w:t>
      </w:r>
    </w:p>
    <w:p w:rsidR="0074032B" w:rsidRDefault="0074032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 dohodly, že vešker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platby budou prováděny bezhotovostní</w:t>
      </w:r>
      <w:r>
        <w:rPr>
          <w:rFonts w:ascii="Calibri" w:eastAsia="Calibri" w:hAnsi="Calibri" w:cs="Calibri"/>
          <w:sz w:val="22"/>
          <w:szCs w:val="22"/>
          <w:lang w:val="pt-PT"/>
        </w:rPr>
        <w:t>m p</w:t>
      </w:r>
      <w:r>
        <w:rPr>
          <w:rFonts w:ascii="Calibri" w:eastAsia="Calibri" w:hAnsi="Calibri" w:cs="Calibri"/>
          <w:sz w:val="22"/>
          <w:szCs w:val="22"/>
        </w:rPr>
        <w:t>řevodem na účet Zhotovitele, uvedený Zhotovitelem, jinak na účet uvedený v záhlaví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Smlouvy, přičemž jakákoli úhrada se považuje za zaplacenou v okamžiku připsání úhrady na úč</w:t>
      </w:r>
      <w:r>
        <w:rPr>
          <w:rFonts w:ascii="Calibri" w:eastAsia="Calibri" w:hAnsi="Calibri" w:cs="Calibri"/>
          <w:sz w:val="22"/>
          <w:szCs w:val="22"/>
          <w:lang w:val="nl-NL"/>
        </w:rPr>
        <w:t>et opr</w:t>
      </w:r>
      <w:r>
        <w:rPr>
          <w:rFonts w:ascii="Calibri" w:eastAsia="Calibri" w:hAnsi="Calibri" w:cs="Calibri"/>
          <w:sz w:val="22"/>
          <w:szCs w:val="22"/>
        </w:rPr>
        <w:t>ávněn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smluvní strany. </w:t>
      </w:r>
    </w:p>
    <w:p w:rsidR="0074032B" w:rsidRDefault="0074032B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Smluvní strany se dohodly, že dodavatel bude fakturovat za jednotlivá plnění díla uvedených ve výzvě neprodleně </w:t>
      </w:r>
      <w:r>
        <w:rPr>
          <w:rFonts w:ascii="Calibri" w:eastAsia="Calibri" w:hAnsi="Calibri" w:cs="Calibri"/>
          <w:sz w:val="22"/>
          <w:szCs w:val="22"/>
          <w:lang w:val="it-IT"/>
        </w:rPr>
        <w:t>po p</w:t>
      </w:r>
      <w:r>
        <w:rPr>
          <w:rFonts w:ascii="Calibri" w:eastAsia="Calibri" w:hAnsi="Calibri" w:cs="Calibri"/>
          <w:sz w:val="22"/>
          <w:szCs w:val="22"/>
        </w:rPr>
        <w:t>ředání.</w:t>
      </w:r>
    </w:p>
    <w:p w:rsidR="0074032B" w:rsidRDefault="008346C1">
      <w:pPr>
        <w:pStyle w:val="Odstavecseseznamem"/>
        <w:widowControl w:val="0"/>
        <w:ind w:left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první část - </w:t>
      </w:r>
      <w:r>
        <w:rPr>
          <w:rFonts w:ascii="Arial" w:hAnsi="Arial"/>
        </w:rPr>
        <w:t>Čistění topn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okruhu E a H </w:t>
      </w:r>
    </w:p>
    <w:p w:rsidR="0074032B" w:rsidRDefault="008346C1">
      <w:pPr>
        <w:pStyle w:val="Odstavecseseznamem"/>
        <w:widowControl w:val="0"/>
        <w:ind w:left="99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druhá část - Čištění topn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okruhu C a D </w:t>
      </w:r>
    </w:p>
    <w:p w:rsidR="0074032B" w:rsidRDefault="0074032B">
      <w:pPr>
        <w:pStyle w:val="Odstavecseseznamem"/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pStyle w:val="Odstavecseseznamem"/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pStyle w:val="Odstavecseseznamem"/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pStyle w:val="Odstavecseseznamem"/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pStyle w:val="Odstavecseseznamem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0"/>
          <w:numId w:val="7"/>
        </w:numPr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DOBA PLNĚNÍ</w:t>
      </w:r>
    </w:p>
    <w:p w:rsidR="0074032B" w:rsidRDefault="0074032B">
      <w:pPr>
        <w:pStyle w:val="Odstavecseseznamem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7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dokončí první čá</w:t>
      </w:r>
      <w:r>
        <w:rPr>
          <w:rFonts w:ascii="Calibri" w:eastAsia="Calibri" w:hAnsi="Calibri" w:cs="Calibri"/>
          <w:sz w:val="22"/>
          <w:szCs w:val="22"/>
          <w:lang w:val="fr-FR"/>
        </w:rPr>
        <w:t>st d</w:t>
      </w:r>
      <w:r>
        <w:rPr>
          <w:rFonts w:ascii="Calibri" w:eastAsia="Calibri" w:hAnsi="Calibri" w:cs="Calibri"/>
          <w:sz w:val="22"/>
          <w:szCs w:val="22"/>
        </w:rPr>
        <w:t>íla nejpozději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do 30. 12. 2017 - </w:t>
      </w:r>
      <w:r>
        <w:rPr>
          <w:rFonts w:ascii="Arial" w:eastAsia="Calibri" w:hAnsi="Arial" w:cs="Calibri"/>
        </w:rPr>
        <w:t>Čistění topn</w:t>
      </w:r>
      <w:r>
        <w:rPr>
          <w:rFonts w:ascii="Arial" w:eastAsia="Calibri" w:hAnsi="Arial" w:cs="Calibri"/>
          <w:lang w:val="fr-FR"/>
        </w:rPr>
        <w:t>é</w:t>
      </w:r>
      <w:r>
        <w:rPr>
          <w:rFonts w:ascii="Arial" w:eastAsia="Calibri" w:hAnsi="Arial" w:cs="Calibri"/>
        </w:rPr>
        <w:t>ho okruhu E a H.</w:t>
      </w:r>
    </w:p>
    <w:p w:rsidR="0074032B" w:rsidRDefault="008346C1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Zhotovitel dokončí druhou čá</w:t>
      </w:r>
      <w:r>
        <w:rPr>
          <w:rFonts w:ascii="Calibri" w:eastAsia="Calibri" w:hAnsi="Calibri" w:cs="Calibri"/>
          <w:sz w:val="22"/>
          <w:szCs w:val="22"/>
          <w:lang w:val="fr-FR"/>
        </w:rPr>
        <w:t>st d</w:t>
      </w:r>
      <w:r>
        <w:rPr>
          <w:rFonts w:ascii="Calibri" w:eastAsia="Calibri" w:hAnsi="Calibri" w:cs="Calibri"/>
          <w:sz w:val="22"/>
          <w:szCs w:val="22"/>
        </w:rPr>
        <w:t>íla nejpozději</w:t>
      </w: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t xml:space="preserve"> do 30. 05. 2018 </w:t>
      </w:r>
      <w:r>
        <w:rPr>
          <w:rFonts w:ascii="Arial" w:hAnsi="Arial"/>
        </w:rPr>
        <w:t>Čistění topn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okruhu C a D.</w:t>
      </w:r>
    </w:p>
    <w:p w:rsidR="0074032B" w:rsidRDefault="0074032B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7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mohou tuto Smlouvu vypovědět bez udání důvodu písemnou výpovědí doručenou druh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smluvní straně. Výpovědní doba činí tři (3) měsíce a začíná plynout od prvního dne kalendářního měsíce, který následuje po měsí</w:t>
      </w:r>
      <w:r>
        <w:rPr>
          <w:rFonts w:ascii="Calibri" w:eastAsia="Calibri" w:hAnsi="Calibri" w:cs="Calibri"/>
          <w:sz w:val="22"/>
          <w:szCs w:val="22"/>
          <w:lang w:val="it-IT"/>
        </w:rPr>
        <w:t>ci, ve</w:t>
      </w:r>
      <w:r>
        <w:rPr>
          <w:rFonts w:ascii="Calibri" w:eastAsia="Calibri" w:hAnsi="Calibri" w:cs="Calibri"/>
          <w:sz w:val="22"/>
          <w:szCs w:val="22"/>
        </w:rPr>
        <w:t> kter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 byla výpověď doručena druh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smluvní straně. </w:t>
      </w:r>
    </w:p>
    <w:p w:rsidR="0074032B" w:rsidRDefault="0074032B">
      <w:pPr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PRÁVA A POVINNOSTI SMLUVNÍ</w:t>
      </w: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>CH STRAN</w:t>
      </w:r>
    </w:p>
    <w:p w:rsidR="0074032B" w:rsidRDefault="008346C1">
      <w:pPr>
        <w:pStyle w:val="Odstavecseseznamem"/>
        <w:ind w:left="42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4032B" w:rsidRDefault="008346C1">
      <w:pPr>
        <w:pStyle w:val="Odstavecseseznamem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je povinen prov</w:t>
      </w:r>
      <w:r>
        <w:rPr>
          <w:rFonts w:ascii="Calibri" w:eastAsia="Calibri" w:hAnsi="Calibri" w:cs="Calibri"/>
          <w:sz w:val="22"/>
          <w:szCs w:val="22"/>
          <w:lang w:val="fr-FR"/>
        </w:rPr>
        <w:t>ést d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lo </w:t>
      </w:r>
      <w:r>
        <w:rPr>
          <w:rFonts w:ascii="Calibri" w:eastAsia="Calibri" w:hAnsi="Calibri" w:cs="Calibri"/>
          <w:sz w:val="22"/>
          <w:szCs w:val="22"/>
        </w:rPr>
        <w:t>řádným způsobem, v odborn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kvalitě, bez vad a ve lhůtě stanoven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 článku 3.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 a předat jej Objednateli po dostatečně včasn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pt-PT"/>
        </w:rPr>
        <w:t>m p</w:t>
      </w:r>
      <w:r>
        <w:rPr>
          <w:rFonts w:ascii="Calibri" w:eastAsia="Calibri" w:hAnsi="Calibri" w:cs="Calibri"/>
          <w:sz w:val="22"/>
          <w:szCs w:val="22"/>
        </w:rPr>
        <w:t>ředchozí</w:t>
      </w:r>
      <w:r>
        <w:rPr>
          <w:rFonts w:ascii="Calibri" w:eastAsia="Calibri" w:hAnsi="Calibri" w:cs="Calibri"/>
          <w:sz w:val="22"/>
          <w:szCs w:val="22"/>
          <w:lang w:val="pt-PT"/>
        </w:rPr>
        <w:t>m p</w:t>
      </w:r>
      <w:r>
        <w:rPr>
          <w:rFonts w:ascii="Calibri" w:eastAsia="Calibri" w:hAnsi="Calibri" w:cs="Calibri"/>
          <w:sz w:val="22"/>
          <w:szCs w:val="22"/>
        </w:rPr>
        <w:t>ísemn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 oznámení Objednateli o předání díla za přítomnosti Objednatele, případně jím pověřen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osoby.</w:t>
      </w:r>
    </w:p>
    <w:p w:rsidR="0074032B" w:rsidRDefault="0074032B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Objednatel je povinen dílo převzít po úpln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 dokončení díla. Převzetí díla bude zachyceno v předávacím protokolu s vyznačením všech výhrad a zjevný</w:t>
      </w:r>
      <w:r>
        <w:rPr>
          <w:rFonts w:ascii="Calibri" w:eastAsia="Calibri" w:hAnsi="Calibri" w:cs="Calibri"/>
          <w:sz w:val="22"/>
          <w:szCs w:val="22"/>
          <w:lang w:val="sv-SE"/>
        </w:rPr>
        <w:t>ch vad.</w:t>
      </w:r>
    </w:p>
    <w:p w:rsidR="0074032B" w:rsidRDefault="0074032B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Při provádění dí</w:t>
      </w:r>
      <w:r>
        <w:rPr>
          <w:rFonts w:ascii="Calibri" w:eastAsia="Calibri" w:hAnsi="Calibri" w:cs="Calibri"/>
          <w:sz w:val="22"/>
          <w:szCs w:val="22"/>
          <w:lang w:val="fr-FR"/>
        </w:rPr>
        <w:t>la m</w:t>
      </w:r>
      <w:r>
        <w:rPr>
          <w:rFonts w:ascii="Calibri" w:eastAsia="Calibri" w:hAnsi="Calibri" w:cs="Calibri"/>
          <w:sz w:val="22"/>
          <w:szCs w:val="22"/>
        </w:rPr>
        <w:t>á Zhotovitel přístup do prostor Objednatele, kter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Objednatel k provedení díla urč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il. </w:t>
      </w:r>
    </w:p>
    <w:p w:rsidR="0074032B" w:rsidRDefault="0074032B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je povinen v prostorech,  kter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Objednatel k provedení díla určil, dodržovat a zajišťovat všechny požární, bezpečnostní, hygienick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  <w:lang w:val="it-IT"/>
        </w:rPr>
        <w:t>a dal</w:t>
      </w:r>
      <w:r>
        <w:rPr>
          <w:rFonts w:ascii="Calibri" w:eastAsia="Calibri" w:hAnsi="Calibri" w:cs="Calibri"/>
          <w:sz w:val="22"/>
          <w:szCs w:val="22"/>
        </w:rPr>
        <w:t>ší předpisy související s jeho činností, zejm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na:</w:t>
      </w:r>
    </w:p>
    <w:p w:rsidR="0074032B" w:rsidRDefault="0074032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2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Bezpečnost a ochranu zdraví při práci v rozsahu požadovan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 zákonem č. 262/2006 Sb., zákoník Práce, ve znění pozdějších předpisů</w:t>
      </w:r>
      <w:r>
        <w:rPr>
          <w:rFonts w:ascii="Calibri" w:eastAsia="Calibri" w:hAnsi="Calibri" w:cs="Calibri"/>
          <w:sz w:val="22"/>
          <w:szCs w:val="22"/>
          <w:lang w:val="nl-NL"/>
        </w:rPr>
        <w:t>, z</w:t>
      </w:r>
      <w:r>
        <w:rPr>
          <w:rFonts w:ascii="Calibri" w:eastAsia="Calibri" w:hAnsi="Calibri" w:cs="Calibri"/>
          <w:sz w:val="22"/>
          <w:szCs w:val="22"/>
        </w:rPr>
        <w:t>ákonem č. 309/2006 Sb. a jejich prováděcí nařízení vlády, včetně školení svých zaměstnanců a osob, kter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se budou s vědomím Zhotovitele pohybovat v těchto prostorech.</w:t>
      </w:r>
    </w:p>
    <w:p w:rsidR="0074032B" w:rsidRDefault="008346C1">
      <w:pPr>
        <w:pStyle w:val="Odstavecseseznamem"/>
        <w:numPr>
          <w:ilvl w:val="2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Úkoly na úseku požární ochrany dle zákona č</w:t>
      </w:r>
      <w:r>
        <w:rPr>
          <w:rFonts w:ascii="Calibri" w:eastAsia="Calibri" w:hAnsi="Calibri" w:cs="Calibri"/>
          <w:sz w:val="22"/>
          <w:szCs w:val="22"/>
          <w:lang w:val="pt-PT"/>
        </w:rPr>
        <w:t>. 237/2000 Sb. o po</w:t>
      </w:r>
      <w:r>
        <w:rPr>
          <w:rFonts w:ascii="Calibri" w:eastAsia="Calibri" w:hAnsi="Calibri" w:cs="Calibri"/>
          <w:sz w:val="22"/>
          <w:szCs w:val="22"/>
        </w:rPr>
        <w:t xml:space="preserve">žární ochraně, ve znění pozdějších předpisů, kterým se upravuje zákon 133/85 Sb. o požární ochraně ve znění pozdějších předpisů a Vyhlášky Ministerstva vnitra č. 246/2001 Sb., ze dne 29. června 2001, o požární prevenci.    </w:t>
      </w:r>
    </w:p>
    <w:p w:rsidR="0074032B" w:rsidRDefault="0074032B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8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odpovídá objednateli za odstranění vad a výhrad k dílu, zachycených v protokolu o předání díla, bez zbytečn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odkladu a bezplatně.  </w:t>
      </w:r>
    </w:p>
    <w:p w:rsidR="0074032B" w:rsidRDefault="0074032B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0"/>
          <w:numId w:val="7"/>
        </w:numPr>
        <w:jc w:val="both"/>
        <w:rPr>
          <w:rFonts w:ascii="Calibri" w:eastAsia="Calibri" w:hAnsi="Calibri" w:cs="Calibri"/>
          <w:b/>
          <w:bCs/>
          <w:sz w:val="22"/>
          <w:szCs w:val="22"/>
          <w:lang w:val="de-DE"/>
        </w:rPr>
      </w:pPr>
      <w:r>
        <w:rPr>
          <w:rFonts w:ascii="Calibri" w:eastAsia="Calibri" w:hAnsi="Calibri" w:cs="Calibri"/>
          <w:b/>
          <w:bCs/>
          <w:sz w:val="22"/>
          <w:szCs w:val="22"/>
          <w:lang w:val="de-DE"/>
        </w:rPr>
        <w:t xml:space="preserve">REGISTRACE </w:t>
      </w:r>
    </w:p>
    <w:p w:rsidR="0074032B" w:rsidRDefault="0074032B">
      <w:pPr>
        <w:pStyle w:val="Odstavecseseznamem"/>
        <w:ind w:left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74032B" w:rsidRDefault="008346C1">
      <w:pPr>
        <w:pStyle w:val="lneksmlouvy"/>
        <w:numPr>
          <w:ilvl w:val="1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 berou na vědomí, že tato smlouva ke své účinnosti vyžaduje uveřejnění v registru smluv podle zákona č. 340/2015 Sb. a s tímto uveřejněním souhlasí. Zaslání smlouvy do registru smluv zajistí UK neprodleně po podpisu smlouvy. UK se současně zavazuje informovat druhou smluvní stranu o provedení registrace tak, že zašle druh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 xml:space="preserve">smluvní straně kopii potvrzení </w:t>
      </w:r>
      <w:r>
        <w:rPr>
          <w:rFonts w:ascii="Calibri" w:eastAsia="Calibri" w:hAnsi="Calibri" w:cs="Calibri"/>
          <w:lang w:val="de-DE"/>
        </w:rPr>
        <w:t>spr</w:t>
      </w:r>
      <w:r>
        <w:rPr>
          <w:rFonts w:ascii="Calibri" w:eastAsia="Calibri" w:hAnsi="Calibri" w:cs="Calibri"/>
        </w:rPr>
        <w:t>ávce registru smluv o uveřejnění smlouvy bez zbytečn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ho odkladu pot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, kdy sama potvrzení obdrží, popř. již v průvodním formuláři vyplní příslušnou kolonku s ID datov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  <w:lang w:val="de-DE"/>
        </w:rPr>
        <w:t>schr</w:t>
      </w:r>
      <w:r>
        <w:rPr>
          <w:rFonts w:ascii="Calibri" w:eastAsia="Calibri" w:hAnsi="Calibri" w:cs="Calibri"/>
        </w:rPr>
        <w:t>ánky druh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smluvní strany (v takov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pt-PT"/>
        </w:rPr>
        <w:t>m p</w:t>
      </w:r>
      <w:r>
        <w:rPr>
          <w:rFonts w:ascii="Calibri" w:eastAsia="Calibri" w:hAnsi="Calibri" w:cs="Calibri"/>
        </w:rPr>
        <w:t xml:space="preserve">řípadě potvrzení od správce registru smluv o provedení registrace smlouvy obdrží obě smluvní strany zároveň). </w:t>
      </w:r>
    </w:p>
    <w:p w:rsidR="0074032B" w:rsidRDefault="0074032B">
      <w:pPr>
        <w:pStyle w:val="Odstavecseseznamem"/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pStyle w:val="Odstavecseseznamem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keepNext/>
        <w:numPr>
          <w:ilvl w:val="0"/>
          <w:numId w:val="11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ZÁVĚREČNÁ USTANOVENÍ</w:t>
      </w:r>
    </w:p>
    <w:p w:rsidR="0074032B" w:rsidRDefault="008346C1">
      <w:pPr>
        <w:pStyle w:val="Odstavecseseznamem"/>
        <w:keepNext/>
        <w:ind w:left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4032B" w:rsidRDefault="008346C1">
      <w:pPr>
        <w:pStyle w:val="Odstavecseseznamem"/>
        <w:numPr>
          <w:ilvl w:val="1"/>
          <w:numId w:val="1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3"/>
          <w:szCs w:val="23"/>
        </w:rPr>
        <w:t>Tato smlouva nabývá platnosti dnem podpisu poslední smluvní strany a účinnosti dnem uveřejnění v registru smluv podle zákona o registru smluv.</w:t>
      </w:r>
    </w:p>
    <w:p w:rsidR="0074032B" w:rsidRDefault="008346C1">
      <w:pPr>
        <w:pStyle w:val="Odstavecseseznamem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dohodly právní formu Smlouvy jako písemnou ve smyslu ustanovení § 559 a § 1758 OZ. Jakákoli změna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 musí být učiněna v písemn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podobě oběma smluvními stranami odsouhlasen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es-ES_tradnl"/>
        </w:rPr>
        <w:t xml:space="preserve">ho a </w:t>
      </w:r>
      <w:r>
        <w:rPr>
          <w:rFonts w:ascii="Calibri" w:eastAsia="Calibri" w:hAnsi="Calibri" w:cs="Calibri"/>
          <w:sz w:val="22"/>
          <w:szCs w:val="22"/>
        </w:rPr>
        <w:t>řádně postupně číslovan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ho dodatku. </w:t>
      </w:r>
    </w:p>
    <w:p w:rsidR="0074032B" w:rsidRDefault="008346C1">
      <w:pPr>
        <w:pStyle w:val="Odstavecseseznamem"/>
        <w:ind w:left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4032B" w:rsidRDefault="008346C1">
      <w:pPr>
        <w:pStyle w:val="Odstavecseseznamem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 vztahu ke smluvním pokutám se Smluvní strany dohodly na vyloučení aplikace ustanovení § 2050 OZ, kdy ujednáním o smluvní pokutě </w:t>
      </w:r>
      <w:r>
        <w:rPr>
          <w:rFonts w:ascii="Calibri" w:eastAsia="Calibri" w:hAnsi="Calibri" w:cs="Calibri"/>
          <w:sz w:val="22"/>
          <w:szCs w:val="22"/>
          <w:lang w:val="de-DE"/>
        </w:rPr>
        <w:t>nen</w:t>
      </w:r>
      <w:r>
        <w:rPr>
          <w:rFonts w:ascii="Calibri" w:eastAsia="Calibri" w:hAnsi="Calibri" w:cs="Calibri"/>
          <w:sz w:val="22"/>
          <w:szCs w:val="22"/>
        </w:rPr>
        <w:t xml:space="preserve">í </w:t>
      </w:r>
      <w:r>
        <w:rPr>
          <w:rFonts w:ascii="Calibri" w:eastAsia="Calibri" w:hAnsi="Calibri" w:cs="Calibri"/>
          <w:sz w:val="22"/>
          <w:szCs w:val="22"/>
          <w:lang w:val="it-IT"/>
        </w:rPr>
        <w:t>dot</w:t>
      </w:r>
      <w:r>
        <w:rPr>
          <w:rFonts w:ascii="Calibri" w:eastAsia="Calibri" w:hAnsi="Calibri" w:cs="Calibri"/>
          <w:sz w:val="22"/>
          <w:szCs w:val="22"/>
        </w:rPr>
        <w:t>čen nárok smluvních stran na náhradu škody za porušení povinnosti, pro kter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je smluvní pokuta sjednána. Smluvní pokuta je splatná k písemn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výzvě </w:t>
      </w:r>
      <w:r>
        <w:rPr>
          <w:rFonts w:ascii="Calibri" w:eastAsia="Calibri" w:hAnsi="Calibri" w:cs="Calibri"/>
          <w:sz w:val="22"/>
          <w:szCs w:val="22"/>
          <w:lang w:val="it-IT"/>
        </w:rPr>
        <w:t>opr</w:t>
      </w:r>
      <w:r>
        <w:rPr>
          <w:rFonts w:ascii="Calibri" w:eastAsia="Calibri" w:hAnsi="Calibri" w:cs="Calibri"/>
          <w:sz w:val="22"/>
          <w:szCs w:val="22"/>
        </w:rPr>
        <w:t>ávněn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strany ve </w:t>
      </w:r>
      <w:r>
        <w:rPr>
          <w:rFonts w:ascii="Calibri" w:eastAsia="Calibri" w:hAnsi="Calibri" w:cs="Calibri"/>
          <w:sz w:val="22"/>
          <w:szCs w:val="22"/>
          <w:lang w:val="pt-PT"/>
        </w:rPr>
        <w:t>lh</w:t>
      </w:r>
      <w:r>
        <w:rPr>
          <w:rFonts w:ascii="Calibri" w:eastAsia="Calibri" w:hAnsi="Calibri" w:cs="Calibri"/>
          <w:sz w:val="22"/>
          <w:szCs w:val="22"/>
        </w:rPr>
        <w:t>ůtě 3 dnů.</w:t>
      </w:r>
    </w:p>
    <w:p w:rsidR="0074032B" w:rsidRDefault="0074032B">
      <w:pPr>
        <w:pStyle w:val="Odstavecseseznamem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Vztahy založen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mezi smluvními stranami touto Smlouvou se řídí právním řá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dem </w:t>
      </w:r>
      <w:r>
        <w:rPr>
          <w:rFonts w:ascii="Calibri" w:eastAsia="Calibri" w:hAnsi="Calibri" w:cs="Calibri"/>
          <w:sz w:val="22"/>
          <w:szCs w:val="22"/>
        </w:rPr>
        <w:t>Česk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republiky. Pokud tato Smlouva neupravuje vzájemná práva a povinnosti jinak, řídí se příslušnými ustanovení</w:t>
      </w:r>
      <w:r>
        <w:rPr>
          <w:rFonts w:ascii="Calibri" w:eastAsia="Calibri" w:hAnsi="Calibri" w:cs="Calibri"/>
          <w:sz w:val="22"/>
          <w:szCs w:val="22"/>
          <w:lang w:val="it-IT"/>
        </w:rPr>
        <w:t>mi OZ a dal</w:t>
      </w:r>
      <w:r>
        <w:rPr>
          <w:rFonts w:ascii="Calibri" w:eastAsia="Calibri" w:hAnsi="Calibri" w:cs="Calibri"/>
          <w:sz w:val="22"/>
          <w:szCs w:val="22"/>
        </w:rPr>
        <w:t xml:space="preserve">ších platných právních předpisů. </w:t>
      </w:r>
    </w:p>
    <w:p w:rsidR="0074032B" w:rsidRDefault="0074032B">
      <w:pPr>
        <w:pStyle w:val="Odstavecseseznamem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Tato Smlouva je vyhotovena ve dvou (2) vyhotoveních a každá smluvní strana obdrží po jednom vyhotovení. </w:t>
      </w:r>
    </w:p>
    <w:p w:rsidR="0074032B" w:rsidRDefault="0074032B">
      <w:pPr>
        <w:pStyle w:val="Odstavecseseznamem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4"/>
        </w:num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Jakákoli komunikace mezi smluvními stranami je považována za relevantní právní jednání, jestliže bude uskutečněna písemně. Za písemnou formu se považuje i komunikace uskutečněná elektronickými prostředky (e-mail nebo fax).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způsoby komunikace jsou rovnocenn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 výjimkou vzniku, změny nebo zániku Smlouvy, pro kter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je vyžadován projev vůle zachycený v listinn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podobě podepsan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osobou oprávněnou jm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nem každ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smluvní strany jednat.</w:t>
      </w:r>
    </w:p>
    <w:p w:rsidR="0074032B" w:rsidRDefault="0074032B">
      <w:pPr>
        <w:pStyle w:val="Odstavecseseznamem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prohlašují, že si tuto Smlouvu přečetly, souhlasí s ní a nemají proti ní žádný</w:t>
      </w:r>
      <w:r>
        <w:rPr>
          <w:rFonts w:ascii="Calibri" w:eastAsia="Calibri" w:hAnsi="Calibri" w:cs="Calibri"/>
          <w:sz w:val="22"/>
          <w:szCs w:val="22"/>
          <w:lang w:val="de-DE"/>
        </w:rPr>
        <w:t>ch n</w:t>
      </w:r>
      <w:r>
        <w:rPr>
          <w:rFonts w:ascii="Calibri" w:eastAsia="Calibri" w:hAnsi="Calibri" w:cs="Calibri"/>
          <w:sz w:val="22"/>
          <w:szCs w:val="22"/>
        </w:rPr>
        <w:t>ámitek, a dále prohlašují, že úmysl uzavřít tuto Smlouvu učinily ze sv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svobodn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vůle, vážně, srozumitelně </w:t>
      </w:r>
      <w:r>
        <w:rPr>
          <w:rFonts w:ascii="Calibri" w:eastAsia="Calibri" w:hAnsi="Calibri" w:cs="Calibri"/>
          <w:sz w:val="22"/>
          <w:szCs w:val="22"/>
          <w:lang w:val="it-IT"/>
        </w:rPr>
        <w:t>a ur</w:t>
      </w:r>
      <w:r>
        <w:rPr>
          <w:rFonts w:ascii="Calibri" w:eastAsia="Calibri" w:hAnsi="Calibri" w:cs="Calibri"/>
          <w:sz w:val="22"/>
          <w:szCs w:val="22"/>
        </w:rPr>
        <w:t>čitě, prost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nápadně nevýhodných podmínek a po zvážení všech následků a na důkaz toho připojují vlastnoruční podpisy osob oprávněných jm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nem smluvních stran jednat.</w:t>
      </w:r>
    </w:p>
    <w:p w:rsidR="0074032B" w:rsidRDefault="0074032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pStyle w:val="Odstavecseseznamem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Příloha č</w:t>
      </w:r>
      <w:r>
        <w:rPr>
          <w:rFonts w:ascii="Calibri" w:eastAsia="Calibri" w:hAnsi="Calibri" w:cs="Calibri"/>
          <w:sz w:val="22"/>
          <w:szCs w:val="22"/>
          <w:lang w:val="ru-RU"/>
        </w:rPr>
        <w:t xml:space="preserve">. 1 </w:t>
      </w:r>
      <w:r>
        <w:rPr>
          <w:rFonts w:ascii="Calibri" w:eastAsia="Calibri" w:hAnsi="Calibri" w:cs="Calibri"/>
          <w:sz w:val="22"/>
          <w:szCs w:val="22"/>
        </w:rPr>
        <w:t>– Technická specifikace</w:t>
      </w:r>
    </w:p>
    <w:p w:rsidR="0074032B" w:rsidRDefault="008346C1">
      <w:pPr>
        <w:pStyle w:val="Odstavecseseznamem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Příloha č. 2 – </w:t>
      </w:r>
      <w:r>
        <w:rPr>
          <w:rFonts w:ascii="Calibri" w:eastAsia="Calibri" w:hAnsi="Calibri" w:cs="Calibri"/>
          <w:sz w:val="22"/>
          <w:szCs w:val="22"/>
          <w:lang w:val="it-IT"/>
        </w:rPr>
        <w:t>Polo</w:t>
      </w:r>
      <w:r>
        <w:rPr>
          <w:rFonts w:ascii="Calibri" w:eastAsia="Calibri" w:hAnsi="Calibri" w:cs="Calibri"/>
          <w:sz w:val="22"/>
          <w:szCs w:val="22"/>
        </w:rPr>
        <w:t>žkový výkaz</w:t>
      </w:r>
    </w:p>
    <w:p w:rsidR="0074032B" w:rsidRDefault="0074032B">
      <w:pPr>
        <w:sectPr w:rsidR="0074032B">
          <w:headerReference w:type="default" r:id="rId8"/>
          <w:footerReference w:type="default" r:id="rId9"/>
          <w:pgSz w:w="11900" w:h="16840"/>
          <w:pgMar w:top="1418" w:right="1304" w:bottom="851" w:left="1304" w:header="708" w:footer="708" w:gutter="0"/>
          <w:cols w:space="708"/>
        </w:sectPr>
      </w:pPr>
    </w:p>
    <w:p w:rsidR="0074032B" w:rsidRDefault="008346C1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</w:p>
    <w:p w:rsidR="0074032B" w:rsidRDefault="008346C1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</w:rPr>
        <w:t xml:space="preserve">Místo: Praha, dne: </w:t>
      </w:r>
    </w:p>
    <w:p w:rsidR="0074032B" w:rsidRDefault="0074032B">
      <w:pPr>
        <w:ind w:left="426"/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____________________________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  </w:t>
      </w:r>
    </w:p>
    <w:p w:rsidR="0074032B" w:rsidRDefault="008346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Ing. Radim Zelenka, Ph.D</w:t>
      </w:r>
      <w:r>
        <w:rPr>
          <w:rFonts w:ascii="Calibri" w:eastAsia="Calibri" w:hAnsi="Calibri" w:cs="Calibri"/>
        </w:rPr>
        <w:t xml:space="preserve"> </w:t>
      </w:r>
    </w:p>
    <w:p w:rsidR="0074032B" w:rsidRDefault="008346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tajemník fakulty</w:t>
      </w:r>
    </w:p>
    <w:p w:rsidR="0074032B" w:rsidRDefault="0074032B">
      <w:pPr>
        <w:ind w:left="426"/>
        <w:rPr>
          <w:rFonts w:ascii="Calibri" w:eastAsia="Calibri" w:hAnsi="Calibri" w:cs="Calibri"/>
          <w:sz w:val="22"/>
          <w:szCs w:val="22"/>
        </w:rPr>
      </w:pPr>
    </w:p>
    <w:p w:rsidR="006202EE" w:rsidRDefault="006202EE">
      <w:pPr>
        <w:rPr>
          <w:rFonts w:ascii="Calibri" w:eastAsia="Calibri" w:hAnsi="Calibri" w:cs="Calibri"/>
          <w:sz w:val="22"/>
          <w:szCs w:val="22"/>
        </w:rPr>
      </w:pPr>
    </w:p>
    <w:p w:rsidR="006202EE" w:rsidRDefault="006202EE">
      <w:pPr>
        <w:rPr>
          <w:rFonts w:ascii="Calibri" w:eastAsia="Calibri" w:hAnsi="Calibri" w:cs="Calibri"/>
          <w:sz w:val="22"/>
          <w:szCs w:val="22"/>
        </w:rPr>
      </w:pPr>
    </w:p>
    <w:p w:rsidR="006202EE" w:rsidRDefault="006202EE">
      <w:pPr>
        <w:rPr>
          <w:rFonts w:ascii="Calibri" w:eastAsia="Calibri" w:hAnsi="Calibri" w:cs="Calibri"/>
          <w:sz w:val="22"/>
          <w:szCs w:val="22"/>
        </w:rPr>
      </w:pPr>
    </w:p>
    <w:p w:rsidR="006202EE" w:rsidRDefault="006202EE">
      <w:pPr>
        <w:rPr>
          <w:rFonts w:ascii="Calibri" w:eastAsia="Calibri" w:hAnsi="Calibri" w:cs="Calibri"/>
          <w:sz w:val="22"/>
          <w:szCs w:val="22"/>
        </w:rPr>
      </w:pPr>
    </w:p>
    <w:p w:rsidR="006202EE" w:rsidRDefault="006202EE">
      <w:pPr>
        <w:rPr>
          <w:rFonts w:ascii="Calibri" w:eastAsia="Calibri" w:hAnsi="Calibri" w:cs="Calibri"/>
          <w:sz w:val="22"/>
          <w:szCs w:val="22"/>
        </w:rPr>
      </w:pPr>
    </w:p>
    <w:p w:rsidR="006202EE" w:rsidRDefault="006202EE">
      <w:pPr>
        <w:rPr>
          <w:rFonts w:ascii="Calibri" w:eastAsia="Calibri" w:hAnsi="Calibri" w:cs="Calibri"/>
          <w:sz w:val="22"/>
          <w:szCs w:val="22"/>
        </w:rPr>
      </w:pPr>
    </w:p>
    <w:p w:rsidR="006202EE" w:rsidRDefault="006202EE">
      <w:pPr>
        <w:rPr>
          <w:rFonts w:ascii="Calibri" w:eastAsia="Calibri" w:hAnsi="Calibri" w:cs="Calibri"/>
          <w:sz w:val="22"/>
          <w:szCs w:val="22"/>
        </w:rPr>
      </w:pPr>
    </w:p>
    <w:p w:rsidR="006202EE" w:rsidRDefault="006202EE">
      <w:pPr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Místo: Jankovice,  dne: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74032B" w:rsidRDefault="0074032B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74032B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:rsidR="0074032B" w:rsidRDefault="008346C1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_____________________________</w:t>
      </w:r>
    </w:p>
    <w:p w:rsidR="0074032B" w:rsidRDefault="008346C1">
      <w:pPr>
        <w:ind w:left="4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Ing. Ivo Tatýrek</w:t>
      </w:r>
    </w:p>
    <w:p w:rsidR="0074032B" w:rsidRDefault="008346C1"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jednatel</w:t>
      </w:r>
    </w:p>
    <w:sectPr w:rsidR="0074032B">
      <w:type w:val="continuous"/>
      <w:pgSz w:w="11900" w:h="16840"/>
      <w:pgMar w:top="1417" w:right="1134" w:bottom="851" w:left="1134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B1" w:rsidRDefault="00604DB1">
      <w:r>
        <w:separator/>
      </w:r>
    </w:p>
  </w:endnote>
  <w:endnote w:type="continuationSeparator" w:id="0">
    <w:p w:rsidR="00604DB1" w:rsidRDefault="0060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2B" w:rsidRDefault="008346C1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954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B1" w:rsidRDefault="00604DB1">
      <w:r>
        <w:separator/>
      </w:r>
    </w:p>
  </w:footnote>
  <w:footnote w:type="continuationSeparator" w:id="0">
    <w:p w:rsidR="00604DB1" w:rsidRDefault="00604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2B" w:rsidRDefault="008346C1">
    <w:pPr>
      <w:pStyle w:val="Zhlav"/>
      <w:tabs>
        <w:tab w:val="clear" w:pos="9072"/>
        <w:tab w:val="right" w:pos="9612"/>
      </w:tabs>
      <w:ind w:firstLine="709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815339</wp:posOffset>
          </wp:positionH>
          <wp:positionV relativeFrom="page">
            <wp:posOffset>335280</wp:posOffset>
          </wp:positionV>
          <wp:extent cx="361316" cy="346710"/>
          <wp:effectExtent l="0" t="0" r="0" b="0"/>
          <wp:wrapNone/>
          <wp:docPr id="1073741825" name="officeArt object" descr="Popis: FTVS_LOGO1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opis: FTVS_LOGO1_cb" descr="Popis: FTVS_LOGO1_c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r="68164"/>
                  <a:stretch>
                    <a:fillRect/>
                  </a:stretch>
                </pic:blipFill>
                <pic:spPr>
                  <a:xfrm>
                    <a:off x="0" y="0"/>
                    <a:ext cx="361316" cy="3467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>UK FTVS</w:t>
    </w:r>
    <w:r>
      <w:tab/>
    </w:r>
    <w:r>
      <w:tab/>
    </w:r>
  </w:p>
  <w:p w:rsidR="0074032B" w:rsidRDefault="0074032B">
    <w:pPr>
      <w:pStyle w:val="Zhlav"/>
    </w:pPr>
  </w:p>
  <w:p w:rsidR="0074032B" w:rsidRDefault="007403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2B1A"/>
    <w:multiLevelType w:val="multilevel"/>
    <w:tmpl w:val="C700D244"/>
    <w:styleLink w:val="Importovan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0" w:hanging="7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44" w:hanging="8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48" w:hanging="9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452" w:hanging="1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56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32" w:hanging="15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CE542A7"/>
    <w:multiLevelType w:val="hybridMultilevel"/>
    <w:tmpl w:val="9D822E12"/>
    <w:styleLink w:val="Importovanstyl2"/>
    <w:lvl w:ilvl="0" w:tplc="C5689FA2">
      <w:start w:val="1"/>
      <w:numFmt w:val="upperLetter"/>
      <w:lvlText w:val="(%1)"/>
      <w:lvlJc w:val="left"/>
      <w:pPr>
        <w:ind w:left="68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424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DE39D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5C7E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E0A3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82F2E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D646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22E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4ED12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B3C602B"/>
    <w:multiLevelType w:val="hybridMultilevel"/>
    <w:tmpl w:val="9D822E12"/>
    <w:numStyleLink w:val="Importovanstyl2"/>
  </w:abstractNum>
  <w:abstractNum w:abstractNumId="3">
    <w:nsid w:val="6FA96FCF"/>
    <w:multiLevelType w:val="multilevel"/>
    <w:tmpl w:val="C700D244"/>
    <w:numStyleLink w:val="Importovanstyl3"/>
  </w:abstractNum>
  <w:abstractNum w:abstractNumId="4">
    <w:nsid w:val="754E780F"/>
    <w:multiLevelType w:val="multilevel"/>
    <w:tmpl w:val="B900DFF8"/>
    <w:numStyleLink w:val="Importovanstyl1"/>
  </w:abstractNum>
  <w:abstractNum w:abstractNumId="5">
    <w:nsid w:val="7F860456"/>
    <w:multiLevelType w:val="multilevel"/>
    <w:tmpl w:val="B900DFF8"/>
    <w:styleLink w:val="Importovanstyl1"/>
    <w:lvl w:ilvl="0">
      <w:start w:val="1"/>
      <w:numFmt w:val="decimal"/>
      <w:lvlText w:val="%1."/>
      <w:lvlJc w:val="left"/>
      <w:pPr>
        <w:tabs>
          <w:tab w:val="left" w:pos="993"/>
        </w:tabs>
        <w:ind w:left="623" w:hanging="6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93" w:hanging="68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993"/>
        </w:tabs>
        <w:ind w:left="1474" w:hanging="48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2.%3.(%4)"/>
      <w:lvlJc w:val="left"/>
      <w:pPr>
        <w:tabs>
          <w:tab w:val="left" w:pos="993"/>
        </w:tabs>
        <w:ind w:left="2184" w:hanging="39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nothing"/>
      <w:lvlText w:val="%2.%3.(%4)(%5)"/>
      <w:lvlJc w:val="left"/>
      <w:pPr>
        <w:tabs>
          <w:tab w:val="left" w:pos="993"/>
        </w:tabs>
        <w:ind w:left="2524" w:hanging="34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(%4)(%5)(%6)"/>
      <w:lvlJc w:val="left"/>
      <w:pPr>
        <w:tabs>
          <w:tab w:val="left" w:pos="993"/>
        </w:tabs>
        <w:ind w:left="3070" w:hanging="34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nothing"/>
      <w:lvlText w:val="%2.%3.(%4)(%5)(%6)(%7)"/>
      <w:lvlJc w:val="left"/>
      <w:pPr>
        <w:tabs>
          <w:tab w:val="left" w:pos="993"/>
        </w:tabs>
        <w:ind w:left="3616" w:hanging="34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nothing"/>
      <w:lvlText w:val="%2.%3.(%4)(%5)(%6)(%7)(%8)"/>
      <w:lvlJc w:val="left"/>
      <w:pPr>
        <w:tabs>
          <w:tab w:val="left" w:pos="993"/>
        </w:tabs>
        <w:ind w:left="4162" w:hanging="34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(%4)(%5)(%6)(%7)(%8)(%9)"/>
      <w:lvlJc w:val="left"/>
      <w:pPr>
        <w:tabs>
          <w:tab w:val="left" w:pos="993"/>
        </w:tabs>
        <w:ind w:left="4708" w:hanging="34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40" w:hanging="7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4" w:hanging="8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48" w:hanging="9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452" w:hanging="1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56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532" w:hanging="1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982" w:hanging="6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929" w:hanging="7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433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937" w:hanging="10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441" w:hanging="1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945" w:hanging="1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521" w:hanging="1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startOverride w:val="3"/>
      <w:lvl w:ilvl="0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982" w:hanging="6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929" w:hanging="7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433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937" w:hanging="10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441" w:hanging="1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945" w:hanging="1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521" w:hanging="1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82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29" w:hanging="8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33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937" w:hanging="11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441" w:hanging="1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945" w:hanging="1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521" w:hanging="16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4"/>
  </w:num>
  <w:num w:numId="11">
    <w:abstractNumId w:val="3"/>
    <w:lvlOverride w:ilvl="0">
      <w:startOverride w:val="6"/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8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54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895" w:hanging="7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393" w:hanging="8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890" w:hanging="10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388" w:hanging="1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886" w:hanging="1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453" w:hanging="1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032B"/>
    <w:rsid w:val="00604DB1"/>
    <w:rsid w:val="006202EE"/>
    <w:rsid w:val="006954A8"/>
    <w:rsid w:val="0074032B"/>
    <w:rsid w:val="0083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Textvbloku">
    <w:name w:val="Block Text"/>
    <w:rPr>
      <w:rFonts w:cs="Arial Unicode MS"/>
      <w:color w:val="000000"/>
      <w:sz w:val="24"/>
      <w:szCs w:val="24"/>
      <w:u w:color="000000"/>
    </w:rPr>
  </w:style>
  <w:style w:type="paragraph" w:customStyle="1" w:styleId="AKFZFPreambule">
    <w:name w:val="AKFZF_Preambule"/>
    <w:pPr>
      <w:tabs>
        <w:tab w:val="left" w:pos="680"/>
      </w:tabs>
      <w:spacing w:after="100" w:line="288" w:lineRule="auto"/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AKFZpreambule">
    <w:name w:val="AKFZ_preambule"/>
    <w:pPr>
      <w:tabs>
        <w:tab w:val="left" w:pos="680"/>
      </w:tabs>
      <w:spacing w:after="100" w:line="288" w:lineRule="auto"/>
      <w:ind w:left="680" w:hanging="68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paragraph" w:customStyle="1" w:styleId="lneksmlouvy">
    <w:name w:val="článek_smlouvy"/>
    <w:pPr>
      <w:tabs>
        <w:tab w:val="left" w:pos="680"/>
      </w:tabs>
      <w:spacing w:after="100" w:line="288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Textvbloku">
    <w:name w:val="Block Text"/>
    <w:rPr>
      <w:rFonts w:cs="Arial Unicode MS"/>
      <w:color w:val="000000"/>
      <w:sz w:val="24"/>
      <w:szCs w:val="24"/>
      <w:u w:color="000000"/>
    </w:rPr>
  </w:style>
  <w:style w:type="paragraph" w:customStyle="1" w:styleId="AKFZFPreambule">
    <w:name w:val="AKFZF_Preambule"/>
    <w:pPr>
      <w:tabs>
        <w:tab w:val="left" w:pos="680"/>
      </w:tabs>
      <w:spacing w:after="100" w:line="288" w:lineRule="auto"/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AKFZpreambule">
    <w:name w:val="AKFZ_preambule"/>
    <w:pPr>
      <w:tabs>
        <w:tab w:val="left" w:pos="680"/>
      </w:tabs>
      <w:spacing w:after="100" w:line="288" w:lineRule="auto"/>
      <w:ind w:left="680" w:hanging="68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paragraph" w:customStyle="1" w:styleId="lneksmlouvy">
    <w:name w:val="článek_smlouvy"/>
    <w:pPr>
      <w:tabs>
        <w:tab w:val="left" w:pos="680"/>
      </w:tabs>
      <w:spacing w:after="100" w:line="288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Lujza Smíšková</dc:creator>
  <cp:lastModifiedBy>Lujza Smíšková</cp:lastModifiedBy>
  <cp:revision>2</cp:revision>
  <cp:lastPrinted>2017-12-15T10:00:00Z</cp:lastPrinted>
  <dcterms:created xsi:type="dcterms:W3CDTF">2017-12-28T11:51:00Z</dcterms:created>
  <dcterms:modified xsi:type="dcterms:W3CDTF">2017-12-28T11:51:00Z</dcterms:modified>
</cp:coreProperties>
</file>