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3D" w:rsidRPr="008E67CF" w:rsidRDefault="00196F3D" w:rsidP="003A65D8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196F3D" w:rsidRPr="008E67CF" w:rsidRDefault="00196F3D" w:rsidP="003A65D8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196F3D" w:rsidRPr="00362F5F" w:rsidRDefault="00196F3D" w:rsidP="003A65D8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sídlem:  I. P. 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196F3D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Zastoupená</w:t>
      </w:r>
      <w:r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196F3D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</w:t>
      </w:r>
      <w:r w:rsidR="002E1B01">
        <w:rPr>
          <w:rFonts w:ascii="Calibri" w:hAnsi="Calibri"/>
          <w:sz w:val="22"/>
          <w:szCs w:val="22"/>
        </w:rPr>
        <w:t>36334811/0710</w:t>
      </w:r>
    </w:p>
    <w:p w:rsidR="00196F3D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Pr="008E67CF" w:rsidRDefault="00196F3D" w:rsidP="003A65D8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="00F71E18">
        <w:rPr>
          <w:rFonts w:ascii="Calibri" w:hAnsi="Calibri"/>
          <w:i/>
          <w:sz w:val="22"/>
          <w:szCs w:val="22"/>
        </w:rPr>
        <w:t>Kupující</w:t>
      </w:r>
      <w:r>
        <w:rPr>
          <w:rFonts w:ascii="Calibri" w:hAnsi="Calibri"/>
          <w:i/>
          <w:sz w:val="22"/>
          <w:szCs w:val="22"/>
        </w:rPr>
        <w:t>“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Pr="00362F5F" w:rsidRDefault="002005E7" w:rsidP="003A65D8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MERIT GROUP a.s.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se sídlem</w:t>
      </w:r>
      <w:r>
        <w:rPr>
          <w:rFonts w:ascii="Calibri" w:hAnsi="Calibri"/>
          <w:sz w:val="22"/>
          <w:szCs w:val="22"/>
        </w:rPr>
        <w:t xml:space="preserve">: </w:t>
      </w:r>
      <w:r w:rsidR="002005E7">
        <w:rPr>
          <w:rFonts w:ascii="Calibri" w:hAnsi="Calibri"/>
          <w:sz w:val="22"/>
          <w:szCs w:val="22"/>
        </w:rPr>
        <w:t>Březinova 136/7, 779 00 Olomouc</w:t>
      </w:r>
    </w:p>
    <w:p w:rsidR="00196F3D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 xml:space="preserve">: </w:t>
      </w:r>
      <w:r w:rsidR="002005E7">
        <w:rPr>
          <w:rFonts w:ascii="Calibri" w:hAnsi="Calibri"/>
          <w:sz w:val="22"/>
          <w:szCs w:val="22"/>
        </w:rPr>
        <w:t>64609995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 w:rsidR="002005E7">
        <w:rPr>
          <w:rFonts w:ascii="Calibri" w:hAnsi="Calibri"/>
          <w:sz w:val="22"/>
          <w:szCs w:val="22"/>
        </w:rPr>
        <w:t xml:space="preserve"> CZ64609995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</w:t>
      </w:r>
      <w:r w:rsidR="002005E7">
        <w:rPr>
          <w:rFonts w:ascii="Calibri" w:hAnsi="Calibri"/>
          <w:sz w:val="22"/>
          <w:szCs w:val="22"/>
        </w:rPr>
        <w:t>Petrem Weigelem, statutárním ředitelem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zapsaná v Obchodním rejstříku vedeném</w:t>
      </w:r>
      <w:r w:rsidR="002005E7">
        <w:rPr>
          <w:rFonts w:ascii="Calibri" w:hAnsi="Calibri"/>
          <w:sz w:val="22"/>
          <w:szCs w:val="22"/>
        </w:rPr>
        <w:t xml:space="preserve"> Krajským </w:t>
      </w:r>
      <w:r w:rsidRPr="008E67CF">
        <w:rPr>
          <w:rFonts w:ascii="Calibri" w:hAnsi="Calibri"/>
          <w:sz w:val="22"/>
          <w:szCs w:val="22"/>
        </w:rPr>
        <w:t>soudem v</w:t>
      </w:r>
      <w:r w:rsidR="002005E7">
        <w:rPr>
          <w:rFonts w:ascii="Calibri" w:hAnsi="Calibri"/>
          <w:sz w:val="22"/>
          <w:szCs w:val="22"/>
        </w:rPr>
        <w:t> Ostravě, oddíl B</w:t>
      </w:r>
      <w:r w:rsidRPr="008E67CF">
        <w:rPr>
          <w:rFonts w:ascii="Calibri" w:hAnsi="Calibri"/>
          <w:sz w:val="22"/>
          <w:szCs w:val="22"/>
        </w:rPr>
        <w:t>, vložka</w:t>
      </w:r>
      <w:r w:rsidR="002005E7">
        <w:rPr>
          <w:rFonts w:ascii="Calibri" w:hAnsi="Calibri"/>
          <w:sz w:val="22"/>
          <w:szCs w:val="22"/>
        </w:rPr>
        <w:t xml:space="preserve"> 1221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2005E7">
        <w:rPr>
          <w:rFonts w:ascii="Calibri" w:hAnsi="Calibri"/>
          <w:sz w:val="22"/>
          <w:szCs w:val="22"/>
        </w:rPr>
        <w:t xml:space="preserve"> 377897583/0300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Pr="008E67CF" w:rsidRDefault="00196F3D" w:rsidP="003A65D8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 w:rsidR="00F71E18">
        <w:rPr>
          <w:rFonts w:ascii="Calibri" w:hAnsi="Calibri"/>
          <w:i/>
          <w:sz w:val="22"/>
          <w:szCs w:val="22"/>
        </w:rPr>
        <w:t>Prodávající</w:t>
      </w:r>
      <w:r w:rsidRPr="008E67CF">
        <w:rPr>
          <w:rFonts w:ascii="Calibri" w:hAnsi="Calibri"/>
          <w:i/>
          <w:sz w:val="22"/>
          <w:szCs w:val="22"/>
        </w:rPr>
        <w:t>“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Pr="008E67CF" w:rsidRDefault="00196F3D" w:rsidP="003A65D8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196F3D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Pr="008E67CF" w:rsidRDefault="00196F3D" w:rsidP="003A65D8">
      <w:pPr>
        <w:spacing w:line="276" w:lineRule="auto"/>
        <w:rPr>
          <w:rFonts w:ascii="Calibri" w:hAnsi="Calibri"/>
          <w:sz w:val="22"/>
          <w:szCs w:val="22"/>
        </w:rPr>
      </w:pPr>
    </w:p>
    <w:p w:rsidR="00196F3D" w:rsidRDefault="00F71E18" w:rsidP="003A65D8">
      <w:pPr>
        <w:spacing w:line="276" w:lineRule="auto"/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KUPNÍ </w:t>
      </w:r>
      <w:r w:rsidR="00196F3D"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196F3D">
        <w:rPr>
          <w:rFonts w:ascii="Calibri" w:hAnsi="Calibri"/>
          <w:b/>
          <w:sz w:val="32"/>
          <w:szCs w:val="32"/>
          <w:u w:val="single"/>
        </w:rPr>
        <w:t>U</w:t>
      </w:r>
      <w:r w:rsidR="00196F3D" w:rsidRPr="00F16EDE"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196F3D" w:rsidRPr="00C67D43" w:rsidRDefault="00196F3D" w:rsidP="003A65D8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r w:rsidR="00F71E18">
        <w:rPr>
          <w:rFonts w:ascii="Calibri" w:hAnsi="Calibri" w:cs="Arial"/>
          <w:sz w:val="22"/>
          <w:szCs w:val="22"/>
        </w:rPr>
        <w:t xml:space="preserve">2079 </w:t>
      </w:r>
      <w:r w:rsidRPr="00C67D43">
        <w:rPr>
          <w:rFonts w:ascii="Calibri" w:hAnsi="Calibri" w:cs="Arial"/>
          <w:sz w:val="22"/>
          <w:szCs w:val="22"/>
        </w:rPr>
        <w:t>a násl. zákona č. 89/2012 Sb. občanského zákoníku v platném znění</w:t>
      </w:r>
    </w:p>
    <w:p w:rsidR="0034472A" w:rsidRDefault="0034472A" w:rsidP="003A65D8">
      <w:pPr>
        <w:spacing w:line="276" w:lineRule="auto"/>
      </w:pPr>
    </w:p>
    <w:p w:rsidR="00C455E4" w:rsidRDefault="00C455E4" w:rsidP="003A65D8">
      <w:pPr>
        <w:spacing w:line="276" w:lineRule="auto"/>
      </w:pPr>
    </w:p>
    <w:p w:rsidR="00C455E4" w:rsidRDefault="00C455E4" w:rsidP="003A65D8">
      <w:pPr>
        <w:spacing w:line="276" w:lineRule="auto"/>
      </w:pPr>
    </w:p>
    <w:p w:rsidR="00C455E4" w:rsidRDefault="00C455E4" w:rsidP="003A65D8">
      <w:pPr>
        <w:spacing w:line="276" w:lineRule="auto"/>
      </w:pPr>
    </w:p>
    <w:p w:rsidR="00C455E4" w:rsidRDefault="00C455E4" w:rsidP="003A65D8">
      <w:pPr>
        <w:spacing w:line="276" w:lineRule="auto"/>
      </w:pPr>
    </w:p>
    <w:p w:rsidR="00C455E4" w:rsidRDefault="00C455E4" w:rsidP="003A65D8">
      <w:pPr>
        <w:spacing w:line="276" w:lineRule="auto"/>
      </w:pPr>
    </w:p>
    <w:p w:rsidR="00C455E4" w:rsidRDefault="00C455E4" w:rsidP="003A65D8">
      <w:pPr>
        <w:spacing w:line="276" w:lineRule="auto"/>
      </w:pPr>
    </w:p>
    <w:p w:rsidR="00C455E4" w:rsidRDefault="00C455E4" w:rsidP="003A65D8">
      <w:pPr>
        <w:spacing w:line="276" w:lineRule="auto"/>
      </w:pPr>
    </w:p>
    <w:p w:rsidR="00C455E4" w:rsidRPr="003A65D8" w:rsidRDefault="00C455E4" w:rsidP="003A65D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bookmarkStart w:id="0" w:name="_Ref200507351"/>
    </w:p>
    <w:p w:rsidR="00132AF2" w:rsidRPr="003A65D8" w:rsidRDefault="00132AF2" w:rsidP="003A65D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A65D8">
        <w:rPr>
          <w:rFonts w:asciiTheme="minorHAnsi" w:hAnsiTheme="minorHAnsi" w:cs="Arial"/>
          <w:b/>
          <w:sz w:val="22"/>
          <w:szCs w:val="22"/>
        </w:rPr>
        <w:t>I.</w:t>
      </w:r>
    </w:p>
    <w:p w:rsidR="00132AF2" w:rsidRPr="003A65D8" w:rsidRDefault="00132AF2" w:rsidP="003A65D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A65D8">
        <w:rPr>
          <w:rFonts w:asciiTheme="minorHAnsi" w:hAnsiTheme="minorHAnsi" w:cs="Arial"/>
          <w:b/>
          <w:sz w:val="22"/>
          <w:szCs w:val="22"/>
        </w:rPr>
        <w:t>Úvodní ustanovení</w:t>
      </w:r>
    </w:p>
    <w:p w:rsidR="00132AF2" w:rsidRPr="003A65D8" w:rsidRDefault="00132AF2" w:rsidP="003A65D8">
      <w:p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  <w:r w:rsidRPr="003A65D8">
        <w:rPr>
          <w:rFonts w:asciiTheme="minorHAnsi" w:hAnsiTheme="minorHAnsi"/>
          <w:sz w:val="22"/>
          <w:szCs w:val="22"/>
        </w:rPr>
        <w:t>1.</w:t>
      </w:r>
      <w:r w:rsidRPr="003A65D8">
        <w:rPr>
          <w:rFonts w:asciiTheme="minorHAnsi" w:hAnsiTheme="minorHAnsi"/>
          <w:sz w:val="22"/>
          <w:szCs w:val="22"/>
        </w:rPr>
        <w:tab/>
      </w:r>
    </w:p>
    <w:p w:rsidR="00132AF2" w:rsidRPr="003A65D8" w:rsidRDefault="00C455E4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 xml:space="preserve">Zúčastněné smluvní </w:t>
      </w:r>
      <w:r w:rsidRPr="003A65D8">
        <w:rPr>
          <w:rFonts w:asciiTheme="minorHAnsi" w:hAnsiTheme="minorHAnsi" w:cs="Arial"/>
          <w:sz w:val="22"/>
        </w:rPr>
        <w:t>strany</w:t>
      </w:r>
      <w:r w:rsidRPr="003A65D8">
        <w:rPr>
          <w:rFonts w:asciiTheme="minorHAnsi" w:hAnsiTheme="minorHAnsi"/>
          <w:sz w:val="22"/>
        </w:rPr>
        <w:t xml:space="preserve"> si navzájem prohlašují, že jsou o</w:t>
      </w:r>
      <w:r w:rsidR="00132AF2" w:rsidRPr="003A65D8">
        <w:rPr>
          <w:rFonts w:asciiTheme="minorHAnsi" w:hAnsiTheme="minorHAnsi"/>
          <w:sz w:val="22"/>
        </w:rPr>
        <w:t xml:space="preserve">právněny tuto smlouvu uzavřít a </w:t>
      </w:r>
      <w:r w:rsidRPr="003A65D8">
        <w:rPr>
          <w:rFonts w:asciiTheme="minorHAnsi" w:hAnsiTheme="minorHAnsi"/>
          <w:sz w:val="22"/>
        </w:rPr>
        <w:t>řádně plnit závazky v ní obsažené, a že splňují veškeré podmínky a požadavky stanovené zákonem a touto smlouvou.</w:t>
      </w:r>
    </w:p>
    <w:p w:rsidR="00132AF2" w:rsidRPr="003A65D8" w:rsidRDefault="00132AF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Pr="003A65D8" w:rsidRDefault="00132AF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Tato smlouva je uzavírána na základě výsledků </w:t>
      </w:r>
      <w:r w:rsidR="00811902">
        <w:rPr>
          <w:rFonts w:asciiTheme="minorHAnsi" w:hAnsiTheme="minorHAnsi"/>
          <w:sz w:val="22"/>
        </w:rPr>
        <w:t xml:space="preserve">zjednodušeného podlimitního </w:t>
      </w:r>
      <w:r w:rsidR="00C455E4" w:rsidRPr="003A65D8">
        <w:rPr>
          <w:rFonts w:asciiTheme="minorHAnsi" w:hAnsiTheme="minorHAnsi"/>
          <w:sz w:val="22"/>
        </w:rPr>
        <w:t>řízení podle zákona č. 13</w:t>
      </w:r>
      <w:r w:rsidR="00811902">
        <w:rPr>
          <w:rFonts w:asciiTheme="minorHAnsi" w:hAnsiTheme="minorHAnsi"/>
          <w:sz w:val="22"/>
        </w:rPr>
        <w:t>4</w:t>
      </w:r>
      <w:r w:rsidR="00C455E4" w:rsidRPr="003A65D8">
        <w:rPr>
          <w:rFonts w:asciiTheme="minorHAnsi" w:hAnsiTheme="minorHAnsi"/>
          <w:sz w:val="22"/>
        </w:rPr>
        <w:t>/20</w:t>
      </w:r>
      <w:r w:rsidR="00811902">
        <w:rPr>
          <w:rFonts w:asciiTheme="minorHAnsi" w:hAnsiTheme="minorHAnsi"/>
          <w:sz w:val="22"/>
        </w:rPr>
        <w:t>1</w:t>
      </w:r>
      <w:r w:rsidR="00C455E4" w:rsidRPr="003A65D8">
        <w:rPr>
          <w:rFonts w:asciiTheme="minorHAnsi" w:hAnsiTheme="minorHAnsi"/>
          <w:sz w:val="22"/>
        </w:rPr>
        <w:t xml:space="preserve">6 Sb., o </w:t>
      </w:r>
      <w:r w:rsidR="00811902">
        <w:rPr>
          <w:rFonts w:asciiTheme="minorHAnsi" w:hAnsiTheme="minorHAnsi"/>
          <w:sz w:val="22"/>
        </w:rPr>
        <w:t xml:space="preserve">zadávání </w:t>
      </w:r>
      <w:r w:rsidR="00C455E4" w:rsidRPr="003A65D8">
        <w:rPr>
          <w:rFonts w:asciiTheme="minorHAnsi" w:hAnsiTheme="minorHAnsi"/>
          <w:sz w:val="22"/>
        </w:rPr>
        <w:t>veřejných zakáz</w:t>
      </w:r>
      <w:r w:rsidR="00811902">
        <w:rPr>
          <w:rFonts w:asciiTheme="minorHAnsi" w:hAnsiTheme="minorHAnsi"/>
          <w:sz w:val="22"/>
        </w:rPr>
        <w:t>ek</w:t>
      </w:r>
      <w:r w:rsidR="00C455E4" w:rsidRPr="003A65D8">
        <w:rPr>
          <w:rFonts w:asciiTheme="minorHAnsi" w:hAnsiTheme="minorHAnsi"/>
          <w:sz w:val="22"/>
        </w:rPr>
        <w:t xml:space="preserve"> v platném znění zahájeného kupujícím jako veřejným zadavatelem s názvem </w:t>
      </w:r>
      <w:r w:rsidR="00C455E4" w:rsidRPr="003A65D8">
        <w:rPr>
          <w:rFonts w:asciiTheme="minorHAnsi" w:hAnsiTheme="minorHAnsi"/>
          <w:b/>
          <w:sz w:val="22"/>
        </w:rPr>
        <w:t>„</w:t>
      </w:r>
      <w:r w:rsidR="0007569C" w:rsidRPr="0007569C">
        <w:rPr>
          <w:rFonts w:asciiTheme="minorHAnsi" w:hAnsiTheme="minorHAnsi"/>
          <w:b/>
          <w:sz w:val="22"/>
        </w:rPr>
        <w:t>Dodávka a výměna WLC kontrolérů, access pointů a licencí</w:t>
      </w:r>
      <w:r w:rsidR="00C455E4" w:rsidRPr="003A65D8">
        <w:rPr>
          <w:rFonts w:asciiTheme="minorHAnsi" w:hAnsiTheme="minorHAnsi"/>
          <w:b/>
          <w:sz w:val="22"/>
        </w:rPr>
        <w:t>“</w:t>
      </w:r>
      <w:r w:rsidR="00C455E4" w:rsidRPr="003A65D8">
        <w:rPr>
          <w:rFonts w:asciiTheme="minorHAnsi" w:hAnsiTheme="minorHAnsi"/>
          <w:sz w:val="22"/>
        </w:rPr>
        <w:t xml:space="preserve">, evidenční číslo </w:t>
      </w:r>
      <w:r w:rsidR="00C455E4" w:rsidRPr="00811902">
        <w:rPr>
          <w:rFonts w:asciiTheme="minorHAnsi" w:hAnsiTheme="minorHAnsi"/>
          <w:b/>
          <w:sz w:val="22"/>
        </w:rPr>
        <w:t>VZ</w:t>
      </w:r>
      <w:r w:rsidR="00811902" w:rsidRPr="00811902">
        <w:rPr>
          <w:rFonts w:asciiTheme="minorHAnsi" w:hAnsiTheme="minorHAnsi"/>
          <w:b/>
          <w:sz w:val="22"/>
        </w:rPr>
        <w:t>-2017-000713</w:t>
      </w:r>
      <w:r w:rsidR="00C455E4" w:rsidRPr="00811902">
        <w:rPr>
          <w:rFonts w:asciiTheme="minorHAnsi" w:hAnsiTheme="minorHAnsi"/>
          <w:sz w:val="22"/>
        </w:rPr>
        <w:t>. V případě, že je v této smlouvě odkazováno na zadávací dokumentaci, má se na mysli</w:t>
      </w:r>
      <w:r w:rsidR="00C455E4" w:rsidRPr="003A65D8">
        <w:rPr>
          <w:rFonts w:asciiTheme="minorHAnsi" w:hAnsiTheme="minorHAnsi"/>
          <w:sz w:val="22"/>
        </w:rPr>
        <w:t xml:space="preserve"> zadávací dokumentace vztahující se k uvedené veřejné zakázce.</w:t>
      </w:r>
    </w:p>
    <w:p w:rsidR="00132AF2" w:rsidRPr="003A65D8" w:rsidRDefault="00132AF2" w:rsidP="003A65D8">
      <w:pPr>
        <w:pStyle w:val="Odstavec"/>
        <w:numPr>
          <w:ilvl w:val="0"/>
          <w:numId w:val="0"/>
        </w:numPr>
        <w:spacing w:before="0" w:line="276" w:lineRule="auto"/>
        <w:jc w:val="center"/>
        <w:rPr>
          <w:rFonts w:asciiTheme="minorHAnsi" w:hAnsiTheme="minorHAnsi"/>
          <w:b/>
          <w:sz w:val="22"/>
        </w:rPr>
      </w:pPr>
    </w:p>
    <w:p w:rsidR="00132AF2" w:rsidRPr="003A65D8" w:rsidRDefault="00132AF2" w:rsidP="003A65D8">
      <w:pPr>
        <w:pStyle w:val="Nadpisodstavce"/>
        <w:jc w:val="center"/>
        <w:rPr>
          <w:b/>
        </w:rPr>
      </w:pPr>
      <w:r w:rsidRPr="003A65D8">
        <w:rPr>
          <w:b/>
        </w:rPr>
        <w:t>II.</w:t>
      </w:r>
    </w:p>
    <w:p w:rsidR="00C455E4" w:rsidRPr="003A65D8" w:rsidRDefault="00132AF2" w:rsidP="003A65D8">
      <w:pPr>
        <w:pStyle w:val="Nadpisodstavce"/>
        <w:jc w:val="center"/>
        <w:rPr>
          <w:b/>
        </w:rPr>
      </w:pPr>
      <w:r w:rsidRPr="003A65D8">
        <w:rPr>
          <w:b/>
        </w:rPr>
        <w:t>Předmět smlouvy</w:t>
      </w:r>
      <w:bookmarkStart w:id="1" w:name="_Ref167689330"/>
      <w:bookmarkEnd w:id="0"/>
    </w:p>
    <w:p w:rsidR="00132AF2" w:rsidRDefault="00132AF2" w:rsidP="003A65D8">
      <w:pPr>
        <w:pStyle w:val="Nadpisodstavce"/>
        <w:rPr>
          <w:sz w:val="22"/>
          <w:szCs w:val="22"/>
        </w:rPr>
      </w:pPr>
      <w:r w:rsidRPr="003A65D8">
        <w:t>1.</w:t>
      </w:r>
      <w:r w:rsidRPr="003A65D8">
        <w:tab/>
      </w:r>
      <w:r w:rsidRPr="003A65D8">
        <w:rPr>
          <w:sz w:val="22"/>
          <w:szCs w:val="22"/>
        </w:rPr>
        <w:t xml:space="preserve">Předmětem smlouvy je závazek prodávajícího dodat </w:t>
      </w:r>
      <w:r w:rsidRPr="00447A07">
        <w:rPr>
          <w:sz w:val="22"/>
          <w:szCs w:val="22"/>
        </w:rPr>
        <w:t>kupujícímu:</w:t>
      </w:r>
      <w:r w:rsidRPr="0007569C">
        <w:rPr>
          <w:sz w:val="22"/>
          <w:szCs w:val="22"/>
        </w:rPr>
        <w:t xml:space="preserve"> </w:t>
      </w:r>
      <w:r w:rsidR="0007569C" w:rsidRPr="0007569C">
        <w:rPr>
          <w:sz w:val="22"/>
          <w:szCs w:val="22"/>
        </w:rPr>
        <w:t>dv</w:t>
      </w:r>
      <w:r w:rsidR="0007569C">
        <w:rPr>
          <w:sz w:val="22"/>
          <w:szCs w:val="22"/>
        </w:rPr>
        <w:t>a</w:t>
      </w:r>
      <w:r w:rsidR="0007569C" w:rsidRPr="0007569C">
        <w:rPr>
          <w:sz w:val="22"/>
          <w:szCs w:val="22"/>
        </w:rPr>
        <w:t xml:space="preserve"> nov</w:t>
      </w:r>
      <w:r w:rsidR="0007569C">
        <w:rPr>
          <w:sz w:val="22"/>
          <w:szCs w:val="22"/>
        </w:rPr>
        <w:t>é</w:t>
      </w:r>
      <w:r w:rsidR="0007569C" w:rsidRPr="0007569C">
        <w:rPr>
          <w:sz w:val="22"/>
          <w:szCs w:val="22"/>
        </w:rPr>
        <w:t xml:space="preserve"> WLC kontrolér</w:t>
      </w:r>
      <w:r w:rsidR="0007569C">
        <w:rPr>
          <w:sz w:val="22"/>
          <w:szCs w:val="22"/>
        </w:rPr>
        <w:t xml:space="preserve">y, </w:t>
      </w:r>
      <w:r w:rsidR="0007569C" w:rsidRPr="0007569C">
        <w:rPr>
          <w:sz w:val="22"/>
          <w:szCs w:val="22"/>
        </w:rPr>
        <w:t>zprovozn</w:t>
      </w:r>
      <w:r w:rsidR="0007569C">
        <w:rPr>
          <w:sz w:val="22"/>
          <w:szCs w:val="22"/>
        </w:rPr>
        <w:t>it je</w:t>
      </w:r>
      <w:r w:rsidR="0007569C" w:rsidRPr="0007569C">
        <w:rPr>
          <w:sz w:val="22"/>
          <w:szCs w:val="22"/>
        </w:rPr>
        <w:t>, přev</w:t>
      </w:r>
      <w:r w:rsidR="0007569C">
        <w:rPr>
          <w:sz w:val="22"/>
          <w:szCs w:val="22"/>
        </w:rPr>
        <w:t>ést</w:t>
      </w:r>
      <w:r w:rsidR="0007569C" w:rsidRPr="0007569C">
        <w:rPr>
          <w:sz w:val="22"/>
          <w:szCs w:val="22"/>
        </w:rPr>
        <w:t xml:space="preserve"> konfigurace a licenc</w:t>
      </w:r>
      <w:r w:rsidR="0007569C">
        <w:rPr>
          <w:sz w:val="22"/>
          <w:szCs w:val="22"/>
        </w:rPr>
        <w:t>e</w:t>
      </w:r>
      <w:r w:rsidR="0007569C" w:rsidRPr="0007569C">
        <w:rPr>
          <w:sz w:val="22"/>
          <w:szCs w:val="22"/>
        </w:rPr>
        <w:t xml:space="preserve"> z původních kontrolérů Cisco 5508</w:t>
      </w:r>
      <w:r w:rsidR="00A365F4">
        <w:rPr>
          <w:sz w:val="22"/>
          <w:szCs w:val="22"/>
        </w:rPr>
        <w:t xml:space="preserve"> </w:t>
      </w:r>
      <w:r w:rsidR="00A365F4" w:rsidRPr="00811902">
        <w:rPr>
          <w:sz w:val="22"/>
          <w:szCs w:val="22"/>
        </w:rPr>
        <w:t>na nové WLC kontroléry</w:t>
      </w:r>
      <w:r w:rsidR="0007569C" w:rsidRPr="0007569C">
        <w:rPr>
          <w:sz w:val="22"/>
          <w:szCs w:val="22"/>
        </w:rPr>
        <w:t>, v</w:t>
      </w:r>
      <w:r w:rsidR="00ED3FDE">
        <w:rPr>
          <w:sz w:val="22"/>
          <w:szCs w:val="22"/>
        </w:rPr>
        <w:t>y</w:t>
      </w:r>
      <w:r w:rsidR="0007569C" w:rsidRPr="0007569C">
        <w:rPr>
          <w:sz w:val="22"/>
          <w:szCs w:val="22"/>
        </w:rPr>
        <w:t>měn</w:t>
      </w:r>
      <w:r w:rsidR="0007569C">
        <w:rPr>
          <w:sz w:val="22"/>
          <w:szCs w:val="22"/>
        </w:rPr>
        <w:t>it</w:t>
      </w:r>
      <w:r w:rsidR="0007569C" w:rsidRPr="0007569C">
        <w:rPr>
          <w:sz w:val="22"/>
          <w:szCs w:val="22"/>
        </w:rPr>
        <w:t xml:space="preserve"> </w:t>
      </w:r>
      <w:r w:rsidR="0007569C" w:rsidRPr="00811902">
        <w:rPr>
          <w:sz w:val="22"/>
          <w:szCs w:val="22"/>
        </w:rPr>
        <w:t xml:space="preserve">starší </w:t>
      </w:r>
      <w:r w:rsidR="00A365F4" w:rsidRPr="00811902">
        <w:rPr>
          <w:sz w:val="22"/>
          <w:szCs w:val="22"/>
        </w:rPr>
        <w:t xml:space="preserve">(viz. </w:t>
      </w:r>
      <w:r w:rsidR="00811902" w:rsidRPr="00811902">
        <w:rPr>
          <w:sz w:val="22"/>
          <w:szCs w:val="22"/>
        </w:rPr>
        <w:t>b</w:t>
      </w:r>
      <w:r w:rsidR="00A365F4" w:rsidRPr="00811902">
        <w:rPr>
          <w:sz w:val="22"/>
          <w:szCs w:val="22"/>
        </w:rPr>
        <w:t>od 2.1</w:t>
      </w:r>
      <w:r w:rsidR="00811902">
        <w:rPr>
          <w:sz w:val="22"/>
          <w:szCs w:val="22"/>
        </w:rPr>
        <w:t xml:space="preserve"> této smlouvy</w:t>
      </w:r>
      <w:r w:rsidR="00A365F4" w:rsidRPr="00811902">
        <w:rPr>
          <w:sz w:val="22"/>
          <w:szCs w:val="22"/>
        </w:rPr>
        <w:t>)</w:t>
      </w:r>
      <w:r w:rsidR="00A365F4">
        <w:rPr>
          <w:sz w:val="22"/>
          <w:szCs w:val="22"/>
        </w:rPr>
        <w:t xml:space="preserve"> </w:t>
      </w:r>
      <w:r w:rsidR="0007569C" w:rsidRPr="0007569C">
        <w:rPr>
          <w:sz w:val="22"/>
          <w:szCs w:val="22"/>
        </w:rPr>
        <w:t xml:space="preserve">nekompatibilní WIFI </w:t>
      </w:r>
      <w:r w:rsidR="0007569C">
        <w:rPr>
          <w:sz w:val="22"/>
          <w:szCs w:val="22"/>
        </w:rPr>
        <w:t>access pointy</w:t>
      </w:r>
      <w:r w:rsidR="0007569C" w:rsidRPr="0007569C">
        <w:rPr>
          <w:sz w:val="22"/>
          <w:szCs w:val="22"/>
        </w:rPr>
        <w:t xml:space="preserve"> (d</w:t>
      </w:r>
      <w:r w:rsidR="00ED3FDE">
        <w:rPr>
          <w:sz w:val="22"/>
          <w:szCs w:val="22"/>
        </w:rPr>
        <w:t>á</w:t>
      </w:r>
      <w:r w:rsidR="0007569C" w:rsidRPr="0007569C">
        <w:rPr>
          <w:sz w:val="22"/>
          <w:szCs w:val="22"/>
        </w:rPr>
        <w:t>le jen AP)</w:t>
      </w:r>
      <w:r w:rsidR="0007569C">
        <w:rPr>
          <w:sz w:val="22"/>
          <w:szCs w:val="22"/>
        </w:rPr>
        <w:t xml:space="preserve"> a dodat</w:t>
      </w:r>
      <w:r w:rsidR="0007569C" w:rsidRPr="0007569C">
        <w:rPr>
          <w:sz w:val="22"/>
          <w:szCs w:val="22"/>
        </w:rPr>
        <w:t xml:space="preserve"> nov</w:t>
      </w:r>
      <w:r w:rsidR="0007569C">
        <w:rPr>
          <w:sz w:val="22"/>
          <w:szCs w:val="22"/>
        </w:rPr>
        <w:t>é</w:t>
      </w:r>
      <w:r w:rsidR="0007569C" w:rsidRPr="0007569C">
        <w:rPr>
          <w:sz w:val="22"/>
          <w:szCs w:val="22"/>
        </w:rPr>
        <w:t xml:space="preserve"> interní WIFI AP plně kompatibilní</w:t>
      </w:r>
      <w:r w:rsidR="00A15529">
        <w:rPr>
          <w:sz w:val="22"/>
          <w:szCs w:val="22"/>
        </w:rPr>
        <w:t xml:space="preserve"> s</w:t>
      </w:r>
      <w:r w:rsidR="0007569C" w:rsidRPr="0007569C">
        <w:rPr>
          <w:sz w:val="22"/>
          <w:szCs w:val="22"/>
        </w:rPr>
        <w:t xml:space="preserve"> novým WLC řešením.</w:t>
      </w:r>
      <w:r w:rsidRPr="00447A07">
        <w:rPr>
          <w:sz w:val="22"/>
          <w:szCs w:val="22"/>
        </w:rPr>
        <w:t xml:space="preserve"> </w:t>
      </w:r>
      <w:r w:rsidR="0007569C">
        <w:rPr>
          <w:sz w:val="22"/>
          <w:szCs w:val="22"/>
        </w:rPr>
        <w:t xml:space="preserve">Všechny komponenty musí </w:t>
      </w:r>
      <w:r w:rsidRPr="00447A07">
        <w:rPr>
          <w:sz w:val="22"/>
          <w:szCs w:val="22"/>
        </w:rPr>
        <w:t>splň</w:t>
      </w:r>
      <w:r w:rsidR="0007569C">
        <w:rPr>
          <w:sz w:val="22"/>
          <w:szCs w:val="22"/>
        </w:rPr>
        <w:t>ovat</w:t>
      </w:r>
      <w:r w:rsidRPr="00447A07">
        <w:rPr>
          <w:sz w:val="22"/>
          <w:szCs w:val="22"/>
        </w:rPr>
        <w:t xml:space="preserve"> technické p</w:t>
      </w:r>
      <w:r w:rsidRPr="003A65D8">
        <w:rPr>
          <w:sz w:val="22"/>
          <w:szCs w:val="22"/>
        </w:rPr>
        <w:t xml:space="preserve">odmínky stanovené kupujícím, které jsou uvedeny v příloze č. 1 této smlouvy (dále jen „předmět plnění“), závazek prodávajícího převést na kupujícího vlastnické právo k tomuto předmětu plnění a závazek kupujícího zaplatit prodávajícímu kupní cenu. Předmět plnění musí být nový, nepoužitý, nepoškozený, plně funkční, v nejvyšší jakosti poskytované výrobcem Předmětu plnění a spolu se všemi právy nutnými k jeho řádnému a </w:t>
      </w:r>
      <w:r w:rsidR="0060432B" w:rsidRPr="003A65D8">
        <w:rPr>
          <w:sz w:val="22"/>
          <w:szCs w:val="22"/>
        </w:rPr>
        <w:t>nerušenému nakládání a užívání k</w:t>
      </w:r>
      <w:r w:rsidRPr="003A65D8">
        <w:rPr>
          <w:sz w:val="22"/>
          <w:szCs w:val="22"/>
        </w:rPr>
        <w:t>upujícím</w:t>
      </w:r>
      <w:r w:rsidR="0060432B" w:rsidRPr="003A65D8">
        <w:rPr>
          <w:sz w:val="22"/>
          <w:szCs w:val="22"/>
        </w:rPr>
        <w:t>.</w:t>
      </w:r>
    </w:p>
    <w:p w:rsidR="00DB1238" w:rsidRPr="003A65D8" w:rsidRDefault="00DB1238" w:rsidP="003A65D8">
      <w:pPr>
        <w:pStyle w:val="Nadpisodstavce"/>
      </w:pPr>
    </w:p>
    <w:p w:rsidR="00132AF2" w:rsidRPr="003A65D8" w:rsidRDefault="00132AF2" w:rsidP="003A65D8">
      <w:p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C455E4" w:rsidRPr="003A65D8" w:rsidRDefault="00132AF2" w:rsidP="0005033C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Součástí předmětu plnění je dále:</w:t>
      </w:r>
    </w:p>
    <w:p w:rsidR="00C455E4" w:rsidRPr="006C60EC" w:rsidRDefault="00F63734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 w:rsidRPr="006C60EC">
        <w:rPr>
          <w:rFonts w:asciiTheme="minorHAnsi" w:hAnsiTheme="minorHAnsi"/>
          <w:sz w:val="22"/>
          <w:szCs w:val="22"/>
        </w:rPr>
        <w:t>2</w:t>
      </w:r>
      <w:r w:rsidR="00AB09FE" w:rsidRPr="006C60EC">
        <w:rPr>
          <w:rFonts w:asciiTheme="minorHAnsi" w:hAnsiTheme="minorHAnsi"/>
          <w:sz w:val="22"/>
          <w:szCs w:val="22"/>
        </w:rPr>
        <w:t xml:space="preserve">.1 </w:t>
      </w:r>
      <w:r w:rsidR="0007569C" w:rsidRPr="006C60EC">
        <w:rPr>
          <w:rFonts w:asciiTheme="minorHAnsi" w:hAnsiTheme="minorHAnsi"/>
          <w:sz w:val="22"/>
          <w:szCs w:val="22"/>
        </w:rPr>
        <w:t>Instalace a výměna 23 AP za současné AP AIR-LAP1131AG-E-K9, která nejsou kompatibilní s novým WLC řešením</w:t>
      </w:r>
    </w:p>
    <w:p w:rsidR="00C455E4" w:rsidRPr="006C60EC" w:rsidRDefault="00C455E4" w:rsidP="0005033C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  <w:r w:rsidRPr="006C60EC">
        <w:rPr>
          <w:rFonts w:asciiTheme="minorHAnsi" w:hAnsiTheme="minorHAnsi"/>
          <w:sz w:val="22"/>
          <w:szCs w:val="22"/>
        </w:rPr>
        <w:t xml:space="preserve">2.2 </w:t>
      </w:r>
      <w:r w:rsidR="006C60EC" w:rsidRPr="006C60EC">
        <w:rPr>
          <w:rFonts w:asciiTheme="minorHAnsi" w:hAnsiTheme="minorHAnsi"/>
          <w:sz w:val="22"/>
          <w:szCs w:val="22"/>
        </w:rPr>
        <w:t>Připojení AP na současný kontrolér, zdokumentování AP</w:t>
      </w:r>
    </w:p>
    <w:p w:rsidR="00AB09FE" w:rsidRPr="00AB09FE" w:rsidRDefault="00AB09FE" w:rsidP="0005033C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2.3 </w:t>
      </w:r>
      <w:r w:rsidR="006C60EC">
        <w:rPr>
          <w:rFonts w:asciiTheme="minorHAnsi" w:hAnsiTheme="minorHAnsi"/>
          <w:sz w:val="22"/>
          <w:szCs w:val="22"/>
        </w:rPr>
        <w:t>Z</w:t>
      </w:r>
      <w:r w:rsidR="006C60EC" w:rsidRPr="006C60EC">
        <w:rPr>
          <w:rFonts w:asciiTheme="minorHAnsi" w:hAnsiTheme="minorHAnsi"/>
          <w:sz w:val="22"/>
          <w:szCs w:val="22"/>
        </w:rPr>
        <w:t>avedení AP do monitoringu Cisco Prime a zakreslení do mapových podkladů Prime</w:t>
      </w:r>
    </w:p>
    <w:p w:rsidR="00AB09FE" w:rsidRPr="00AB09FE" w:rsidRDefault="00AB09FE" w:rsidP="0005033C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2.4 </w:t>
      </w:r>
      <w:r w:rsidR="006C60EC" w:rsidRPr="006C60EC">
        <w:rPr>
          <w:rFonts w:asciiTheme="minorHAnsi" w:hAnsiTheme="minorHAnsi"/>
          <w:sz w:val="22"/>
          <w:szCs w:val="22"/>
        </w:rPr>
        <w:t xml:space="preserve">montáž nových WLC </w:t>
      </w:r>
      <w:r w:rsidR="00ED3FDE">
        <w:rPr>
          <w:rFonts w:asciiTheme="minorHAnsi" w:hAnsiTheme="minorHAnsi"/>
          <w:sz w:val="22"/>
          <w:szCs w:val="22"/>
        </w:rPr>
        <w:t>kontrolérů do</w:t>
      </w:r>
      <w:r w:rsidR="006C60EC" w:rsidRPr="006C60EC">
        <w:rPr>
          <w:rFonts w:asciiTheme="minorHAnsi" w:hAnsiTheme="minorHAnsi"/>
          <w:sz w:val="22"/>
          <w:szCs w:val="22"/>
        </w:rPr>
        <w:t xml:space="preserve"> 2 lokalit</w:t>
      </w:r>
      <w:r w:rsidRPr="00AB09FE">
        <w:rPr>
          <w:rFonts w:asciiTheme="minorHAnsi" w:hAnsiTheme="minorHAnsi"/>
          <w:sz w:val="22"/>
          <w:szCs w:val="22"/>
        </w:rPr>
        <w:t xml:space="preserve">  </w:t>
      </w:r>
    </w:p>
    <w:p w:rsidR="006C60EC" w:rsidRPr="006C60EC" w:rsidRDefault="00AB09FE" w:rsidP="0005033C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2.5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6C60EC" w:rsidRPr="006C60EC">
        <w:rPr>
          <w:rFonts w:asciiTheme="minorHAnsi" w:hAnsiTheme="minorHAnsi"/>
          <w:sz w:val="22"/>
          <w:szCs w:val="22"/>
        </w:rPr>
        <w:t>připojení k centrálním routerům C6500</w:t>
      </w:r>
    </w:p>
    <w:p w:rsidR="00AB09FE" w:rsidRPr="00AB09FE" w:rsidRDefault="00AB09FE" w:rsidP="0005033C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2.6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6C60EC" w:rsidRPr="006C60EC">
        <w:rPr>
          <w:rFonts w:asciiTheme="minorHAnsi" w:hAnsiTheme="minorHAnsi"/>
          <w:sz w:val="22"/>
          <w:szCs w:val="22"/>
        </w:rPr>
        <w:t>vytvoření HA clusteru</w:t>
      </w:r>
    </w:p>
    <w:p w:rsidR="00AB09FE" w:rsidRPr="00AB09FE" w:rsidRDefault="00AB09FE" w:rsidP="0005033C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2.7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6C60EC" w:rsidRPr="006C60EC">
        <w:rPr>
          <w:rFonts w:asciiTheme="minorHAnsi" w:hAnsiTheme="minorHAnsi"/>
          <w:sz w:val="22"/>
          <w:szCs w:val="22"/>
        </w:rPr>
        <w:t xml:space="preserve">upgrade firmware </w:t>
      </w:r>
      <w:r w:rsidR="00ED3FDE">
        <w:rPr>
          <w:rFonts w:asciiTheme="minorHAnsi" w:hAnsiTheme="minorHAnsi"/>
          <w:sz w:val="22"/>
          <w:szCs w:val="22"/>
        </w:rPr>
        <w:t>na</w:t>
      </w:r>
      <w:r w:rsidR="006C60EC" w:rsidRPr="006C60EC">
        <w:rPr>
          <w:rFonts w:asciiTheme="minorHAnsi" w:hAnsiTheme="minorHAnsi"/>
          <w:sz w:val="22"/>
          <w:szCs w:val="22"/>
        </w:rPr>
        <w:t xml:space="preserve"> poslední doporučenou verzi kompatibilní se všemi AP FNOL</w:t>
      </w:r>
    </w:p>
    <w:p w:rsidR="00AB09FE" w:rsidRPr="00AB09FE" w:rsidRDefault="00AB09FE" w:rsidP="0005033C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2.8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6C60EC" w:rsidRPr="006C60EC">
        <w:rPr>
          <w:rFonts w:asciiTheme="minorHAnsi" w:hAnsiTheme="minorHAnsi"/>
          <w:sz w:val="22"/>
          <w:szCs w:val="22"/>
        </w:rPr>
        <w:t>převedení současných licencí do programu Cisco One a zalicencování nových kontrolerů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2.9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6C60EC" w:rsidRPr="006C60EC">
        <w:rPr>
          <w:rFonts w:asciiTheme="minorHAnsi" w:hAnsiTheme="minorHAnsi"/>
          <w:sz w:val="22"/>
          <w:szCs w:val="22"/>
        </w:rPr>
        <w:t>konfigurace VLAN, SSID a kompletní migrace nastavení současného WLC na nový cluster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2.10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pre download firmwaru do všech AP FNOL (cca 400-550ks) pro přípravu na migraci na nové WLC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2.11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migrace všech AP na nový WLC cluster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2.12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konfigurace nového WLC do Cisco Prime</w:t>
      </w:r>
    </w:p>
    <w:p w:rsidR="00940C2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2.13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migrace mapových podkladů a migrace všech lokací AP v nich</w:t>
      </w:r>
      <w:r w:rsidR="00940C2E">
        <w:rPr>
          <w:rFonts w:asciiTheme="minorHAnsi" w:hAnsiTheme="minorHAnsi"/>
          <w:sz w:val="22"/>
          <w:szCs w:val="22"/>
        </w:rPr>
        <w:t xml:space="preserve"> 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2.14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instalace nových licencí Cisco One do Cisco Prime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2.15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příprava autorizačních a authentizačních pravidel v Cisco ISE clusteru pro nový WLC cluster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2.16</w:t>
      </w:r>
      <w:r w:rsidR="00940C2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úprava současných politik Cisco ISE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2.17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konfigurace centrálních firewallů nastavení routingu a firewall pravidel potřebných pro nasazení nových WLC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2.18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úprava VPN koncentrátorů pro vzdálený přístup na mgmt WLC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2.19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vzhledem k navýšení počtu AP a SSID nedostačuje kapacitně současný monitoring Zabbix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2.20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940C2E" w:rsidRPr="006044C2">
        <w:rPr>
          <w:rFonts w:asciiTheme="minorHAnsi" w:hAnsiTheme="minorHAnsi"/>
          <w:sz w:val="22"/>
          <w:szCs w:val="22"/>
        </w:rPr>
        <w:t>instalace nového monitorovacího serveru Zabbix pro monitoring celé síťě FNOL na nové verzi, jako VM na Hyper</w:t>
      </w:r>
      <w:r w:rsidR="00ED3FDE">
        <w:rPr>
          <w:rFonts w:asciiTheme="minorHAnsi" w:hAnsiTheme="minorHAnsi"/>
          <w:sz w:val="22"/>
          <w:szCs w:val="22"/>
        </w:rPr>
        <w:t>-</w:t>
      </w:r>
      <w:r w:rsidR="00940C2E" w:rsidRPr="006044C2">
        <w:rPr>
          <w:rFonts w:asciiTheme="minorHAnsi" w:hAnsiTheme="minorHAnsi"/>
          <w:sz w:val="22"/>
          <w:szCs w:val="22"/>
        </w:rPr>
        <w:t>V clusteru FNOL, VM a HW prostředky pro server Zabbix dodá FNOL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2.21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6044C2" w:rsidRPr="006044C2">
        <w:rPr>
          <w:rFonts w:asciiTheme="minorHAnsi" w:hAnsiTheme="minorHAnsi"/>
          <w:sz w:val="22"/>
          <w:szCs w:val="22"/>
        </w:rPr>
        <w:t>instalace OS serveru Zabbix bude provedena na poslední stable verzi OS FreeBSD (stejné OS na současném řešení) a bude provedena migrace všeho nastavení, grafů, mapových podkladů, napojení na mobilní dohledovou aplikaci.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2.22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6044C2" w:rsidRPr="006044C2">
        <w:rPr>
          <w:rFonts w:asciiTheme="minorHAnsi" w:hAnsiTheme="minorHAnsi"/>
          <w:sz w:val="22"/>
          <w:szCs w:val="22"/>
        </w:rPr>
        <w:t>instalace bude provedena na poslední stabel verzi systému Zabbix</w:t>
      </w:r>
    </w:p>
    <w:p w:rsidR="00AB09FE" w:rsidRPr="00AB09FE" w:rsidRDefault="00AB09FE" w:rsidP="0005033C">
      <w:pPr>
        <w:ind w:left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2.23</w:t>
      </w:r>
      <w:r w:rsidRPr="00AB09FE">
        <w:rPr>
          <w:rFonts w:asciiTheme="minorHAnsi" w:hAnsiTheme="minorHAnsi"/>
          <w:sz w:val="22"/>
          <w:szCs w:val="22"/>
        </w:rPr>
        <w:t xml:space="preserve"> </w:t>
      </w:r>
      <w:r w:rsidR="006044C2" w:rsidRPr="006044C2">
        <w:rPr>
          <w:rFonts w:asciiTheme="minorHAnsi" w:hAnsiTheme="minorHAnsi"/>
          <w:sz w:val="22"/>
          <w:szCs w:val="22"/>
        </w:rPr>
        <w:t>součástí serveru je také custom PHP aplikace pro vzdálený dohled a konfiguraci portů některých aktivních prvků pro externí dodavatele např. kamerového systému, kterou bude třeba přenést na nový sever. Aplikace umožňuje externím firmám provést vzdálený restart přiřazených portů na SW a monitorovat jejich stav, aplikace využívá php5 a SNMP.</w:t>
      </w:r>
    </w:p>
    <w:p w:rsidR="001B3054" w:rsidRDefault="001B3054" w:rsidP="003A65D8">
      <w:pPr>
        <w:pStyle w:val="VOP-pododstavec"/>
        <w:numPr>
          <w:ilvl w:val="0"/>
          <w:numId w:val="0"/>
        </w:numPr>
        <w:spacing w:line="276" w:lineRule="auto"/>
        <w:ind w:left="851"/>
        <w:rPr>
          <w:rFonts w:asciiTheme="minorHAnsi" w:hAnsiTheme="minorHAnsi"/>
          <w:sz w:val="22"/>
        </w:rPr>
      </w:pPr>
    </w:p>
    <w:p w:rsidR="001B3054" w:rsidRPr="001B3054" w:rsidRDefault="001B3054" w:rsidP="001B305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3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Převedené l</w:t>
      </w:r>
      <w:r w:rsidRPr="001B3054">
        <w:rPr>
          <w:rFonts w:asciiTheme="minorHAnsi" w:hAnsiTheme="minorHAnsi"/>
          <w:sz w:val="22"/>
          <w:szCs w:val="22"/>
        </w:rPr>
        <w:t xml:space="preserve">icence pro řízení každého access pointu musí obsahovat také  </w:t>
      </w:r>
    </w:p>
    <w:p w:rsidR="001B3054" w:rsidRPr="001B3054" w:rsidRDefault="001B3054" w:rsidP="001B3054">
      <w:pPr>
        <w:pStyle w:val="Odstavecseseznamem"/>
        <w:numPr>
          <w:ilvl w:val="0"/>
          <w:numId w:val="4"/>
        </w:numPr>
        <w:spacing w:after="200"/>
        <w:contextualSpacing/>
        <w:jc w:val="both"/>
        <w:rPr>
          <w:rFonts w:asciiTheme="minorHAnsi" w:hAnsiTheme="minorHAnsi"/>
          <w:sz w:val="22"/>
          <w:szCs w:val="22"/>
        </w:rPr>
      </w:pPr>
      <w:r w:rsidRPr="001B3054">
        <w:rPr>
          <w:rFonts w:asciiTheme="minorHAnsi" w:hAnsiTheme="minorHAnsi"/>
          <w:sz w:val="22"/>
          <w:szCs w:val="22"/>
        </w:rPr>
        <w:t xml:space="preserve">1ks licence pro nadřazený centrální management Cisco Prime Infrastructure, </w:t>
      </w:r>
    </w:p>
    <w:p w:rsidR="001B3054" w:rsidRPr="001B3054" w:rsidRDefault="001B3054" w:rsidP="001B3054">
      <w:pPr>
        <w:pStyle w:val="Odstavecseseznamem"/>
        <w:numPr>
          <w:ilvl w:val="0"/>
          <w:numId w:val="4"/>
        </w:numPr>
        <w:spacing w:after="200"/>
        <w:contextualSpacing/>
        <w:jc w:val="both"/>
        <w:rPr>
          <w:rFonts w:asciiTheme="minorHAnsi" w:hAnsiTheme="minorHAnsi"/>
          <w:sz w:val="22"/>
          <w:szCs w:val="22"/>
        </w:rPr>
      </w:pPr>
      <w:r w:rsidRPr="001B3054">
        <w:rPr>
          <w:rFonts w:asciiTheme="minorHAnsi" w:hAnsiTheme="minorHAnsi"/>
          <w:sz w:val="22"/>
          <w:szCs w:val="22"/>
        </w:rPr>
        <w:t xml:space="preserve">1ks licence pro aplikační platformu bezdrátové sítě pro lokalizaci a guest přístup </w:t>
      </w:r>
    </w:p>
    <w:p w:rsidR="001B3054" w:rsidRPr="001B3054" w:rsidRDefault="001B3054" w:rsidP="001B3054">
      <w:pPr>
        <w:pStyle w:val="Odstavecseseznamem"/>
        <w:numPr>
          <w:ilvl w:val="0"/>
          <w:numId w:val="4"/>
        </w:numPr>
        <w:spacing w:after="200"/>
        <w:contextualSpacing/>
        <w:jc w:val="both"/>
        <w:rPr>
          <w:rFonts w:asciiTheme="minorHAnsi" w:hAnsiTheme="minorHAnsi"/>
          <w:sz w:val="22"/>
          <w:szCs w:val="22"/>
        </w:rPr>
      </w:pPr>
      <w:r w:rsidRPr="001B3054">
        <w:rPr>
          <w:rFonts w:asciiTheme="minorHAnsi" w:hAnsiTheme="minorHAnsi"/>
          <w:sz w:val="22"/>
          <w:szCs w:val="22"/>
        </w:rPr>
        <w:t xml:space="preserve">50 licencí pro Cisco Identity Service Engine. </w:t>
      </w:r>
    </w:p>
    <w:p w:rsidR="001B3054" w:rsidRPr="003A65D8" w:rsidRDefault="001B3054" w:rsidP="001B3054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60432B" w:rsidRPr="003A65D8" w:rsidRDefault="0060432B" w:rsidP="003A65D8">
      <w:pPr>
        <w:pStyle w:val="Nadpisodstavce"/>
        <w:jc w:val="center"/>
        <w:rPr>
          <w:b/>
        </w:rPr>
      </w:pPr>
      <w:bookmarkStart w:id="2" w:name="_Ref201571027"/>
      <w:r w:rsidRPr="003A65D8">
        <w:rPr>
          <w:b/>
        </w:rPr>
        <w:t>III</w:t>
      </w:r>
      <w:r w:rsidR="00C455E4" w:rsidRPr="003A65D8">
        <w:rPr>
          <w:b/>
        </w:rPr>
        <w:t>.</w:t>
      </w:r>
    </w:p>
    <w:p w:rsidR="00C455E4" w:rsidRPr="003A65D8" w:rsidRDefault="00C455E4" w:rsidP="003A65D8">
      <w:pPr>
        <w:pStyle w:val="Nadpisodstavce"/>
        <w:jc w:val="center"/>
        <w:rPr>
          <w:b/>
        </w:rPr>
      </w:pPr>
      <w:r w:rsidRPr="003A65D8">
        <w:rPr>
          <w:b/>
        </w:rPr>
        <w:t>Doba a místo plnění</w:t>
      </w:r>
    </w:p>
    <w:p w:rsidR="00C455E4" w:rsidRPr="00DC0BF0" w:rsidRDefault="00C455E4" w:rsidP="00DC0BF0">
      <w:p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A365F4" w:rsidRDefault="0060432B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 w:cs="TimesNewRoman"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Prodávající je povinen předmět plnění kupujícímu dodat nejpozději </w:t>
      </w:r>
      <w:r w:rsidR="00C455E4" w:rsidRPr="003A65D8">
        <w:rPr>
          <w:rFonts w:asciiTheme="minorHAnsi" w:hAnsiTheme="minorHAnsi" w:cs="TimesNewRoman"/>
          <w:sz w:val="22"/>
        </w:rPr>
        <w:t xml:space="preserve">do </w:t>
      </w:r>
      <w:r w:rsidR="001D5C51">
        <w:rPr>
          <w:rFonts w:asciiTheme="minorHAnsi" w:hAnsiTheme="minorHAnsi" w:cs="TimesNewRoman"/>
          <w:sz w:val="22"/>
        </w:rPr>
        <w:t>4</w:t>
      </w:r>
      <w:r w:rsidR="006044C2">
        <w:rPr>
          <w:rFonts w:asciiTheme="minorHAnsi" w:hAnsiTheme="minorHAnsi" w:cs="TimesNewRoman"/>
          <w:sz w:val="22"/>
        </w:rPr>
        <w:t>5</w:t>
      </w:r>
      <w:r w:rsidR="00C455E4" w:rsidRPr="003A65D8">
        <w:rPr>
          <w:rFonts w:asciiTheme="minorHAnsi" w:hAnsiTheme="minorHAnsi" w:cs="TimesNewRoman"/>
          <w:sz w:val="22"/>
        </w:rPr>
        <w:t xml:space="preserve"> dnů od </w:t>
      </w:r>
      <w:r w:rsidR="006044C2">
        <w:rPr>
          <w:rFonts w:asciiTheme="minorHAnsi" w:hAnsiTheme="minorHAnsi" w:cs="TimesNewRoman"/>
          <w:sz w:val="22"/>
        </w:rPr>
        <w:t>písemné výzvy</w:t>
      </w:r>
      <w:r w:rsidR="00C455E4" w:rsidRPr="003A65D8">
        <w:rPr>
          <w:rFonts w:asciiTheme="minorHAnsi" w:hAnsiTheme="minorHAnsi" w:cs="TimesNewRoman"/>
          <w:sz w:val="22"/>
        </w:rPr>
        <w:t xml:space="preserve"> </w:t>
      </w:r>
    </w:p>
    <w:p w:rsidR="0060432B" w:rsidRPr="003A65D8" w:rsidRDefault="00A365F4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  <w:r w:rsidRPr="00811902">
        <w:rPr>
          <w:rFonts w:asciiTheme="minorHAnsi" w:hAnsiTheme="minorHAnsi" w:cs="TimesNewRoman"/>
          <w:sz w:val="22"/>
        </w:rPr>
        <w:t xml:space="preserve">kupujícího na adresu sídla prodávajícího: </w:t>
      </w:r>
      <w:r w:rsidR="002005E7" w:rsidRPr="002005E7">
        <w:rPr>
          <w:rFonts w:asciiTheme="minorHAnsi" w:hAnsiTheme="minorHAnsi" w:cs="TimesNewRoman"/>
          <w:sz w:val="22"/>
        </w:rPr>
        <w:t>Březinova 136/7, 779 00 Olomouc</w:t>
      </w:r>
      <w:r w:rsidRPr="00811902">
        <w:rPr>
          <w:rFonts w:asciiTheme="minorHAnsi" w:hAnsiTheme="minorHAnsi"/>
          <w:sz w:val="22"/>
        </w:rPr>
        <w:t xml:space="preserve"> nebo na e-mail:</w:t>
      </w:r>
      <w:r w:rsidR="002005E7">
        <w:rPr>
          <w:rFonts w:asciiTheme="minorHAnsi" w:hAnsiTheme="minorHAnsi"/>
          <w:sz w:val="22"/>
        </w:rPr>
        <w:t xml:space="preserve"> merit</w:t>
      </w:r>
      <w:r w:rsidR="00811902">
        <w:rPr>
          <w:rFonts w:asciiTheme="minorHAnsi" w:hAnsiTheme="minorHAnsi"/>
          <w:sz w:val="22"/>
        </w:rPr>
        <w:t>@</w:t>
      </w:r>
      <w:r w:rsidR="002005E7">
        <w:rPr>
          <w:rFonts w:asciiTheme="minorHAnsi" w:hAnsiTheme="minorHAnsi"/>
          <w:sz w:val="22"/>
        </w:rPr>
        <w:t>merit.cz</w:t>
      </w:r>
    </w:p>
    <w:p w:rsidR="0060432B" w:rsidRPr="003A65D8" w:rsidRDefault="0060432B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</w:p>
    <w:p w:rsidR="00417752" w:rsidRPr="003A65D8" w:rsidRDefault="0060432B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b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Prodávající je povinen u</w:t>
      </w:r>
      <w:r w:rsidR="00C455E4" w:rsidRPr="003A65D8">
        <w:rPr>
          <w:rFonts w:asciiTheme="minorHAnsi" w:hAnsiTheme="minorHAnsi" w:cs="TimesNewRoman"/>
          <w:sz w:val="22"/>
        </w:rPr>
        <w:t xml:space="preserve">vést předmět plnění do provozu, předat veškeré doklady k předmětu plnění </w:t>
      </w:r>
      <w:r w:rsidR="00DB1238">
        <w:rPr>
          <w:rFonts w:cs="TimesNewRoman"/>
          <w:sz w:val="22"/>
        </w:rPr>
        <w:t xml:space="preserve">vč. </w:t>
      </w:r>
      <w:r w:rsidR="00F53769">
        <w:rPr>
          <w:rFonts w:cs="TimesNewRoman"/>
          <w:sz w:val="22"/>
        </w:rPr>
        <w:t xml:space="preserve"> doložení dodacího listu, </w:t>
      </w:r>
      <w:r w:rsidR="00DB1238" w:rsidRPr="008212F7">
        <w:rPr>
          <w:rFonts w:cs="TimesNewRoman"/>
          <w:sz w:val="22"/>
        </w:rPr>
        <w:t xml:space="preserve">na kterém musí být uvedeno č. veřejné zakázky </w:t>
      </w:r>
      <w:r w:rsidR="006044C2" w:rsidRPr="00811902">
        <w:rPr>
          <w:b/>
          <w:bCs/>
          <w:sz w:val="22"/>
        </w:rPr>
        <w:t>VZ-2017</w:t>
      </w:r>
      <w:r w:rsidR="00DB1238" w:rsidRPr="00811902">
        <w:rPr>
          <w:b/>
          <w:bCs/>
          <w:sz w:val="22"/>
        </w:rPr>
        <w:t>-000</w:t>
      </w:r>
      <w:r w:rsidR="00811902" w:rsidRPr="00811902">
        <w:rPr>
          <w:b/>
          <w:bCs/>
          <w:sz w:val="22"/>
        </w:rPr>
        <w:t>713</w:t>
      </w:r>
      <w:r w:rsidR="00DB1238">
        <w:rPr>
          <w:sz w:val="22"/>
        </w:rPr>
        <w:t xml:space="preserve">, </w:t>
      </w:r>
      <w:r w:rsidR="00C455E4" w:rsidRPr="003A65D8">
        <w:rPr>
          <w:rFonts w:asciiTheme="minorHAnsi" w:hAnsiTheme="minorHAnsi" w:cs="TimesNewRoman"/>
          <w:sz w:val="22"/>
        </w:rPr>
        <w:t xml:space="preserve">a </w:t>
      </w:r>
      <w:r w:rsidR="00DB1238">
        <w:rPr>
          <w:rFonts w:asciiTheme="minorHAnsi" w:hAnsiTheme="minorHAnsi" w:cs="TimesNewRoman"/>
          <w:sz w:val="22"/>
        </w:rPr>
        <w:t xml:space="preserve">dále </w:t>
      </w:r>
      <w:r w:rsidR="00C455E4" w:rsidRPr="003A65D8">
        <w:rPr>
          <w:rFonts w:asciiTheme="minorHAnsi" w:hAnsiTheme="minorHAnsi" w:cs="TimesNewRoman"/>
          <w:sz w:val="22"/>
        </w:rPr>
        <w:t>provést zaškolení resp. instruktáž k </w:t>
      </w:r>
      <w:r w:rsidR="00C455E4" w:rsidRPr="003A65D8">
        <w:rPr>
          <w:rFonts w:asciiTheme="minorHAnsi" w:hAnsiTheme="minorHAnsi"/>
          <w:sz w:val="22"/>
        </w:rPr>
        <w:t xml:space="preserve">předmětu plnění, a to </w:t>
      </w:r>
      <w:r w:rsidR="00C455E4" w:rsidRPr="003A65D8">
        <w:rPr>
          <w:rFonts w:asciiTheme="minorHAnsi" w:hAnsiTheme="minorHAnsi" w:cs="TimesNewRoman"/>
          <w:sz w:val="22"/>
        </w:rPr>
        <w:t xml:space="preserve">nejpozději do </w:t>
      </w:r>
      <w:r w:rsidR="002005E7">
        <w:rPr>
          <w:rFonts w:asciiTheme="minorHAnsi" w:hAnsiTheme="minorHAnsi" w:cs="TimesNewRoman"/>
          <w:sz w:val="22"/>
        </w:rPr>
        <w:t xml:space="preserve">45 </w:t>
      </w:r>
      <w:r w:rsidR="00C455E4" w:rsidRPr="003A65D8">
        <w:rPr>
          <w:rFonts w:asciiTheme="minorHAnsi" w:hAnsiTheme="minorHAnsi" w:cs="TimesNewRoman"/>
          <w:sz w:val="22"/>
        </w:rPr>
        <w:t>dnů od dodávky předmětu plnění.</w:t>
      </w:r>
    </w:p>
    <w:p w:rsidR="00417752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</w:p>
    <w:p w:rsidR="00C455E4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  <w:r w:rsidRPr="00D42167">
        <w:rPr>
          <w:rFonts w:asciiTheme="minorHAnsi" w:hAnsiTheme="minorHAnsi"/>
          <w:sz w:val="22"/>
        </w:rPr>
        <w:t>3.</w:t>
      </w:r>
      <w:r w:rsidRPr="003A65D8">
        <w:rPr>
          <w:rFonts w:asciiTheme="minorHAnsi" w:hAnsiTheme="minorHAnsi"/>
          <w:b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Místem dodání předmětu plnění je:</w:t>
      </w:r>
    </w:p>
    <w:p w:rsidR="00417752" w:rsidRPr="003A65D8" w:rsidRDefault="00C455E4" w:rsidP="003A65D8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 xml:space="preserve">Fakultní nemocnice Olomouc, </w:t>
      </w:r>
      <w:r w:rsidR="005E595E">
        <w:rPr>
          <w:rFonts w:asciiTheme="minorHAnsi" w:hAnsiTheme="minorHAnsi"/>
          <w:sz w:val="22"/>
        </w:rPr>
        <w:t>Odbor informatiky</w:t>
      </w:r>
      <w:r w:rsidRPr="003A65D8">
        <w:rPr>
          <w:rFonts w:asciiTheme="minorHAnsi" w:hAnsiTheme="minorHAnsi"/>
          <w:sz w:val="22"/>
        </w:rPr>
        <w:t xml:space="preserve"> </w:t>
      </w:r>
    </w:p>
    <w:p w:rsidR="00417752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</w:p>
    <w:p w:rsidR="00417752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4.</w:t>
      </w:r>
      <w:r w:rsidRPr="003A65D8">
        <w:rPr>
          <w:rFonts w:asciiTheme="minorHAnsi" w:hAnsiTheme="minorHAnsi"/>
          <w:sz w:val="22"/>
        </w:rPr>
        <w:tab/>
      </w:r>
      <w:r w:rsidR="009F7A34" w:rsidRPr="00113096">
        <w:rPr>
          <w:rFonts w:asciiTheme="minorHAnsi" w:hAnsiTheme="minorHAnsi"/>
          <w:sz w:val="22"/>
        </w:rPr>
        <w:t>Náklady na dodání předmětu plnění do místa plnění</w:t>
      </w:r>
      <w:r w:rsidR="009F7A34">
        <w:rPr>
          <w:rFonts w:asciiTheme="minorHAnsi" w:hAnsiTheme="minorHAnsi"/>
          <w:sz w:val="22"/>
        </w:rPr>
        <w:t xml:space="preserve"> a příp. zaškolení obsluhy</w:t>
      </w:r>
      <w:r w:rsidR="009F7A34" w:rsidRPr="00113096">
        <w:rPr>
          <w:rFonts w:asciiTheme="minorHAnsi" w:hAnsiTheme="minorHAnsi"/>
          <w:sz w:val="22"/>
        </w:rPr>
        <w:t xml:space="preserve"> jsou za</w:t>
      </w:r>
      <w:r w:rsidR="009F7A34">
        <w:rPr>
          <w:rFonts w:asciiTheme="minorHAnsi" w:hAnsiTheme="minorHAnsi"/>
          <w:sz w:val="22"/>
        </w:rPr>
        <w:t xml:space="preserve">hrnuty ve sjednané kupní ceně. Prodávající bere na vědomí, </w:t>
      </w:r>
      <w:r w:rsidR="009F7A34" w:rsidRPr="00077F4F">
        <w:rPr>
          <w:color w:val="000000"/>
          <w:sz w:val="22"/>
        </w:rPr>
        <w:t>že v souladu s interními předpisy objednatele nese náklady související s vjezdem motorových vozidel do místa plnění.</w:t>
      </w:r>
      <w:r w:rsidR="00C455E4" w:rsidRPr="003A65D8">
        <w:rPr>
          <w:rFonts w:asciiTheme="minorHAnsi" w:hAnsiTheme="minorHAnsi"/>
          <w:sz w:val="22"/>
        </w:rPr>
        <w:t xml:space="preserve">  </w:t>
      </w:r>
    </w:p>
    <w:p w:rsidR="00417752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417752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5.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K dodání předmětu plnění dochází okamžikem převzetí předmětu plnění v místě dodání kupujícím a potvrzením dodacího listu oprávněným zaměstnancem kupujícího. Prodávající je dále povinen, na každém jednotlivém dodacím listě vystaveném v rámci smluvního vztahu založeného touto smlouvou, uvést interní evidenční číslo  </w:t>
      </w:r>
      <w:r w:rsidR="00C455E4" w:rsidRPr="00811902">
        <w:rPr>
          <w:rFonts w:asciiTheme="minorHAnsi" w:hAnsiTheme="minorHAnsi"/>
          <w:b/>
          <w:sz w:val="22"/>
        </w:rPr>
        <w:t>VZ</w:t>
      </w:r>
      <w:r w:rsidR="00811902" w:rsidRPr="00811902">
        <w:rPr>
          <w:rFonts w:asciiTheme="minorHAnsi" w:hAnsiTheme="minorHAnsi"/>
          <w:b/>
          <w:sz w:val="22"/>
        </w:rPr>
        <w:t>-2017-000713</w:t>
      </w:r>
      <w:r w:rsidR="00811902">
        <w:rPr>
          <w:rFonts w:asciiTheme="minorHAnsi" w:hAnsiTheme="minorHAnsi"/>
          <w:sz w:val="22"/>
        </w:rPr>
        <w:t xml:space="preserve">. </w:t>
      </w:r>
      <w:r w:rsidR="00C455E4" w:rsidRPr="003A65D8">
        <w:rPr>
          <w:rFonts w:asciiTheme="minorHAnsi" w:hAnsiTheme="minorHAnsi"/>
          <w:sz w:val="22"/>
        </w:rPr>
        <w:t xml:space="preserve">Neučiní-li tak, nebude takový dodací list ze strany kupujícího akceptován a nebude tudíž způsobilým podkladem pro fakturaci dle článku </w:t>
      </w:r>
      <w:r w:rsidR="00811902">
        <w:rPr>
          <w:rFonts w:asciiTheme="minorHAnsi" w:hAnsiTheme="minorHAnsi"/>
          <w:sz w:val="22"/>
        </w:rPr>
        <w:t>5</w:t>
      </w:r>
      <w:r w:rsidR="00C455E4" w:rsidRPr="003A65D8">
        <w:rPr>
          <w:rFonts w:asciiTheme="minorHAnsi" w:hAnsiTheme="minorHAnsi"/>
          <w:sz w:val="22"/>
        </w:rPr>
        <w:t xml:space="preserve"> této smlouvy.</w:t>
      </w:r>
    </w:p>
    <w:p w:rsidR="00417752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417752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6.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Okamžikem protokolárního převzetí předmětu plnění přechází na kupujícího vlastnické právo ke zboží a nebezpečí škody na zboží. Kupující není povinen převzít zboží či jeho část, která je poškozená či která jinak nesplňuje podmínky této smlouvy, zejména pak jakost zboží.</w:t>
      </w:r>
    </w:p>
    <w:p w:rsidR="00417752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7.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V případě prodlení prodávajícího s dodávkou zboží, uvedením do provozu, předáním veškerých dokladů a provedením zaškolení resp. instruktáže je prodávající povinen zaplatit kupujícímu smluvní pokutu ve výši  0,5% ze sjednané kupní ceny předmětu plnění za každý den prodlení.</w:t>
      </w:r>
    </w:p>
    <w:p w:rsidR="00417752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Nadpisodstavce"/>
        <w:jc w:val="center"/>
        <w:rPr>
          <w:b/>
        </w:rPr>
      </w:pPr>
      <w:r w:rsidRPr="003A65D8">
        <w:rPr>
          <w:b/>
        </w:rPr>
        <w:t>I</w:t>
      </w:r>
      <w:r w:rsidR="00C455E4" w:rsidRPr="003A65D8">
        <w:rPr>
          <w:b/>
        </w:rPr>
        <w:t>V.</w:t>
      </w:r>
    </w:p>
    <w:p w:rsidR="00C455E4" w:rsidRPr="003A65D8" w:rsidRDefault="00C455E4" w:rsidP="003A65D8">
      <w:pPr>
        <w:pStyle w:val="Nadpisodstavce"/>
        <w:jc w:val="center"/>
        <w:rPr>
          <w:b/>
        </w:rPr>
      </w:pPr>
      <w:r w:rsidRPr="003A65D8">
        <w:rPr>
          <w:b/>
        </w:rPr>
        <w:t>Kupní cena a platební podmínky</w:t>
      </w:r>
      <w:bookmarkStart w:id="3" w:name="_Ref200451262"/>
      <w:bookmarkStart w:id="4" w:name="_Ref201571830"/>
      <w:bookmarkEnd w:id="2"/>
    </w:p>
    <w:p w:rsidR="00C455E4" w:rsidRPr="00DC0BF0" w:rsidRDefault="00C455E4" w:rsidP="00DC0BF0">
      <w:p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C455E4" w:rsidRPr="003A65D8" w:rsidRDefault="00417752" w:rsidP="003A65D8">
      <w:pPr>
        <w:pStyle w:val="Odstavecseseznamem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A65D8">
        <w:rPr>
          <w:rFonts w:asciiTheme="minorHAnsi" w:hAnsiTheme="minorHAnsi"/>
          <w:sz w:val="22"/>
          <w:szCs w:val="22"/>
        </w:rPr>
        <w:t>1.</w:t>
      </w:r>
      <w:r w:rsidRPr="003A65D8">
        <w:rPr>
          <w:rFonts w:asciiTheme="minorHAnsi" w:hAnsiTheme="minorHAnsi"/>
          <w:sz w:val="22"/>
          <w:szCs w:val="22"/>
        </w:rPr>
        <w:tab/>
      </w:r>
      <w:r w:rsidR="00C455E4" w:rsidRPr="003A65D8">
        <w:rPr>
          <w:rFonts w:asciiTheme="minorHAnsi" w:hAnsiTheme="minorHAnsi"/>
          <w:sz w:val="22"/>
          <w:szCs w:val="22"/>
        </w:rPr>
        <w:t>Celková kupní cena za předmět plnění je tvořena takto:</w:t>
      </w: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5"/>
        <w:gridCol w:w="466"/>
        <w:gridCol w:w="652"/>
        <w:gridCol w:w="1173"/>
        <w:gridCol w:w="1084"/>
        <w:gridCol w:w="1084"/>
        <w:gridCol w:w="1211"/>
        <w:gridCol w:w="1121"/>
        <w:gridCol w:w="1247"/>
      </w:tblGrid>
      <w:tr w:rsidR="001A748B" w:rsidRPr="003A65D8" w:rsidTr="001A748B">
        <w:trPr>
          <w:trHeight w:val="347"/>
          <w:jc w:val="center"/>
        </w:trPr>
        <w:tc>
          <w:tcPr>
            <w:tcW w:w="1485" w:type="dxa"/>
            <w:vAlign w:val="center"/>
          </w:tcPr>
          <w:p w:rsidR="004E2BAE" w:rsidRPr="004E2BAE" w:rsidRDefault="004E2BAE" w:rsidP="004E2BAE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BAE">
              <w:rPr>
                <w:rFonts w:ascii="Arial" w:hAnsi="Arial" w:cs="Arial"/>
                <w:b/>
                <w:sz w:val="16"/>
                <w:szCs w:val="16"/>
              </w:rPr>
              <w:t>Předmět plnění</w:t>
            </w:r>
          </w:p>
        </w:tc>
        <w:tc>
          <w:tcPr>
            <w:tcW w:w="466" w:type="dxa"/>
            <w:vAlign w:val="center"/>
          </w:tcPr>
          <w:p w:rsidR="004E2BAE" w:rsidRPr="004E2BAE" w:rsidRDefault="004E2BAE" w:rsidP="004E2BAE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BAE">
              <w:rPr>
                <w:rFonts w:ascii="Arial" w:hAnsi="Arial" w:cs="Arial"/>
                <w:b/>
                <w:sz w:val="16"/>
                <w:szCs w:val="16"/>
              </w:rPr>
              <w:t>MJ</w:t>
            </w:r>
          </w:p>
        </w:tc>
        <w:tc>
          <w:tcPr>
            <w:tcW w:w="652" w:type="dxa"/>
            <w:vAlign w:val="center"/>
          </w:tcPr>
          <w:p w:rsidR="004E2BAE" w:rsidRPr="004E2BAE" w:rsidRDefault="004E2BAE" w:rsidP="004E2BAE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BAE">
              <w:rPr>
                <w:rFonts w:ascii="Arial" w:hAnsi="Arial" w:cs="Arial"/>
                <w:b/>
                <w:sz w:val="16"/>
                <w:szCs w:val="16"/>
              </w:rPr>
              <w:t>Počet MJ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4E2BAE" w:rsidRPr="004E2BAE" w:rsidRDefault="004E2BAE" w:rsidP="004E2BAE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BAE">
              <w:rPr>
                <w:rFonts w:ascii="Arial" w:hAnsi="Arial" w:cs="Arial"/>
                <w:b/>
                <w:sz w:val="16"/>
                <w:szCs w:val="16"/>
              </w:rPr>
              <w:t>Cena za MJ v Kč bez DPH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E2BAE" w:rsidRPr="004E2BAE" w:rsidRDefault="004E2BAE" w:rsidP="004E2BAE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BAE">
              <w:rPr>
                <w:rFonts w:ascii="Arial" w:hAnsi="Arial" w:cs="Arial"/>
                <w:b/>
                <w:sz w:val="16"/>
                <w:szCs w:val="16"/>
              </w:rPr>
              <w:t xml:space="preserve">DPH 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E2BAE" w:rsidRPr="004E2BAE" w:rsidRDefault="004E2BAE" w:rsidP="004E2BAE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BAE">
              <w:rPr>
                <w:rFonts w:ascii="Arial" w:hAnsi="Arial" w:cs="Arial"/>
                <w:b/>
                <w:sz w:val="16"/>
                <w:szCs w:val="16"/>
              </w:rPr>
              <w:t>Cena za MJ v Kč včetně DPH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4E2BAE" w:rsidRPr="004E2BAE" w:rsidRDefault="004E2BAE" w:rsidP="004E2BAE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BAE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sz w:val="16"/>
                <w:szCs w:val="16"/>
              </w:rPr>
              <w:t>celkem</w:t>
            </w:r>
            <w:r w:rsidRPr="004E2BAE">
              <w:rPr>
                <w:rFonts w:ascii="Arial" w:hAnsi="Arial" w:cs="Arial"/>
                <w:b/>
                <w:sz w:val="16"/>
                <w:szCs w:val="16"/>
              </w:rPr>
              <w:t xml:space="preserve"> v Kč bez DPH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4E2BAE" w:rsidRPr="004E2BAE" w:rsidRDefault="004E2BAE" w:rsidP="00AB4C1E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BAE">
              <w:rPr>
                <w:rFonts w:ascii="Arial" w:hAnsi="Arial" w:cs="Arial"/>
                <w:b/>
                <w:sz w:val="16"/>
                <w:szCs w:val="16"/>
              </w:rPr>
              <w:t xml:space="preserve">DPH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E2BAE" w:rsidRPr="004E2BAE" w:rsidRDefault="004E2BAE" w:rsidP="004E2BAE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BAE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sz w:val="16"/>
                <w:szCs w:val="16"/>
              </w:rPr>
              <w:t>celkem</w:t>
            </w:r>
            <w:r w:rsidRPr="004E2BAE">
              <w:rPr>
                <w:rFonts w:ascii="Arial" w:hAnsi="Arial" w:cs="Arial"/>
                <w:b/>
                <w:sz w:val="16"/>
                <w:szCs w:val="16"/>
              </w:rPr>
              <w:t xml:space="preserve"> v Kč včetně DPH</w:t>
            </w:r>
          </w:p>
        </w:tc>
      </w:tr>
      <w:tr w:rsidR="001A748B" w:rsidRPr="003A65D8" w:rsidTr="001A748B">
        <w:trPr>
          <w:trHeight w:val="347"/>
          <w:jc w:val="center"/>
        </w:trPr>
        <w:tc>
          <w:tcPr>
            <w:tcW w:w="1485" w:type="dxa"/>
            <w:vAlign w:val="center"/>
          </w:tcPr>
          <w:p w:rsidR="001A748B" w:rsidRPr="006044C2" w:rsidRDefault="001A748B" w:rsidP="001A748B">
            <w:pPr>
              <w:pStyle w:val="Odstavec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WLC kontrolér v rackovém </w:t>
            </w:r>
            <w:r w:rsidRPr="006044C2">
              <w:rPr>
                <w:rFonts w:ascii="Arial" w:hAnsi="Arial" w:cs="Arial"/>
                <w:sz w:val="16"/>
                <w:szCs w:val="16"/>
              </w:rPr>
              <w:t>provedení</w:t>
            </w:r>
            <w:r>
              <w:rPr>
                <w:rFonts w:ascii="Arial" w:hAnsi="Arial" w:cs="Arial"/>
                <w:sz w:val="16"/>
                <w:szCs w:val="16"/>
              </w:rPr>
              <w:t xml:space="preserve"> velikost 1U, </w:t>
            </w:r>
            <w:r w:rsidRPr="006044C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2 </w:t>
            </w:r>
            <w:r w:rsidRPr="006044C2">
              <w:rPr>
                <w:rFonts w:ascii="Arial" w:hAnsi="Arial" w:cs="Arial"/>
                <w:sz w:val="16"/>
                <w:szCs w:val="16"/>
              </w:rPr>
              <w:t>napájecí zdroje</w:t>
            </w:r>
          </w:p>
          <w:p w:rsidR="001A748B" w:rsidRPr="004239B6" w:rsidRDefault="001A748B" w:rsidP="001A748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044C2">
              <w:rPr>
                <w:rFonts w:ascii="Arial" w:hAnsi="Arial" w:cs="Arial"/>
                <w:sz w:val="16"/>
                <w:szCs w:val="16"/>
              </w:rPr>
              <w:t>včetně 2ks 10 GB optických převodníků SR a 2ks 10 GB optických převodníků LR</w:t>
            </w:r>
          </w:p>
        </w:tc>
        <w:tc>
          <w:tcPr>
            <w:tcW w:w="466" w:type="dxa"/>
            <w:vAlign w:val="center"/>
          </w:tcPr>
          <w:p w:rsidR="001A748B" w:rsidRPr="004E2BAE" w:rsidRDefault="001A748B" w:rsidP="001A748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BAE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:rsidR="001A748B" w:rsidRPr="001A748B" w:rsidRDefault="001A748B" w:rsidP="001A748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4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1A748B">
              <w:rPr>
                <w:rFonts w:ascii="Arial" w:hAnsi="Arial" w:cs="Arial"/>
                <w:sz w:val="17"/>
                <w:szCs w:val="17"/>
              </w:rPr>
              <w:t>238 548,</w:t>
            </w:r>
            <w:r>
              <w:rPr>
                <w:rFonts w:ascii="Arial" w:hAnsi="Arial" w:cs="Arial"/>
                <w:sz w:val="17"/>
                <w:szCs w:val="17"/>
              </w:rPr>
              <w:t>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50 095,08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288 643,08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1A748B">
              <w:rPr>
                <w:rFonts w:ascii="Arial" w:hAnsi="Arial" w:cs="Arial"/>
                <w:sz w:val="17"/>
                <w:szCs w:val="17"/>
              </w:rPr>
              <w:t>477 096,00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100 190,16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577 286,16</w:t>
            </w:r>
          </w:p>
        </w:tc>
      </w:tr>
      <w:tr w:rsidR="001A748B" w:rsidRPr="003A65D8" w:rsidTr="001A748B">
        <w:trPr>
          <w:trHeight w:val="54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8B" w:rsidRPr="003A65D8" w:rsidRDefault="001A748B" w:rsidP="001A748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Theme="minorHAnsi" w:hAnsiTheme="minorHAnsi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WIFI access point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8B" w:rsidRPr="004E2BAE" w:rsidRDefault="001A748B" w:rsidP="001A748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BAE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748B" w:rsidRPr="001A748B" w:rsidRDefault="001A748B" w:rsidP="001A748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48B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9 909,00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2 080,89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11 989,89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1 050 354,00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220 574,34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1 270 928,34</w:t>
            </w:r>
          </w:p>
        </w:tc>
      </w:tr>
      <w:tr w:rsidR="001A748B" w:rsidRPr="003A65D8" w:rsidTr="001A748B">
        <w:trPr>
          <w:trHeight w:val="697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8B" w:rsidRPr="004239B6" w:rsidRDefault="001A748B" w:rsidP="001A748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B3054">
              <w:rPr>
                <w:rFonts w:ascii="Arial" w:hAnsi="Arial" w:cs="Arial"/>
                <w:sz w:val="16"/>
                <w:szCs w:val="16"/>
              </w:rPr>
              <w:t>Převod stávajících licencí na nové WLC kontroléry, včetně rozšíření licencí o lokalizaci a guest přístup (CMX Base licence) a upgradu licencí pro Cisco Prime (ver. 3.1)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8B" w:rsidRPr="004E2BAE" w:rsidRDefault="001A748B" w:rsidP="001A748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BAE"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748B" w:rsidRPr="001A748B" w:rsidRDefault="001A748B" w:rsidP="001A748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48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4 268,00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896,28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5 164,28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2 134 000,00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448 140,00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color w:val="000000"/>
                <w:sz w:val="17"/>
                <w:szCs w:val="17"/>
              </w:rPr>
              <w:t>2 582 140,00</w:t>
            </w:r>
          </w:p>
        </w:tc>
      </w:tr>
      <w:tr w:rsidR="001A748B" w:rsidRPr="003A65D8" w:rsidTr="001A748B">
        <w:trPr>
          <w:trHeight w:val="697"/>
          <w:jc w:val="center"/>
        </w:trPr>
        <w:tc>
          <w:tcPr>
            <w:tcW w:w="5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8B" w:rsidRPr="004E2BAE" w:rsidRDefault="001A748B" w:rsidP="001A748B">
            <w:pPr>
              <w:pStyle w:val="Odstavec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BAE">
              <w:rPr>
                <w:rFonts w:asciiTheme="minorHAnsi" w:hAnsiTheme="minorHAnsi"/>
                <w:b/>
                <w:sz w:val="22"/>
              </w:rPr>
              <w:t>CELKEM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b/>
                <w:color w:val="000000"/>
                <w:sz w:val="17"/>
                <w:szCs w:val="17"/>
              </w:rPr>
              <w:t>3 661 450,00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b/>
                <w:color w:val="000000"/>
                <w:sz w:val="17"/>
                <w:szCs w:val="17"/>
              </w:rPr>
              <w:t>768 904,50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48B" w:rsidRPr="001A748B" w:rsidRDefault="001A748B" w:rsidP="001A748B">
            <w:pPr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1A748B">
              <w:rPr>
                <w:rFonts w:ascii="Arial" w:hAnsi="Arial" w:cs="Arial"/>
                <w:b/>
                <w:color w:val="000000"/>
                <w:sz w:val="17"/>
                <w:szCs w:val="17"/>
              </w:rPr>
              <w:t>4 430 354,50</w:t>
            </w:r>
          </w:p>
        </w:tc>
      </w:tr>
    </w:tbl>
    <w:p w:rsidR="00C455E4" w:rsidRPr="003A65D8" w:rsidRDefault="00C455E4" w:rsidP="003A65D8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</w:p>
    <w:p w:rsidR="00C455E4" w:rsidRPr="003A65D8" w:rsidRDefault="00417752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Kupní cena je sjednána jako pevná a nejvýše přípustná a zahrnuje veškeré náklady, jejichž vynaložení je nutné na řádné a včasné splnění předmětu smlouvy, zejména náklady na dopravu, </w:t>
      </w:r>
      <w:r w:rsidR="00DB1238">
        <w:rPr>
          <w:rFonts w:asciiTheme="minorHAnsi" w:hAnsiTheme="minorHAnsi"/>
          <w:sz w:val="22"/>
        </w:rPr>
        <w:t xml:space="preserve">kompletaci, </w:t>
      </w:r>
      <w:r w:rsidR="00C455E4" w:rsidRPr="003A65D8">
        <w:rPr>
          <w:rFonts w:asciiTheme="minorHAnsi" w:hAnsiTheme="minorHAnsi"/>
          <w:sz w:val="22"/>
        </w:rPr>
        <w:t>uvedení do provozu, předání a veškeré náklady související (náklady na správní poplatky, daně, cla, schvalovací řízení, provedení předepsaných zkoušek, zabezpečení prohlášení o shodě, certifikátů a atestů, převod práv, pojištění, přepravních nákladů apod).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3.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Kupní cena je maximální a nemůže být navýšena ani v případě zvýšení sazby DPH.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Nadpisodstavce"/>
        <w:jc w:val="center"/>
        <w:rPr>
          <w:b/>
        </w:rPr>
      </w:pPr>
      <w:r w:rsidRPr="003A65D8">
        <w:rPr>
          <w:b/>
        </w:rPr>
        <w:t>V</w:t>
      </w:r>
      <w:r w:rsidR="00C455E4" w:rsidRPr="003A65D8">
        <w:rPr>
          <w:b/>
        </w:rPr>
        <w:t>.</w:t>
      </w:r>
    </w:p>
    <w:p w:rsidR="00C455E4" w:rsidRPr="003A65D8" w:rsidRDefault="00C455E4" w:rsidP="003A65D8">
      <w:pPr>
        <w:pStyle w:val="Nadpisodstavce"/>
        <w:jc w:val="center"/>
        <w:rPr>
          <w:b/>
        </w:rPr>
      </w:pPr>
      <w:r w:rsidRPr="003A65D8">
        <w:rPr>
          <w:b/>
        </w:rPr>
        <w:t>Platební podmínky</w:t>
      </w:r>
    </w:p>
    <w:p w:rsidR="00C455E4" w:rsidRPr="00DC0BF0" w:rsidRDefault="00C455E4" w:rsidP="00DC0BF0">
      <w:p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Kupující neposkytuje a Prodávající není oprávněn požadovat</w:t>
      </w:r>
      <w:r w:rsidR="00C455E4" w:rsidRPr="003A65D8">
        <w:rPr>
          <w:rFonts w:asciiTheme="minorHAnsi" w:hAnsiTheme="minorHAnsi"/>
          <w:color w:val="FF0000"/>
          <w:sz w:val="22"/>
        </w:rPr>
        <w:t xml:space="preserve"> </w:t>
      </w:r>
      <w:r w:rsidR="00C455E4" w:rsidRPr="003A65D8">
        <w:rPr>
          <w:rFonts w:asciiTheme="minorHAnsi" w:hAnsiTheme="minorHAnsi"/>
          <w:sz w:val="22"/>
        </w:rPr>
        <w:t xml:space="preserve">zálohy. Kupní cena bude kupujícím uhrazena na základě faktury vystavené prodávajícím a doručené kupujícímu. Prodávající je oprávněn fakturu vystavit nejdříve po protokolárním předání a převzetí předmětu plnění kupujícím. 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Prodávající je povinen vystavit fakturu s náležitostmi daňového dokladu podle zákona č. 235/2004 Sb., o dani z přidané hodnoty, v platném znění a splatností </w:t>
      </w:r>
      <w:r w:rsidR="00DC0BF0">
        <w:rPr>
          <w:rFonts w:asciiTheme="minorHAnsi" w:hAnsiTheme="minorHAnsi"/>
          <w:sz w:val="22"/>
        </w:rPr>
        <w:t>6</w:t>
      </w:r>
      <w:r w:rsidR="00C455E4" w:rsidRPr="003A65D8">
        <w:rPr>
          <w:rFonts w:asciiTheme="minorHAnsi" w:hAnsiTheme="minorHAnsi"/>
          <w:sz w:val="22"/>
        </w:rPr>
        <w:t xml:space="preserve">0 kalendářních dnů ode dne vystavení faktury kupujícímu a jako přílohu kopii dodacího listu potvrzeného kupujícím. 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DB1238" w:rsidRDefault="00C81129" w:rsidP="00DB1238">
      <w:pPr>
        <w:pStyle w:val="Odstavec"/>
        <w:numPr>
          <w:ilvl w:val="0"/>
          <w:numId w:val="0"/>
        </w:numPr>
        <w:rPr>
          <w:b/>
          <w:sz w:val="22"/>
        </w:rPr>
      </w:pPr>
      <w:r w:rsidRPr="003A65D8">
        <w:rPr>
          <w:rFonts w:asciiTheme="minorHAnsi" w:hAnsiTheme="minorHAnsi"/>
          <w:sz w:val="22"/>
        </w:rPr>
        <w:t>3.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Prodávající je dále povinen, na každé jednotlivé faktuře</w:t>
      </w:r>
      <w:r w:rsidR="008C7CCE">
        <w:rPr>
          <w:rFonts w:asciiTheme="minorHAnsi" w:hAnsiTheme="minorHAnsi"/>
          <w:sz w:val="22"/>
        </w:rPr>
        <w:t>,</w:t>
      </w:r>
      <w:r w:rsidR="00C455E4" w:rsidRPr="003A65D8">
        <w:rPr>
          <w:rFonts w:asciiTheme="minorHAnsi" w:hAnsiTheme="minorHAnsi"/>
          <w:sz w:val="22"/>
        </w:rPr>
        <w:t xml:space="preserve"> vystavené v rámci kupního vztahu založeného touto smlouvou, uvést interní evidenční číslo </w:t>
      </w:r>
      <w:r w:rsidR="00C455E4" w:rsidRPr="00811902">
        <w:rPr>
          <w:rFonts w:asciiTheme="minorHAnsi" w:hAnsiTheme="minorHAnsi"/>
          <w:b/>
          <w:sz w:val="22"/>
        </w:rPr>
        <w:t>VZ</w:t>
      </w:r>
      <w:r w:rsidR="00811902" w:rsidRPr="00811902">
        <w:rPr>
          <w:rFonts w:asciiTheme="minorHAnsi" w:hAnsiTheme="minorHAnsi"/>
          <w:b/>
          <w:sz w:val="22"/>
        </w:rPr>
        <w:t>-2017-000713</w:t>
      </w:r>
      <w:r w:rsidR="00811902">
        <w:rPr>
          <w:bCs/>
        </w:rPr>
        <w:t>.</w:t>
      </w:r>
      <w:r w:rsidR="008C7CCE" w:rsidRPr="008C7CCE">
        <w:rPr>
          <w:rFonts w:asciiTheme="minorHAnsi" w:hAnsiTheme="minorHAnsi"/>
          <w:sz w:val="22"/>
        </w:rPr>
        <w:t xml:space="preserve"> </w:t>
      </w:r>
      <w:r w:rsidR="008C7CCE" w:rsidRPr="00113096">
        <w:rPr>
          <w:rFonts w:asciiTheme="minorHAnsi" w:hAnsiTheme="minorHAnsi"/>
          <w:sz w:val="22"/>
        </w:rPr>
        <w:t xml:space="preserve">Prodávající je dále povinen vystavovat samostatné faktury </w:t>
      </w:r>
      <w:r w:rsidR="008C7CCE">
        <w:rPr>
          <w:rFonts w:asciiTheme="minorHAnsi" w:hAnsiTheme="minorHAnsi"/>
          <w:sz w:val="22"/>
        </w:rPr>
        <w:t xml:space="preserve">s tímto označením </w:t>
      </w:r>
      <w:r w:rsidR="008C7CCE" w:rsidRPr="00113096">
        <w:rPr>
          <w:rFonts w:asciiTheme="minorHAnsi" w:hAnsiTheme="minorHAnsi"/>
          <w:sz w:val="22"/>
        </w:rPr>
        <w:t>pouze na předmět plnění z tohoto smluvního vztahu, tzn. samostatné faktury na zboží dodané na podkladě této smlouvy. Uvede-li na faktuře jiné zboží, nebude takováto faktura kupujícím akceptována a nestane se splatnou, když prodávajícímu vznikne povinnost fakturaci upravit v souladu s tímto ustanovením.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4.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V případě, že faktura nebude splňovat veškeré náležitosti, je kupující oprávněn fakturu prodávajícímu ve lhůtě splatnosti vrátit, přičemž lhůta splatnosti kupní ceny začíná běžet znovu ode dne doručení řádně vystavené faktury kupujícímu.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5.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Kupní cena bude kupujícím uhrazena prodávajícímu převodem na účet uvedený v záhlaví této smlouvy, případně na jiný účet uvedený v příslušné faktuře. Za den úhrady se rozumí den odeslání celé fakturované částky z účtu kupujícího na účet prodávajícího.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Nadpisodstavce"/>
        <w:jc w:val="center"/>
        <w:rPr>
          <w:b/>
        </w:rPr>
      </w:pPr>
      <w:bookmarkStart w:id="5" w:name="_Ref209512769"/>
      <w:bookmarkEnd w:id="1"/>
      <w:bookmarkEnd w:id="3"/>
      <w:bookmarkEnd w:id="4"/>
      <w:r w:rsidRPr="003A65D8">
        <w:rPr>
          <w:b/>
        </w:rPr>
        <w:t>VI</w:t>
      </w:r>
      <w:r w:rsidR="00C455E4" w:rsidRPr="003A65D8">
        <w:rPr>
          <w:b/>
        </w:rPr>
        <w:t>.</w:t>
      </w:r>
    </w:p>
    <w:p w:rsidR="00C455E4" w:rsidRPr="003A65D8" w:rsidRDefault="00C455E4" w:rsidP="003A65D8">
      <w:pPr>
        <w:pStyle w:val="Nadpisodstavce"/>
        <w:jc w:val="center"/>
        <w:rPr>
          <w:b/>
        </w:rPr>
      </w:pPr>
      <w:r w:rsidRPr="003A65D8">
        <w:rPr>
          <w:b/>
        </w:rPr>
        <w:t xml:space="preserve">Záruka </w:t>
      </w:r>
      <w:bookmarkEnd w:id="5"/>
      <w:r w:rsidRPr="003A65D8">
        <w:rPr>
          <w:b/>
        </w:rPr>
        <w:t>za jakost</w:t>
      </w:r>
    </w:p>
    <w:p w:rsidR="00C455E4" w:rsidRPr="00DC0BF0" w:rsidRDefault="00C455E4" w:rsidP="00DC0BF0">
      <w:p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</w:r>
      <w:r w:rsidR="008C7CCE" w:rsidRPr="003A65D8">
        <w:rPr>
          <w:rFonts w:asciiTheme="minorHAnsi" w:hAnsiTheme="minorHAnsi"/>
          <w:sz w:val="22"/>
        </w:rPr>
        <w:t>Prodávající je povinen dodat zboží v množství, jakosti a provedení dle této smlouvy, bez právních či faktických vad. Prodávající poskytuje záruku za jakost předmětu plnění po dobu</w:t>
      </w:r>
      <w:r w:rsidR="008C7CCE">
        <w:rPr>
          <w:rFonts w:asciiTheme="minorHAnsi" w:hAnsiTheme="minorHAnsi"/>
          <w:sz w:val="22"/>
        </w:rPr>
        <w:t xml:space="preserve"> </w:t>
      </w:r>
      <w:r w:rsidR="002005E7">
        <w:rPr>
          <w:rFonts w:asciiTheme="minorHAnsi" w:hAnsiTheme="minorHAnsi"/>
          <w:b/>
          <w:sz w:val="22"/>
        </w:rPr>
        <w:t>36</w:t>
      </w:r>
      <w:r w:rsidR="008C7CCE" w:rsidRPr="00B34EF7">
        <w:rPr>
          <w:rFonts w:asciiTheme="minorHAnsi" w:hAnsiTheme="minorHAnsi" w:cs="Arial"/>
          <w:b/>
          <w:sz w:val="22"/>
        </w:rPr>
        <w:t xml:space="preserve"> </w:t>
      </w:r>
      <w:r w:rsidR="008C7CCE" w:rsidRPr="00B34EF7">
        <w:rPr>
          <w:rFonts w:asciiTheme="minorHAnsi" w:hAnsiTheme="minorHAnsi"/>
          <w:b/>
          <w:sz w:val="22"/>
        </w:rPr>
        <w:t>měsíců</w:t>
      </w:r>
      <w:r w:rsidR="008C7CCE" w:rsidRPr="003A65D8">
        <w:rPr>
          <w:rFonts w:asciiTheme="minorHAnsi" w:hAnsiTheme="minorHAnsi"/>
          <w:sz w:val="22"/>
        </w:rPr>
        <w:t xml:space="preserve"> ode dne uvedení do provozu. V této době odpovídá prodávající za to, že předmět plnění si zachová vlastnosti sjednané touto smlouvou a nejsou-li uvedeny pak obvyklé vlastnosti.</w:t>
      </w:r>
      <w:r w:rsidR="008C7CCE" w:rsidRPr="00B34EF7">
        <w:t xml:space="preserve"> </w:t>
      </w:r>
      <w:r w:rsidR="008C7CCE" w:rsidRPr="00B34EF7">
        <w:rPr>
          <w:sz w:val="22"/>
        </w:rPr>
        <w:t xml:space="preserve">Podpora obsahuje možnost instalace všech nových SW verzí a upgradů (nových funkcionalit), podporu v českém jazyce telefonem nebo e-mailem v režimu </w:t>
      </w:r>
      <w:r w:rsidR="008C7CCE">
        <w:rPr>
          <w:sz w:val="22"/>
        </w:rPr>
        <w:t>5</w:t>
      </w:r>
      <w:r w:rsidR="008C7CCE" w:rsidRPr="00B34EF7">
        <w:rPr>
          <w:sz w:val="22"/>
        </w:rPr>
        <w:t>x</w:t>
      </w:r>
      <w:r w:rsidR="00D2715C">
        <w:rPr>
          <w:sz w:val="22"/>
        </w:rPr>
        <w:t>9</w:t>
      </w:r>
      <w:r w:rsidR="008C7CCE" w:rsidRPr="00B34EF7">
        <w:rPr>
          <w:sz w:val="22"/>
        </w:rPr>
        <w:t>.</w:t>
      </w:r>
      <w:r w:rsidR="008C7CCE">
        <w:rPr>
          <w:sz w:val="22"/>
        </w:rPr>
        <w:t xml:space="preserve"> </w:t>
      </w:r>
      <w:r w:rsidR="008C7CCE" w:rsidRPr="00B34EF7">
        <w:rPr>
          <w:sz w:val="22"/>
        </w:rPr>
        <w:t>Podpora prostřednictvím Internetu umožňuje</w:t>
      </w:r>
      <w:r w:rsidR="008C7CCE" w:rsidRPr="00B34EF7">
        <w:rPr>
          <w:color w:val="FF0000"/>
          <w:sz w:val="22"/>
        </w:rPr>
        <w:t xml:space="preserve"> </w:t>
      </w:r>
      <w:r w:rsidR="008C7CCE" w:rsidRPr="00B34EF7">
        <w:rPr>
          <w:sz w:val="22"/>
        </w:rPr>
        <w:t>stahování ovladačů a manuálů z internetu adresně pro konkrétní zadané zařízení (ev. sériové číslo zařízení).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Po dobu záruční doby provede prodávající bezplatně záruční opravy předmětu plnění včetně dodávek náhradních dílů. 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3.</w:t>
      </w:r>
      <w:r w:rsidRPr="003A65D8">
        <w:rPr>
          <w:rFonts w:asciiTheme="minorHAnsi" w:hAnsiTheme="minorHAnsi"/>
          <w:sz w:val="22"/>
        </w:rPr>
        <w:tab/>
      </w:r>
      <w:r w:rsidR="008C7CCE" w:rsidRPr="003A65D8">
        <w:rPr>
          <w:rFonts w:asciiTheme="minorHAnsi" w:hAnsiTheme="minorHAnsi"/>
          <w:snapToGrid w:val="0"/>
          <w:sz w:val="22"/>
        </w:rPr>
        <w:t>Záruční servis na zboží provádí prodávající</w:t>
      </w:r>
      <w:r w:rsidR="008C7CCE">
        <w:rPr>
          <w:rFonts w:asciiTheme="minorHAnsi" w:hAnsiTheme="minorHAnsi"/>
          <w:snapToGrid w:val="0"/>
          <w:sz w:val="22"/>
        </w:rPr>
        <w:t xml:space="preserve"> a tento je zahrnut v kupní ceně včetně veškerých s tím souvisejících nákladů</w:t>
      </w:r>
      <w:r w:rsidR="008C7CCE" w:rsidRPr="003A65D8">
        <w:rPr>
          <w:rFonts w:asciiTheme="minorHAnsi" w:hAnsiTheme="minorHAnsi"/>
          <w:snapToGrid w:val="0"/>
          <w:sz w:val="22"/>
        </w:rPr>
        <w:t xml:space="preserve">. </w:t>
      </w:r>
      <w:r w:rsidR="00C455E4" w:rsidRPr="003A65D8">
        <w:rPr>
          <w:rFonts w:asciiTheme="minorHAnsi" w:hAnsiTheme="minorHAnsi"/>
          <w:snapToGrid w:val="0"/>
          <w:sz w:val="22"/>
        </w:rPr>
        <w:t xml:space="preserve"> 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4.</w:t>
      </w:r>
      <w:r w:rsidRPr="003A65D8">
        <w:rPr>
          <w:rFonts w:asciiTheme="minorHAnsi" w:hAnsiTheme="minorHAnsi"/>
          <w:sz w:val="22"/>
        </w:rPr>
        <w:tab/>
      </w:r>
      <w:r w:rsidR="008C7CCE" w:rsidRPr="003A65D8">
        <w:rPr>
          <w:rFonts w:asciiTheme="minorHAnsi" w:hAnsiTheme="minorHAnsi"/>
          <w:sz w:val="22"/>
        </w:rPr>
        <w:t xml:space="preserve">Kupující je povinen uplatnit zjištěné vady zboží u prodávajícího bez zbytečného odkladu poté, co je zjistil. Kupující uplatní zjištěné vady písemně na adresu </w:t>
      </w:r>
      <w:r w:rsidR="008C7CCE" w:rsidRPr="003A65D8">
        <w:rPr>
          <w:rFonts w:asciiTheme="minorHAnsi" w:hAnsiTheme="minorHAnsi"/>
          <w:snapToGrid w:val="0"/>
          <w:sz w:val="22"/>
        </w:rPr>
        <w:t xml:space="preserve">prodávajícího uvedenou v záhlaví této smlouvy, </w:t>
      </w:r>
      <w:r w:rsidR="008C7CCE" w:rsidRPr="00EC6FEA">
        <w:rPr>
          <w:snapToGrid w:val="0"/>
          <w:sz w:val="22"/>
        </w:rPr>
        <w:t xml:space="preserve">e-mailem na adrese </w:t>
      </w:r>
      <w:r w:rsidR="002005E7">
        <w:rPr>
          <w:snapToGrid w:val="0"/>
          <w:sz w:val="22"/>
        </w:rPr>
        <w:t>merit</w:t>
      </w:r>
      <w:r w:rsidR="008C7CCE">
        <w:rPr>
          <w:snapToGrid w:val="0"/>
          <w:sz w:val="22"/>
        </w:rPr>
        <w:t>@</w:t>
      </w:r>
      <w:r w:rsidR="002005E7">
        <w:rPr>
          <w:snapToGrid w:val="0"/>
          <w:sz w:val="22"/>
        </w:rPr>
        <w:t>merit.cz</w:t>
      </w:r>
      <w:r w:rsidR="008C7CCE">
        <w:rPr>
          <w:snapToGrid w:val="0"/>
          <w:sz w:val="22"/>
        </w:rPr>
        <w:t xml:space="preserve">, </w:t>
      </w:r>
      <w:r w:rsidR="008C7CCE" w:rsidRPr="003A65D8">
        <w:rPr>
          <w:rFonts w:asciiTheme="minorHAnsi" w:hAnsiTheme="minorHAnsi"/>
          <w:snapToGrid w:val="0"/>
          <w:sz w:val="22"/>
        </w:rPr>
        <w:t xml:space="preserve">faxem na faxovém čísle </w:t>
      </w:r>
      <w:r w:rsidR="002005E7">
        <w:rPr>
          <w:rFonts w:asciiTheme="minorHAnsi" w:hAnsiTheme="minorHAnsi"/>
          <w:snapToGrid w:val="0"/>
          <w:sz w:val="22"/>
        </w:rPr>
        <w:t>+420 585 230 206</w:t>
      </w:r>
      <w:r w:rsidR="008C7CCE" w:rsidRPr="003A65D8">
        <w:rPr>
          <w:rFonts w:asciiTheme="minorHAnsi" w:hAnsiTheme="minorHAnsi"/>
          <w:snapToGrid w:val="0"/>
          <w:sz w:val="22"/>
        </w:rPr>
        <w:t xml:space="preserve"> či</w:t>
      </w:r>
      <w:r w:rsidR="008C7CCE" w:rsidRPr="003A65D8">
        <w:rPr>
          <w:rFonts w:asciiTheme="minorHAnsi" w:hAnsiTheme="minorHAnsi"/>
          <w:sz w:val="22"/>
        </w:rPr>
        <w:t xml:space="preserve"> telefonicky</w:t>
      </w:r>
      <w:r w:rsidR="008C7CCE" w:rsidRPr="003A65D8">
        <w:rPr>
          <w:rFonts w:asciiTheme="minorHAnsi" w:hAnsiTheme="minorHAnsi"/>
          <w:snapToGrid w:val="0"/>
          <w:sz w:val="22"/>
        </w:rPr>
        <w:t xml:space="preserve"> na telefonním čísle </w:t>
      </w:r>
      <w:r w:rsidR="002005E7">
        <w:rPr>
          <w:rFonts w:asciiTheme="minorHAnsi" w:hAnsiTheme="minorHAnsi"/>
          <w:snapToGrid w:val="0"/>
          <w:sz w:val="22"/>
        </w:rPr>
        <w:t>+420 585 226 185.</w:t>
      </w:r>
      <w:r w:rsidR="008C7CCE" w:rsidRPr="003A65D8">
        <w:rPr>
          <w:rFonts w:asciiTheme="minorHAnsi" w:hAnsiTheme="minorHAnsi"/>
          <w:snapToGrid w:val="0"/>
          <w:sz w:val="22"/>
        </w:rPr>
        <w:t xml:space="preserve"> </w:t>
      </w:r>
      <w:r w:rsidR="008C7CCE" w:rsidRPr="00A26D17">
        <w:rPr>
          <w:rFonts w:asciiTheme="minorHAnsi" w:hAnsiTheme="minorHAnsi"/>
          <w:snapToGrid w:val="0"/>
          <w:sz w:val="22"/>
        </w:rPr>
        <w:t>Podpora, v českém jazyce, poskytovaná prostřednictvím telefonní linky bude dostupná v pracovní dny minimálně v době od 8:00 do 1</w:t>
      </w:r>
      <w:r w:rsidR="00D2715C">
        <w:rPr>
          <w:rFonts w:asciiTheme="minorHAnsi" w:hAnsiTheme="minorHAnsi"/>
          <w:snapToGrid w:val="0"/>
          <w:sz w:val="22"/>
        </w:rPr>
        <w:t>7</w:t>
      </w:r>
      <w:r w:rsidR="008C7CCE" w:rsidRPr="00A26D17">
        <w:rPr>
          <w:rFonts w:asciiTheme="minorHAnsi" w:hAnsiTheme="minorHAnsi"/>
          <w:snapToGrid w:val="0"/>
          <w:sz w:val="22"/>
        </w:rPr>
        <w:t>:00 hod</w:t>
      </w:r>
      <w:r w:rsidR="008C7CCE">
        <w:rPr>
          <w:rFonts w:asciiTheme="minorHAnsi" w:hAnsiTheme="minorHAnsi"/>
          <w:snapToGrid w:val="0"/>
          <w:sz w:val="22"/>
        </w:rPr>
        <w:t xml:space="preserve">. </w:t>
      </w:r>
      <w:r w:rsidR="008C7CCE" w:rsidRPr="003A65D8">
        <w:rPr>
          <w:rFonts w:asciiTheme="minorHAnsi" w:hAnsiTheme="minorHAnsi"/>
          <w:snapToGrid w:val="0"/>
          <w:sz w:val="22"/>
        </w:rPr>
        <w:t>Dnem nahlášení vady je den, kdy prodávající obdržel oznámení zjištěných vad nebo den, ve kterém byly zjištěné vady oznámeny kupujícím telefonicky</w:t>
      </w:r>
      <w:r w:rsidR="008C7CCE" w:rsidRPr="003A65D8">
        <w:rPr>
          <w:rFonts w:asciiTheme="minorHAnsi" w:hAnsiTheme="minorHAnsi"/>
          <w:sz w:val="22"/>
        </w:rPr>
        <w:t xml:space="preserve">. </w:t>
      </w:r>
      <w:r w:rsidR="008C7CCE" w:rsidRPr="003A65D8">
        <w:rPr>
          <w:rFonts w:asciiTheme="minorHAnsi" w:hAnsiTheme="minorHAnsi"/>
          <w:snapToGrid w:val="0"/>
          <w:sz w:val="22"/>
        </w:rPr>
        <w:t>Kupující je oprávněn vybrat si způsob uplatnění vad nebo uplatnit zjištěné vady více způsoby, v tom případě je dnem nahlášení vady den, který podle výše uvedeného určení dne nahlášení vady nastane jako první.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5.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Kupujícímu náleží právo volby mezi nároky z vad dodaného plnění, přičemž je oprávněn po prodávajícím:</w:t>
      </w: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i</w:t>
      </w:r>
      <w:r w:rsidR="00C455E4" w:rsidRPr="003A65D8">
        <w:rPr>
          <w:rFonts w:asciiTheme="minorHAnsi" w:hAnsiTheme="minorHAnsi"/>
          <w:sz w:val="22"/>
        </w:rPr>
        <w:t>. nárokovat dodání chybějícího plnění;</w:t>
      </w: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ind w:firstLine="708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ii</w:t>
      </w:r>
      <w:r w:rsidR="00C455E4" w:rsidRPr="003A65D8">
        <w:rPr>
          <w:rFonts w:asciiTheme="minorHAnsi" w:hAnsiTheme="minorHAnsi"/>
          <w:sz w:val="22"/>
        </w:rPr>
        <w:t>. nárokovat odstranění vad opravou plnění;</w:t>
      </w: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ind w:firstLine="708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iii</w:t>
      </w:r>
      <w:r w:rsidR="00C455E4" w:rsidRPr="003A65D8">
        <w:rPr>
          <w:rFonts w:asciiTheme="minorHAnsi" w:hAnsiTheme="minorHAnsi"/>
          <w:sz w:val="22"/>
        </w:rPr>
        <w:t>. nárokovat dodání náhradního zboží za vadné plnění;</w:t>
      </w: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ind w:firstLine="708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iv</w:t>
      </w:r>
      <w:r w:rsidR="00C455E4" w:rsidRPr="003A65D8">
        <w:rPr>
          <w:rFonts w:asciiTheme="minorHAnsi" w:hAnsiTheme="minorHAnsi"/>
          <w:sz w:val="22"/>
        </w:rPr>
        <w:t>. nárokovat slevu z kupní ceny v rozsahu ceny vadného či nedodaného plnění;, nebo</w:t>
      </w: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v</w:t>
      </w:r>
      <w:r w:rsidR="00C455E4" w:rsidRPr="003A65D8">
        <w:rPr>
          <w:rFonts w:asciiTheme="minorHAnsi" w:hAnsiTheme="minorHAnsi"/>
          <w:sz w:val="22"/>
        </w:rPr>
        <w:t xml:space="preserve">. odstoupit od této smlouvy, bude-li se jednat o podstatnou vadu plnění. 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6.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Prodávající je povinen nastoupit k odstranění nahlášené vady bez zbytečného odkladu, nejpozději však </w:t>
      </w:r>
      <w:r w:rsidR="00DC0BF0">
        <w:rPr>
          <w:rFonts w:asciiTheme="minorHAnsi" w:hAnsiTheme="minorHAnsi"/>
          <w:sz w:val="22"/>
        </w:rPr>
        <w:t>následující pracovní den</w:t>
      </w:r>
      <w:r w:rsidR="00C455E4" w:rsidRPr="003A65D8">
        <w:rPr>
          <w:rFonts w:asciiTheme="minorHAnsi" w:hAnsiTheme="minorHAnsi"/>
          <w:sz w:val="22"/>
        </w:rPr>
        <w:t xml:space="preserve"> ode dne nahlášení vady.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7.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napToGrid w:val="0"/>
          <w:sz w:val="22"/>
        </w:rPr>
        <w:t>Prodávající</w:t>
      </w:r>
      <w:r w:rsidR="00C455E4" w:rsidRPr="003A65D8">
        <w:rPr>
          <w:rFonts w:asciiTheme="minorHAnsi" w:hAnsiTheme="minorHAnsi"/>
          <w:sz w:val="22"/>
        </w:rPr>
        <w:t xml:space="preserve"> je </w:t>
      </w:r>
      <w:r w:rsidR="00C455E4" w:rsidRPr="003A65D8">
        <w:rPr>
          <w:rFonts w:asciiTheme="minorHAnsi" w:hAnsiTheme="minorHAnsi"/>
          <w:snapToGrid w:val="0"/>
          <w:sz w:val="22"/>
        </w:rPr>
        <w:t>povinen</w:t>
      </w:r>
      <w:r w:rsidR="00C455E4" w:rsidRPr="003A65D8">
        <w:rPr>
          <w:rFonts w:asciiTheme="minorHAnsi" w:hAnsiTheme="minorHAnsi"/>
          <w:sz w:val="22"/>
        </w:rPr>
        <w:t xml:space="preserve"> odstranit nahlášené vady bez zbytečného odkladu, nejpozději však do </w:t>
      </w:r>
      <w:r w:rsidR="00DC0BF0">
        <w:rPr>
          <w:rFonts w:asciiTheme="minorHAnsi" w:hAnsiTheme="minorHAnsi"/>
          <w:sz w:val="22"/>
        </w:rPr>
        <w:t>5-ti</w:t>
      </w:r>
      <w:r w:rsidR="00C455E4" w:rsidRPr="003A65D8">
        <w:rPr>
          <w:rFonts w:asciiTheme="minorHAnsi" w:hAnsiTheme="minorHAnsi"/>
          <w:sz w:val="22"/>
        </w:rPr>
        <w:t xml:space="preserve"> dnů ode dne nahlášení vady. 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8.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V případě, že </w:t>
      </w:r>
      <w:r w:rsidR="00C455E4" w:rsidRPr="003A65D8">
        <w:rPr>
          <w:rFonts w:asciiTheme="minorHAnsi" w:hAnsiTheme="minorHAnsi"/>
          <w:snapToGrid w:val="0"/>
          <w:sz w:val="22"/>
        </w:rPr>
        <w:t>prodávající</w:t>
      </w:r>
      <w:r w:rsidR="00C455E4" w:rsidRPr="003A65D8">
        <w:rPr>
          <w:rFonts w:asciiTheme="minorHAnsi" w:hAnsiTheme="minorHAnsi"/>
          <w:sz w:val="22"/>
        </w:rPr>
        <w:t xml:space="preserve"> nenastoupí k odstranění nahlášené vady ve lhůtě podle bodu </w:t>
      </w:r>
      <w:r w:rsidR="00FE129F">
        <w:rPr>
          <w:rFonts w:asciiTheme="minorHAnsi" w:hAnsiTheme="minorHAnsi"/>
          <w:sz w:val="22"/>
        </w:rPr>
        <w:t>VI</w:t>
      </w:r>
      <w:r w:rsidR="00C455E4" w:rsidRPr="003A65D8">
        <w:rPr>
          <w:rFonts w:asciiTheme="minorHAnsi" w:hAnsiTheme="minorHAnsi"/>
          <w:sz w:val="22"/>
        </w:rPr>
        <w:t xml:space="preserve">.6 této smlouvy, je </w:t>
      </w:r>
      <w:r w:rsidR="00C455E4" w:rsidRPr="003A65D8">
        <w:rPr>
          <w:rFonts w:asciiTheme="minorHAnsi" w:hAnsiTheme="minorHAnsi"/>
          <w:snapToGrid w:val="0"/>
          <w:sz w:val="22"/>
        </w:rPr>
        <w:t>prodávající</w:t>
      </w:r>
      <w:r w:rsidR="00C455E4" w:rsidRPr="003A65D8">
        <w:rPr>
          <w:rFonts w:asciiTheme="minorHAnsi" w:hAnsiTheme="minorHAnsi"/>
          <w:sz w:val="22"/>
        </w:rPr>
        <w:t xml:space="preserve"> povinen uhradit kupujícímu smluvní pokutu ve výši 0,5% z  kupní ceny, a to za každý i započatý den prodlení. Nárok kupujícího na náhradu škody tím není dotčen.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9.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V případě, že </w:t>
      </w:r>
      <w:r w:rsidR="00C455E4" w:rsidRPr="003A65D8">
        <w:rPr>
          <w:rFonts w:asciiTheme="minorHAnsi" w:hAnsiTheme="minorHAnsi"/>
          <w:snapToGrid w:val="0"/>
          <w:sz w:val="22"/>
        </w:rPr>
        <w:t>prodávající</w:t>
      </w:r>
      <w:r w:rsidR="00C455E4" w:rsidRPr="003A65D8">
        <w:rPr>
          <w:rFonts w:asciiTheme="minorHAnsi" w:hAnsiTheme="minorHAnsi"/>
          <w:sz w:val="22"/>
        </w:rPr>
        <w:t xml:space="preserve"> neodstraní vadu nahlášenou ve lhůtě podle bodu </w:t>
      </w:r>
      <w:r w:rsidR="00FE129F">
        <w:rPr>
          <w:rFonts w:asciiTheme="minorHAnsi" w:hAnsiTheme="minorHAnsi"/>
          <w:sz w:val="22"/>
        </w:rPr>
        <w:t>VI</w:t>
      </w:r>
      <w:r w:rsidR="00C455E4" w:rsidRPr="003A65D8">
        <w:rPr>
          <w:rFonts w:asciiTheme="minorHAnsi" w:hAnsiTheme="minorHAnsi"/>
          <w:sz w:val="22"/>
        </w:rPr>
        <w:t xml:space="preserve">.7 této smlouvy, je </w:t>
      </w:r>
      <w:r w:rsidR="00C455E4" w:rsidRPr="003A65D8">
        <w:rPr>
          <w:rFonts w:asciiTheme="minorHAnsi" w:hAnsiTheme="minorHAnsi"/>
          <w:snapToGrid w:val="0"/>
          <w:sz w:val="22"/>
        </w:rPr>
        <w:t>prodávající</w:t>
      </w:r>
      <w:r w:rsidR="00C455E4" w:rsidRPr="003A65D8">
        <w:rPr>
          <w:rFonts w:asciiTheme="minorHAnsi" w:hAnsiTheme="minorHAnsi"/>
          <w:sz w:val="22"/>
        </w:rPr>
        <w:t xml:space="preserve"> povinen uhradit kupujícímu smluvní pokutu ve výši 0,5% z  kupní ceny, a to za každý i započatý den prodlení. Nárok kupujícího na náhradu škody tím není dotčen.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10.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Neodstraní-li prodávající vady předmětu plnění v souladu s touto smlouvou řádně a včas, a to ani v dodatečné přiměřené lhůtě poskytnuté mu k tomu kupujícím, je kupující oprávněn nechat odstranit vady předmětu třetí osobou. Prodávající se pak zavazuje nahradit kupujícímu veškeré účelně vynaložené a prokázané náklady na odstranění vad předmětu plnění třetí osobou. Tímto není dotčen nárok kupujícího na náhradu škody, jakož ani nárok na zaplacení smluvní pokuty dle odst. </w:t>
      </w:r>
      <w:r w:rsidR="00C2024B">
        <w:rPr>
          <w:rFonts w:asciiTheme="minorHAnsi" w:hAnsiTheme="minorHAnsi"/>
          <w:sz w:val="22"/>
        </w:rPr>
        <w:t>VI</w:t>
      </w:r>
      <w:r w:rsidR="00C455E4" w:rsidRPr="003A65D8">
        <w:rPr>
          <w:rFonts w:asciiTheme="minorHAnsi" w:hAnsiTheme="minorHAnsi"/>
          <w:sz w:val="22"/>
        </w:rPr>
        <w:t xml:space="preserve">.8. a </w:t>
      </w:r>
      <w:r w:rsidR="00C2024B">
        <w:rPr>
          <w:rFonts w:asciiTheme="minorHAnsi" w:hAnsiTheme="minorHAnsi"/>
          <w:sz w:val="22"/>
        </w:rPr>
        <w:t>VI</w:t>
      </w:r>
      <w:r w:rsidR="00C455E4" w:rsidRPr="003A65D8">
        <w:rPr>
          <w:rFonts w:asciiTheme="minorHAnsi" w:hAnsiTheme="minorHAnsi"/>
          <w:sz w:val="22"/>
        </w:rPr>
        <w:t xml:space="preserve">.9. 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11.</w:t>
      </w:r>
      <w:r w:rsidRPr="003A65D8">
        <w:rPr>
          <w:rFonts w:asciiTheme="minorHAnsi" w:hAnsiTheme="minorHAnsi"/>
          <w:sz w:val="22"/>
        </w:rPr>
        <w:tab/>
      </w:r>
      <w:r w:rsidR="00C2024B" w:rsidRPr="003A65D8">
        <w:rPr>
          <w:rFonts w:asciiTheme="minorHAnsi" w:hAnsiTheme="minorHAnsi"/>
          <w:sz w:val="22"/>
        </w:rPr>
        <w:t>Prodávající odpovídá za to, že zboží nemá právní vady. Uplatní-li třetí osoba vůči kupujícímu jakékoli nároky z titulu svého průmyslového nebo jiného duševního vlastnictví včetně práva autorského ke zboží, je prodávající vlastním jménem povinen tyto nároky na své náklady vypořádat včetně případného soudního sporu.</w:t>
      </w:r>
      <w:r w:rsidR="00C2024B" w:rsidRPr="00A121C4">
        <w:rPr>
          <w:rFonts w:asciiTheme="minorHAnsi" w:hAnsiTheme="minorHAnsi"/>
          <w:sz w:val="22"/>
        </w:rPr>
        <w:t xml:space="preserve"> Uvedený závazek prodávajícího trvá i po ukončení záruky.</w:t>
      </w:r>
      <w:r w:rsidR="00C2024B" w:rsidRPr="00A121C4">
        <w:rPr>
          <w:sz w:val="22"/>
        </w:rPr>
        <w:t xml:space="preserve"> </w:t>
      </w:r>
    </w:p>
    <w:p w:rsidR="00DC0BF0" w:rsidRDefault="00DC0BF0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DC0BF0" w:rsidRDefault="00DC0BF0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12.</w:t>
      </w:r>
      <w:r>
        <w:rPr>
          <w:rFonts w:asciiTheme="minorHAnsi" w:hAnsiTheme="minorHAnsi"/>
          <w:sz w:val="22"/>
        </w:rPr>
        <w:tab/>
      </w:r>
      <w:r w:rsidRPr="00DC0BF0">
        <w:rPr>
          <w:rFonts w:asciiTheme="minorHAnsi" w:hAnsiTheme="minorHAnsi"/>
          <w:sz w:val="22"/>
        </w:rPr>
        <w:t>Prodávající má řádným způsobem uzavřenou dohodu o podpoře s výrobcem zařízení tak, aby v případě závady na dodaných zařízeních, kterou není Prodávající schopen sám odstranit, mohl Kupující tuto závadu sám eskalovat přímo k výrobci zařízení.  Zároveň Prodávající zajistí Kupujícímu přístup k dokumentaci výrobce zařízení a znalostní bázi, kterou výrobce v rámci své podpory poskytuje.</w:t>
      </w:r>
    </w:p>
    <w:p w:rsidR="00DC0BF0" w:rsidRDefault="00DC0BF0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DC0BF0" w:rsidRDefault="00DC0BF0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13.</w:t>
      </w:r>
      <w:r>
        <w:rPr>
          <w:rFonts w:asciiTheme="minorHAnsi" w:hAnsiTheme="minorHAnsi"/>
          <w:sz w:val="22"/>
        </w:rPr>
        <w:tab/>
      </w:r>
      <w:r w:rsidR="001B3054" w:rsidRPr="001B3054">
        <w:rPr>
          <w:sz w:val="22"/>
        </w:rPr>
        <w:t xml:space="preserve">V databázi výrobce musí být </w:t>
      </w:r>
      <w:r w:rsidR="001B3054">
        <w:rPr>
          <w:sz w:val="22"/>
        </w:rPr>
        <w:t>Kupující</w:t>
      </w:r>
      <w:r w:rsidR="001B3054" w:rsidRPr="001B3054">
        <w:rPr>
          <w:sz w:val="22"/>
        </w:rPr>
        <w:t xml:space="preserve"> veden jako první uživatel zboží. </w:t>
      </w:r>
      <w:r w:rsidR="001B3054">
        <w:rPr>
          <w:sz w:val="22"/>
        </w:rPr>
        <w:t>Kupující</w:t>
      </w:r>
      <w:r w:rsidR="001B3054" w:rsidRPr="001B3054">
        <w:rPr>
          <w:sz w:val="22"/>
        </w:rPr>
        <w:t xml:space="preserve"> požaduje originální a nová zařízení.  </w:t>
      </w:r>
      <w:r w:rsidR="001B3054">
        <w:rPr>
          <w:sz w:val="22"/>
        </w:rPr>
        <w:t>Prodávající</w:t>
      </w:r>
      <w:r w:rsidR="001B3054" w:rsidRPr="001B3054">
        <w:rPr>
          <w:sz w:val="22"/>
        </w:rPr>
        <w:t xml:space="preserve"> je povinen doložit potvrzení od výrobce o určení dodávaného HW pro evropský trh a koncového zákazníka FN Olomouc (včetn</w:t>
      </w:r>
      <w:r w:rsidR="00ED3FDE">
        <w:rPr>
          <w:sz w:val="22"/>
        </w:rPr>
        <w:t>ě</w:t>
      </w:r>
      <w:r w:rsidR="001B3054" w:rsidRPr="001B3054">
        <w:rPr>
          <w:sz w:val="22"/>
        </w:rPr>
        <w:t xml:space="preserve"> sériových čísel dodávaných zařízení), pokud ho o to </w:t>
      </w:r>
      <w:r w:rsidR="001B3054">
        <w:rPr>
          <w:sz w:val="22"/>
        </w:rPr>
        <w:t>Kupující</w:t>
      </w:r>
      <w:r w:rsidR="001B3054" w:rsidRPr="001B3054">
        <w:rPr>
          <w:sz w:val="22"/>
        </w:rPr>
        <w:t xml:space="preserve"> při dodání zařízení požádá.</w:t>
      </w:r>
    </w:p>
    <w:p w:rsidR="00D006B0" w:rsidRDefault="00D006B0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1B3054" w:rsidRDefault="00D006B0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583E92">
        <w:rPr>
          <w:sz w:val="22"/>
        </w:rPr>
        <w:lastRenderedPageBreak/>
        <w:t>14.</w:t>
      </w:r>
      <w:r w:rsidRPr="00583E92">
        <w:rPr>
          <w:sz w:val="22"/>
        </w:rPr>
        <w:tab/>
      </w:r>
      <w:r w:rsidRPr="00D006B0">
        <w:rPr>
          <w:sz w:val="22"/>
        </w:rPr>
        <w:t xml:space="preserve">Prodávající odpovídá za to, že všechny síťové komponenty jsou od jednoho výrobce, všechny síťové komponenty jsou </w:t>
      </w:r>
      <w:r w:rsidR="00C2024B">
        <w:rPr>
          <w:sz w:val="22"/>
        </w:rPr>
        <w:t>plně</w:t>
      </w:r>
      <w:r w:rsidRPr="00D006B0">
        <w:rPr>
          <w:sz w:val="22"/>
        </w:rPr>
        <w:t xml:space="preserve"> kompatibilní se stávajícími síťovými aktivními prvky Cisco Catalyst C2960S, Cisco Catalyst C2960-X, Cisco Catalyst C3750-X, Cisco Catalyst C4500-X, </w:t>
      </w:r>
      <w:r w:rsidR="004D21C7">
        <w:rPr>
          <w:sz w:val="22"/>
        </w:rPr>
        <w:t>C</w:t>
      </w:r>
      <w:r w:rsidRPr="00D006B0">
        <w:rPr>
          <w:sz w:val="22"/>
        </w:rPr>
        <w:t>isco Catalyst 6509 se supervizorem VS-S2T-10G. Prvky jsou plně spravovatelné pomocí aplikace Cisco Prime</w:t>
      </w:r>
      <w:r w:rsidR="004D21C7">
        <w:rPr>
          <w:sz w:val="22"/>
        </w:rPr>
        <w:t xml:space="preserve"> a Zabbix</w:t>
      </w:r>
      <w:r w:rsidRPr="00D006B0">
        <w:rPr>
          <w:sz w:val="22"/>
        </w:rPr>
        <w:t>.</w:t>
      </w:r>
      <w:r w:rsidR="004D21C7">
        <w:rPr>
          <w:sz w:val="22"/>
        </w:rPr>
        <w:t xml:space="preserve"> </w:t>
      </w:r>
      <w:r w:rsidR="004D21C7" w:rsidRPr="004D21C7">
        <w:rPr>
          <w:sz w:val="22"/>
        </w:rPr>
        <w:t>Prvky budou integrovatelné do Cisco ISE</w:t>
      </w:r>
      <w:r w:rsidR="004D21C7">
        <w:rPr>
          <w:sz w:val="22"/>
        </w:rPr>
        <w:t>.</w:t>
      </w:r>
    </w:p>
    <w:p w:rsidR="00583E92" w:rsidRDefault="00583E92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583E92" w:rsidRDefault="00583E92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15.</w:t>
      </w:r>
      <w:r>
        <w:rPr>
          <w:sz w:val="22"/>
        </w:rPr>
        <w:tab/>
        <w:t>Prodávající</w:t>
      </w:r>
      <w:r w:rsidRPr="00583E92">
        <w:rPr>
          <w:sz w:val="22"/>
        </w:rPr>
        <w:t xml:space="preserve"> poskytne Kupujícímu  po dobu trvání záruky a podpory všechny relevantní SW releases a verze SW u aktivních prvků a minoritní SW releases u aplikačního SW nabízené výrobcem tak, aby dodané řešení vyhovovalo  zadání a fungovalo bez závad.</w:t>
      </w:r>
    </w:p>
    <w:p w:rsidR="00583E92" w:rsidRDefault="00583E92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583E92" w:rsidRDefault="00583E92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 xml:space="preserve">16. </w:t>
      </w:r>
      <w:r>
        <w:rPr>
          <w:sz w:val="22"/>
        </w:rPr>
        <w:tab/>
        <w:t>Prodávající</w:t>
      </w:r>
      <w:r w:rsidRPr="00583E92">
        <w:rPr>
          <w:sz w:val="22"/>
        </w:rPr>
        <w:t xml:space="preserve"> se zavazuje informovat Kupujícího o nových SW verzích a funkčnostech, které mohou rozšiřovat dodané řešení způsobem, který Kupující shledá ve shodě s potřebami dalšího rozvoje dodaného řešení</w:t>
      </w:r>
      <w:r>
        <w:rPr>
          <w:sz w:val="22"/>
        </w:rPr>
        <w:t>.</w:t>
      </w:r>
    </w:p>
    <w:p w:rsidR="00583E92" w:rsidRDefault="00583E92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583E92" w:rsidRDefault="00583E92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17.</w:t>
      </w:r>
      <w:r>
        <w:rPr>
          <w:sz w:val="22"/>
        </w:rPr>
        <w:tab/>
        <w:t>Prodávající</w:t>
      </w:r>
      <w:r w:rsidRPr="00583E92">
        <w:rPr>
          <w:sz w:val="22"/>
        </w:rPr>
        <w:t xml:space="preserve"> se zavazuje získat potřebné SW produkty legálním způsobem za podmínek stvrzených výrobcem zařízení</w:t>
      </w:r>
      <w:r>
        <w:rPr>
          <w:sz w:val="22"/>
        </w:rPr>
        <w:t>.</w:t>
      </w:r>
    </w:p>
    <w:p w:rsidR="00583E92" w:rsidRDefault="00583E92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583E92" w:rsidRDefault="00583E92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18.</w:t>
      </w:r>
      <w:r>
        <w:rPr>
          <w:sz w:val="22"/>
        </w:rPr>
        <w:tab/>
        <w:t>Prodávající</w:t>
      </w:r>
      <w:r w:rsidRPr="00583E92">
        <w:rPr>
          <w:sz w:val="22"/>
        </w:rPr>
        <w:t xml:space="preserve"> garantuje podporu prostřednictvím Internetu, která umožňuje stahování ovladačů a manuálů z internetu adresně pro konkrétní zadané sériové číslo zařízení.</w:t>
      </w:r>
    </w:p>
    <w:p w:rsidR="001B3054" w:rsidRDefault="001B3054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1B3054" w:rsidRPr="00583E92" w:rsidRDefault="001B3054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19.</w:t>
      </w:r>
      <w:r>
        <w:rPr>
          <w:sz w:val="22"/>
        </w:rPr>
        <w:tab/>
        <w:t>Prodávající</w:t>
      </w:r>
      <w:r w:rsidRPr="001B3054">
        <w:rPr>
          <w:sz w:val="22"/>
        </w:rPr>
        <w:t xml:space="preserve"> musí prokázat odkazem na veřejně dostupné webové stránky výrobce a potvrzením od něj, že výrobce nabízených aktivních síťových prvků má implementován tzv. “SDL - secure development lifecycle “ při vývoji svých produktů a tzv. “SIRT - Security Incident Response Team” pro reportování bezpečnostních incidentů spojených s nabízenými produkty.</w:t>
      </w:r>
    </w:p>
    <w:p w:rsidR="003A65D8" w:rsidRPr="00583E92" w:rsidRDefault="003A65D8" w:rsidP="003A65D8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81129" w:rsidRPr="003A65D8" w:rsidRDefault="00C81129" w:rsidP="003A65D8">
      <w:pPr>
        <w:pStyle w:val="Nadpisodstavce"/>
        <w:jc w:val="center"/>
        <w:rPr>
          <w:b/>
        </w:rPr>
      </w:pPr>
      <w:r w:rsidRPr="003A65D8">
        <w:rPr>
          <w:b/>
        </w:rPr>
        <w:t>VII</w:t>
      </w:r>
      <w:r w:rsidR="00C455E4" w:rsidRPr="003A65D8">
        <w:rPr>
          <w:b/>
        </w:rPr>
        <w:t>.</w:t>
      </w:r>
    </w:p>
    <w:p w:rsidR="00C455E4" w:rsidRPr="003A65D8" w:rsidRDefault="00C455E4" w:rsidP="003A65D8">
      <w:pPr>
        <w:pStyle w:val="Nadpisodstavce"/>
        <w:jc w:val="center"/>
        <w:rPr>
          <w:b/>
        </w:rPr>
      </w:pPr>
      <w:r w:rsidRPr="003A65D8">
        <w:rPr>
          <w:b/>
        </w:rPr>
        <w:t>Software</w:t>
      </w:r>
    </w:p>
    <w:p w:rsidR="00C455E4" w:rsidRPr="00D006B0" w:rsidRDefault="00C455E4" w:rsidP="00D006B0">
      <w:pPr>
        <w:spacing w:line="276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Pokud je součástí předmětu plnění dodávka softwarových produktů, pak se kupujícímu vyhrazuje časově neomezené, nikoliv výhradní a přenosné právo užívat tyto softwarové produkty na zboží, se kterým byly dodány, a to v nezměněné formě.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 w:cs="Arial"/>
          <w:sz w:val="22"/>
        </w:rPr>
        <w:t>Úplata za užívání softwarových produktů poskytnutých k předmětu plnění je obsažena v kupní ceně a prodávající prohlašuje, že užívání softwaru kupujícím nebrání jakákoliv překážka faktická či právní, vyplvající zejména z předpisů o právu autorském.</w:t>
      </w:r>
    </w:p>
    <w:p w:rsidR="00C81129" w:rsidRPr="003A65D8" w:rsidRDefault="00C81129" w:rsidP="003A65D8">
      <w:pPr>
        <w:pStyle w:val="Nadpisodstavce"/>
      </w:pPr>
    </w:p>
    <w:p w:rsidR="00C81129" w:rsidRPr="003A65D8" w:rsidRDefault="00D006B0" w:rsidP="003A65D8">
      <w:pPr>
        <w:pStyle w:val="Nadpisodstavce"/>
        <w:jc w:val="center"/>
        <w:rPr>
          <w:b/>
        </w:rPr>
      </w:pPr>
      <w:r>
        <w:rPr>
          <w:b/>
        </w:rPr>
        <w:t>VIII</w:t>
      </w:r>
      <w:r w:rsidR="00C455E4" w:rsidRPr="003A65D8">
        <w:rPr>
          <w:b/>
        </w:rPr>
        <w:t>.</w:t>
      </w:r>
    </w:p>
    <w:p w:rsidR="00C455E4" w:rsidRPr="003A65D8" w:rsidRDefault="00C455E4" w:rsidP="003A65D8">
      <w:pPr>
        <w:pStyle w:val="Nadpisodstavce"/>
        <w:jc w:val="center"/>
        <w:rPr>
          <w:b/>
        </w:rPr>
      </w:pPr>
      <w:r w:rsidRPr="003A65D8">
        <w:rPr>
          <w:b/>
        </w:rPr>
        <w:t>Odstoupení od smlouvy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 xml:space="preserve">Kterákoliv ze smluvních stran je oprávněna od této smlouvy odstoupit v případě jejího podstatného porušení druhou smluvní stranou. </w:t>
      </w:r>
      <w:r w:rsidR="00C455E4" w:rsidRPr="003A65D8">
        <w:rPr>
          <w:rFonts w:asciiTheme="minorHAnsi" w:hAnsiTheme="minorHAnsi"/>
          <w:color w:val="000000"/>
          <w:sz w:val="22"/>
        </w:rPr>
        <w:t xml:space="preserve">Za podstatné porušení této smlouvy ze strany prodávajícího bude považováno zejména prodlení s dodáním předmětu plnění po dobu delší než 15 dnů, pokud toto prodlení bude způsobeno důvody na straně prodávajícího a dále, pokud objem </w:t>
      </w:r>
      <w:r w:rsidR="00C455E4" w:rsidRPr="003A65D8">
        <w:rPr>
          <w:rFonts w:asciiTheme="minorHAnsi" w:hAnsiTheme="minorHAnsi"/>
          <w:sz w:val="22"/>
        </w:rPr>
        <w:t>vadného/nedodaného plnění bude odpovídat alespoň 5% celkového objemu dodávky, který je touto smlouvou předpokládán.</w:t>
      </w:r>
    </w:p>
    <w:p w:rsidR="00C81129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455E4" w:rsidRPr="003A65D8" w:rsidRDefault="00C81129" w:rsidP="003A65D8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lastRenderedPageBreak/>
        <w:t>2.</w:t>
      </w:r>
      <w:r w:rsidRPr="003A65D8">
        <w:rPr>
          <w:rFonts w:asciiTheme="minorHAnsi" w:hAnsiTheme="minorHAnsi"/>
          <w:sz w:val="22"/>
        </w:rPr>
        <w:tab/>
      </w:r>
      <w:r w:rsidR="00C455E4" w:rsidRPr="003A65D8">
        <w:rPr>
          <w:rFonts w:asciiTheme="minorHAnsi" w:hAnsiTheme="minorHAnsi"/>
          <w:sz w:val="22"/>
        </w:rPr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C81129" w:rsidRPr="003A65D8" w:rsidRDefault="00C81129" w:rsidP="003A65D8">
      <w:pPr>
        <w:pStyle w:val="Textkomente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C81129" w:rsidRPr="003A65D8" w:rsidRDefault="00C81129" w:rsidP="003A65D8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65D8">
        <w:rPr>
          <w:rFonts w:asciiTheme="minorHAnsi" w:hAnsiTheme="minorHAnsi"/>
          <w:sz w:val="22"/>
          <w:szCs w:val="22"/>
        </w:rPr>
        <w:t>3.</w:t>
      </w:r>
      <w:r w:rsidRPr="003A65D8">
        <w:rPr>
          <w:rFonts w:asciiTheme="minorHAnsi" w:hAnsiTheme="minorHAnsi"/>
          <w:sz w:val="22"/>
          <w:szCs w:val="22"/>
        </w:rPr>
        <w:tab/>
      </w:r>
      <w:r w:rsidR="00C455E4" w:rsidRPr="003A65D8">
        <w:rPr>
          <w:rFonts w:asciiTheme="minorHAnsi" w:hAnsiTheme="minorHAnsi"/>
          <w:sz w:val="22"/>
          <w:szCs w:val="22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C81129" w:rsidRPr="003A65D8" w:rsidRDefault="00C81129" w:rsidP="003A65D8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455E4" w:rsidRPr="003A65D8" w:rsidRDefault="00C81129" w:rsidP="003A65D8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65D8">
        <w:rPr>
          <w:rFonts w:asciiTheme="minorHAnsi" w:hAnsiTheme="minorHAnsi"/>
          <w:sz w:val="22"/>
          <w:szCs w:val="22"/>
        </w:rPr>
        <w:t>4.</w:t>
      </w:r>
      <w:r w:rsidRPr="003A65D8">
        <w:rPr>
          <w:rFonts w:asciiTheme="minorHAnsi" w:hAnsiTheme="minorHAnsi"/>
          <w:sz w:val="22"/>
          <w:szCs w:val="22"/>
        </w:rPr>
        <w:tab/>
      </w:r>
      <w:r w:rsidR="00C455E4" w:rsidRPr="003A65D8">
        <w:rPr>
          <w:rFonts w:asciiTheme="minorHAnsi" w:hAnsiTheme="minorHAnsi"/>
          <w:sz w:val="22"/>
          <w:szCs w:val="22"/>
        </w:rPr>
        <w:t>Odstoupení od smlouvy se nedotýká nároků na zaplacení smluvních pokut, či jiných sankcí z této smlouvy vyplývajících, jakož ani nároku na náhradu škody, újmy, ušlého zisku vzniknuvších před okamžikem odstoupení od smlouvy.</w:t>
      </w:r>
    </w:p>
    <w:p w:rsidR="00C81129" w:rsidRPr="003A65D8" w:rsidRDefault="00C81129" w:rsidP="003A65D8">
      <w:pPr>
        <w:pStyle w:val="Nadpisodstavce"/>
        <w:jc w:val="center"/>
        <w:rPr>
          <w:b/>
        </w:rPr>
      </w:pPr>
    </w:p>
    <w:p w:rsidR="00C81129" w:rsidRPr="003A65D8" w:rsidRDefault="00D006B0" w:rsidP="003A65D8">
      <w:pPr>
        <w:pStyle w:val="Nadpisodstavce"/>
        <w:jc w:val="center"/>
        <w:rPr>
          <w:b/>
        </w:rPr>
      </w:pPr>
      <w:r>
        <w:rPr>
          <w:b/>
        </w:rPr>
        <w:t>I</w:t>
      </w:r>
      <w:r w:rsidR="00C81129" w:rsidRPr="003A65D8">
        <w:rPr>
          <w:b/>
        </w:rPr>
        <w:t>X</w:t>
      </w:r>
      <w:r w:rsidR="00C455E4" w:rsidRPr="003A65D8">
        <w:rPr>
          <w:b/>
        </w:rPr>
        <w:t>.</w:t>
      </w:r>
    </w:p>
    <w:p w:rsidR="00C455E4" w:rsidRPr="003A65D8" w:rsidRDefault="00C455E4" w:rsidP="003A65D8">
      <w:pPr>
        <w:pStyle w:val="Nadpisodstavce"/>
        <w:jc w:val="center"/>
        <w:rPr>
          <w:b/>
        </w:rPr>
      </w:pPr>
      <w:r w:rsidRPr="003A65D8">
        <w:rPr>
          <w:b/>
        </w:rPr>
        <w:t>Závěrečná ustanovení</w:t>
      </w:r>
    </w:p>
    <w:p w:rsidR="00C455E4" w:rsidRPr="00D006B0" w:rsidRDefault="00C455E4" w:rsidP="00D006B0">
      <w:pPr>
        <w:spacing w:line="276" w:lineRule="auto"/>
        <w:jc w:val="both"/>
        <w:rPr>
          <w:rFonts w:asciiTheme="minorHAnsi" w:hAnsiTheme="minorHAnsi"/>
          <w:b/>
          <w:vanish/>
          <w:sz w:val="22"/>
          <w:szCs w:val="22"/>
        </w:rPr>
      </w:pPr>
    </w:p>
    <w:p w:rsidR="00C2024B" w:rsidRPr="00722839" w:rsidRDefault="00C81129" w:rsidP="00C2024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3A65D8">
        <w:rPr>
          <w:rFonts w:asciiTheme="minorHAnsi" w:hAnsiTheme="minorHAnsi"/>
          <w:sz w:val="22"/>
        </w:rPr>
        <w:t>1</w:t>
      </w:r>
      <w:r w:rsidR="00C2024B">
        <w:rPr>
          <w:rFonts w:asciiTheme="minorHAnsi" w:hAnsiTheme="minorHAnsi"/>
          <w:sz w:val="22"/>
        </w:rPr>
        <w:t>.</w:t>
      </w:r>
      <w:r w:rsidR="00C2024B">
        <w:rPr>
          <w:rFonts w:asciiTheme="minorHAnsi" w:hAnsiTheme="minorHAnsi"/>
          <w:sz w:val="22"/>
        </w:rPr>
        <w:tab/>
      </w:r>
      <w:r w:rsidR="00C2024B" w:rsidRPr="00C2024B">
        <w:rPr>
          <w:rFonts w:ascii="Calibri" w:hAnsi="Calibri"/>
          <w:sz w:val="22"/>
          <w:szCs w:val="22"/>
        </w:rPr>
        <w:t xml:space="preserve"> </w:t>
      </w:r>
      <w:r w:rsidR="00C2024B"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2024B" w:rsidRPr="00722839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Pr="00D61CC3">
        <w:rPr>
          <w:sz w:val="22"/>
        </w:rPr>
        <w:t>Tuto smlouvu nelze dále postupovat, jakož ani pohledávky z ní vyplývající. Kvitance za částečné plnění a vracení dlužních úpisů s účinky kvitance se vylučují.</w:t>
      </w:r>
      <w:r>
        <w:rPr>
          <w:sz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>
        <w:rPr>
          <w:b/>
          <w:sz w:val="22"/>
        </w:rPr>
        <w:t xml:space="preserve"> </w:t>
      </w:r>
      <w:r>
        <w:rPr>
          <w:sz w:val="22"/>
        </w:rPr>
        <w:t>zák. č. 89/2012 Sb., občanského zákoníku, se vylučuje.</w:t>
      </w:r>
      <w:r w:rsidRPr="00D61CC3">
        <w:rPr>
          <w:sz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  <w:r w:rsidRPr="003A65D8">
        <w:rPr>
          <w:rFonts w:asciiTheme="minorHAnsi" w:hAnsiTheme="minorHAnsi"/>
          <w:b/>
          <w:sz w:val="22"/>
        </w:rPr>
        <w:t xml:space="preserve"> </w:t>
      </w: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  <w:t>Jakýkoliv dopis, oznámení či jiný dokument bude považován za doručený druhé smluvní straně této smlouvy, bude-li doručen na adresu uvedenou u dané smluvní strany v záhlaví této smlouvy. V případě pochybností se má za to, že písemnost zaslaná doporučenou poštovní přepravou byla doručena třetí den po dni odeslání písemnosti.</w:t>
      </w: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2024B" w:rsidRPr="00722839" w:rsidRDefault="00C2024B" w:rsidP="00C2024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</w:rPr>
        <w:t>4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</w:r>
      <w:r w:rsidRPr="00722839">
        <w:rPr>
          <w:rFonts w:asciiTheme="minorHAnsi" w:hAnsiTheme="minorHAnsi"/>
          <w:sz w:val="22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  <w:r w:rsidRPr="00722839">
        <w:rPr>
          <w:rFonts w:asciiTheme="minorHAnsi" w:hAnsiTheme="minorHAnsi"/>
          <w:sz w:val="22"/>
          <w:szCs w:val="22"/>
        </w:rPr>
        <w:t xml:space="preserve"> Veškeré dohody, učiněné před podpisem Smlouvy a v jejím obsahu nezahrnuté, pozbývají dnem podpisu Smlouvy platnosti, a to bez ohledu na funkční postavení osob, které předsmluvní dojednání učinily. Tato Smlouva tak představuje celkovou dohodu smluvních stran na jejím předmětu a nahrazuje všechna předchozí ujednání a dohody dosažené ohledně jejího předmětu.</w:t>
      </w:r>
      <w:r w:rsidRPr="008E67CF">
        <w:rPr>
          <w:rFonts w:ascii="Calibri" w:hAnsi="Calibri"/>
          <w:sz w:val="22"/>
          <w:szCs w:val="22"/>
        </w:rPr>
        <w:t xml:space="preserve"> </w:t>
      </w: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5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  <w:t>Tato smlouva byla sepsána ve dvou  vyhotoveních s platností originálu, z nichž každá ze smluvních stran obdrží po jednom.</w:t>
      </w: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</w:r>
      <w:r w:rsidR="0005033C">
        <w:rPr>
          <w:rFonts w:asciiTheme="minorHAnsi" w:hAnsiTheme="minorHAnsi"/>
          <w:sz w:val="22"/>
        </w:rPr>
        <w:t xml:space="preserve">Tato smlouva nabývá platnosti </w:t>
      </w:r>
      <w:r w:rsidRPr="003A65D8">
        <w:rPr>
          <w:rFonts w:asciiTheme="minorHAnsi" w:hAnsiTheme="minorHAnsi"/>
          <w:sz w:val="22"/>
        </w:rPr>
        <w:t>dnem jejího podpisu oběma smluvními stranami</w:t>
      </w:r>
      <w:r w:rsidR="0005033C">
        <w:rPr>
          <w:rFonts w:asciiTheme="minorHAnsi" w:hAnsiTheme="minorHAnsi"/>
          <w:sz w:val="22"/>
        </w:rPr>
        <w:t xml:space="preserve"> a účinnosti dnem zveřejnění v Registru smluv</w:t>
      </w:r>
      <w:r w:rsidRPr="003A65D8">
        <w:rPr>
          <w:rFonts w:asciiTheme="minorHAnsi" w:hAnsiTheme="minorHAnsi"/>
          <w:sz w:val="22"/>
        </w:rPr>
        <w:t>.</w:t>
      </w: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7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  <w:t>Smluvní strany prohlašují, že si smlouvu řádně přečetly, s celým jejím obsahem souhlasí a na důkaz toho, že se jedná o projev jejich svobodné a vážné vůle, připojují své podpisy.</w:t>
      </w: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C2024B" w:rsidRPr="003A65D8" w:rsidRDefault="00C2024B" w:rsidP="00C2024B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8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</w:r>
      <w:r w:rsidRPr="003A65D8">
        <w:rPr>
          <w:rFonts w:asciiTheme="minorHAnsi" w:hAnsiTheme="minorHAnsi" w:cs="Arial"/>
          <w:sz w:val="22"/>
        </w:rPr>
        <w:t xml:space="preserve">Prodávající souhlasí se zveřejněním všech náležitostí smluvního vztahu </w:t>
      </w:r>
      <w:r w:rsidRPr="003A65D8">
        <w:rPr>
          <w:rFonts w:asciiTheme="minorHAnsi" w:hAnsiTheme="minorHAnsi" w:cs="Arial"/>
          <w:bCs/>
          <w:sz w:val="22"/>
        </w:rPr>
        <w:t>(např. podmínky smlouvy).</w:t>
      </w:r>
    </w:p>
    <w:p w:rsidR="004D21C7" w:rsidRDefault="004D21C7" w:rsidP="003A65D8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</w:p>
    <w:p w:rsidR="00C455E4" w:rsidRPr="003A65D8" w:rsidRDefault="00C455E4" w:rsidP="003A65D8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  <w:r w:rsidRPr="003A65D8">
        <w:rPr>
          <w:rFonts w:asciiTheme="minorHAnsi" w:hAnsiTheme="minorHAnsi" w:cs="Arial"/>
          <w:sz w:val="22"/>
        </w:rPr>
        <w:t>Seznam příloh:</w:t>
      </w:r>
    </w:p>
    <w:p w:rsidR="00C455E4" w:rsidRPr="003A65D8" w:rsidRDefault="00C455E4" w:rsidP="003A65D8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  <w:r w:rsidRPr="003A65D8">
        <w:rPr>
          <w:rFonts w:asciiTheme="minorHAnsi" w:hAnsiTheme="minorHAnsi" w:cs="Arial"/>
          <w:sz w:val="22"/>
        </w:rPr>
        <w:t>- Příloha č. 1 – Položkový seznam a technická specifikace</w:t>
      </w:r>
    </w:p>
    <w:p w:rsidR="00C455E4" w:rsidRDefault="00C455E4" w:rsidP="003A65D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11902" w:rsidRDefault="00811902" w:rsidP="003A65D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11902" w:rsidRDefault="00811902" w:rsidP="003A65D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F85ABC" w:rsidRPr="003A65D8" w:rsidRDefault="00F85ABC" w:rsidP="00F85ABC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V Olomouci dne</w:t>
      </w:r>
      <w:r w:rsidR="00F53769">
        <w:rPr>
          <w:rFonts w:asciiTheme="minorHAnsi" w:hAnsiTheme="minorHAnsi" w:cs="Arial"/>
          <w:sz w:val="22"/>
        </w:rPr>
        <w:tab/>
      </w:r>
      <w:r w:rsidR="00F53769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>V</w:t>
      </w:r>
      <w:r w:rsidR="001A748B">
        <w:rPr>
          <w:rFonts w:asciiTheme="minorHAnsi" w:hAnsiTheme="minorHAnsi" w:cs="Arial"/>
          <w:sz w:val="22"/>
        </w:rPr>
        <w:t xml:space="preserve"> Olomouci dne </w:t>
      </w:r>
    </w:p>
    <w:p w:rsidR="00F85ABC" w:rsidRDefault="00F85ABC" w:rsidP="003A65D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A2866" w:rsidRDefault="000A2866" w:rsidP="003A65D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A2866" w:rsidRDefault="000A2866" w:rsidP="003A65D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A2866" w:rsidRDefault="000A2866" w:rsidP="000A286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……………………………………………………..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……………………………………………………..</w:t>
      </w:r>
    </w:p>
    <w:p w:rsidR="000A2866" w:rsidRDefault="000A2866" w:rsidP="000A286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doc. MUDr. Roman Havlík, Ph.D.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A748B">
        <w:rPr>
          <w:rFonts w:asciiTheme="minorHAnsi" w:hAnsiTheme="minorHAnsi"/>
          <w:sz w:val="22"/>
          <w:szCs w:val="22"/>
        </w:rPr>
        <w:t>Petr Weigel</w:t>
      </w:r>
    </w:p>
    <w:p w:rsidR="000A2866" w:rsidRDefault="000A2866" w:rsidP="000A286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ředitel Fakultní nemocnice Olomouc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A748B">
        <w:rPr>
          <w:rFonts w:asciiTheme="minorHAnsi" w:hAnsiTheme="minorHAnsi"/>
          <w:sz w:val="22"/>
          <w:szCs w:val="22"/>
        </w:rPr>
        <w:t>statutární ředitel MERIT GROUP a.s.</w:t>
      </w:r>
    </w:p>
    <w:p w:rsidR="000A2866" w:rsidRDefault="000A2866" w:rsidP="003A65D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F85ABC" w:rsidRDefault="00F85ABC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583E92" w:rsidRPr="00205B66" w:rsidRDefault="00583E92" w:rsidP="00583E92">
      <w:pPr>
        <w:tabs>
          <w:tab w:val="center" w:pos="4500"/>
        </w:tabs>
        <w:jc w:val="center"/>
        <w:rPr>
          <w:b/>
          <w:sz w:val="28"/>
          <w:szCs w:val="28"/>
        </w:rPr>
      </w:pPr>
      <w:r w:rsidRPr="00205B66">
        <w:rPr>
          <w:b/>
          <w:sz w:val="28"/>
          <w:szCs w:val="28"/>
        </w:rPr>
        <w:lastRenderedPageBreak/>
        <w:t>Příloha číslo 1 smlouvy</w:t>
      </w:r>
    </w:p>
    <w:p w:rsidR="00583E92" w:rsidRPr="00205B66" w:rsidRDefault="00583E92" w:rsidP="00583E92">
      <w:pPr>
        <w:tabs>
          <w:tab w:val="center" w:pos="4500"/>
        </w:tabs>
        <w:jc w:val="center"/>
        <w:rPr>
          <w:b/>
          <w:sz w:val="28"/>
          <w:szCs w:val="28"/>
        </w:rPr>
      </w:pPr>
      <w:r w:rsidRPr="00205B66">
        <w:rPr>
          <w:b/>
          <w:sz w:val="28"/>
          <w:szCs w:val="28"/>
        </w:rPr>
        <w:t xml:space="preserve"> Položkový seznam a technická specifikace</w:t>
      </w:r>
    </w:p>
    <w:p w:rsidR="00583E92" w:rsidRDefault="00583E92" w:rsidP="00583E92"/>
    <w:p w:rsidR="00214C16" w:rsidRDefault="00214C16" w:rsidP="00583E92">
      <w:pPr>
        <w:rPr>
          <w:color w:val="FF0000"/>
          <w:highlight w:val="yellow"/>
        </w:rPr>
      </w:pPr>
    </w:p>
    <w:tbl>
      <w:tblPr>
        <w:tblW w:w="46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</w:tblGrid>
      <w:tr w:rsidR="00583E92" w:rsidRPr="0010409A" w:rsidTr="00022E2D">
        <w:trPr>
          <w:trHeight w:val="2160"/>
        </w:trPr>
        <w:tc>
          <w:tcPr>
            <w:tcW w:w="5000" w:type="pct"/>
            <w:shd w:val="clear" w:color="auto" w:fill="auto"/>
            <w:vAlign w:val="center"/>
            <w:hideMark/>
          </w:tcPr>
          <w:p w:rsidR="00583E92" w:rsidRDefault="00583E92" w:rsidP="00022E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</w:t>
            </w:r>
            <w:r w:rsidRPr="0010409A">
              <w:rPr>
                <w:rFonts w:ascii="Arial" w:hAnsi="Arial" w:cs="Arial"/>
                <w:color w:val="000000"/>
                <w:sz w:val="20"/>
                <w:szCs w:val="20"/>
              </w:rPr>
              <w:t xml:space="preserve"> zahrnuje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min.</w:t>
            </w:r>
            <w:r w:rsidRPr="0010409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583E92" w:rsidRDefault="00583E92" w:rsidP="00022E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HW záruku </w:t>
            </w:r>
            <w:r w:rsidR="004D21C7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měsíců v rozsahu </w:t>
            </w:r>
            <w:r w:rsidR="00C2024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="0047434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 odezvou NBD s dobou vy</w:t>
            </w:r>
            <w:r w:rsidR="00022E2D">
              <w:rPr>
                <w:rFonts w:ascii="Arial" w:hAnsi="Arial" w:cs="Arial"/>
                <w:color w:val="000000"/>
                <w:sz w:val="20"/>
                <w:szCs w:val="20"/>
              </w:rPr>
              <w:t>řešení požadavku do 5 prac. dní</w:t>
            </w:r>
          </w:p>
          <w:p w:rsidR="00583E92" w:rsidRDefault="00583E92" w:rsidP="00022E2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0409A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F227BC">
              <w:rPr>
                <w:rFonts w:ascii="Arial" w:hAnsi="Arial" w:cs="Arial"/>
                <w:bCs/>
                <w:sz w:val="20"/>
                <w:szCs w:val="20"/>
              </w:rPr>
              <w:t>všechny relevantní SW releases a verze SW u aktivních prvků a minoritní SW releases u aplikačního SW</w:t>
            </w:r>
          </w:p>
          <w:p w:rsidR="00583E92" w:rsidRDefault="00583E92" w:rsidP="00022E2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27BC">
              <w:rPr>
                <w:rFonts w:ascii="Arial" w:hAnsi="Arial" w:cs="Arial"/>
                <w:bCs/>
                <w:sz w:val="20"/>
                <w:szCs w:val="20"/>
              </w:rPr>
              <w:t xml:space="preserve"> nabízené  výrobcem tak, aby dodané řešení vyhovovalo  zadání a fungovalo bez závad</w:t>
            </w:r>
          </w:p>
          <w:p w:rsidR="00583E92" w:rsidRPr="0010409A" w:rsidRDefault="00583E92" w:rsidP="00022E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10409A">
              <w:rPr>
                <w:rFonts w:ascii="Arial" w:hAnsi="Arial" w:cs="Arial"/>
                <w:color w:val="000000"/>
                <w:sz w:val="20"/>
                <w:szCs w:val="20"/>
              </w:rPr>
              <w:t>přístup k webovému zákaznickému centru</w:t>
            </w:r>
          </w:p>
          <w:p w:rsidR="00583E92" w:rsidRPr="00F227BC" w:rsidRDefault="00583E92" w:rsidP="00022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409A">
              <w:rPr>
                <w:rFonts w:ascii="Arial" w:hAnsi="Arial" w:cs="Arial"/>
                <w:sz w:val="20"/>
                <w:szCs w:val="20"/>
              </w:rPr>
              <w:t>- podporu telefonem a emailem v českém jazyce min. v pracovní době (</w:t>
            </w:r>
            <w:r w:rsidR="00C2024B">
              <w:rPr>
                <w:rFonts w:ascii="Arial" w:hAnsi="Arial" w:cs="Arial"/>
                <w:sz w:val="20"/>
                <w:szCs w:val="20"/>
              </w:rPr>
              <w:t>5</w:t>
            </w:r>
            <w:r w:rsidRPr="0010409A">
              <w:rPr>
                <w:rFonts w:ascii="Arial" w:hAnsi="Arial" w:cs="Arial"/>
                <w:sz w:val="20"/>
                <w:szCs w:val="20"/>
              </w:rPr>
              <w:t>x</w:t>
            </w:r>
            <w:r w:rsidR="00C2024B">
              <w:rPr>
                <w:rFonts w:ascii="Arial" w:hAnsi="Arial" w:cs="Arial"/>
                <w:sz w:val="20"/>
                <w:szCs w:val="20"/>
              </w:rPr>
              <w:t>8</w:t>
            </w:r>
            <w:r w:rsidRPr="0010409A">
              <w:rPr>
                <w:rFonts w:ascii="Arial" w:hAnsi="Arial" w:cs="Arial"/>
                <w:sz w:val="20"/>
                <w:szCs w:val="20"/>
              </w:rPr>
              <w:t>) 08.00 - 1</w:t>
            </w:r>
            <w:r w:rsidR="008E1486">
              <w:rPr>
                <w:rFonts w:ascii="Arial" w:hAnsi="Arial" w:cs="Arial"/>
                <w:sz w:val="20"/>
                <w:szCs w:val="20"/>
              </w:rPr>
              <w:t>7</w:t>
            </w:r>
            <w:r w:rsidRPr="0010409A">
              <w:rPr>
                <w:rFonts w:ascii="Arial" w:hAnsi="Arial" w:cs="Arial"/>
                <w:sz w:val="20"/>
                <w:szCs w:val="20"/>
              </w:rPr>
              <w:t>.00 hod</w:t>
            </w:r>
          </w:p>
          <w:p w:rsidR="00583E92" w:rsidRDefault="00583E92" w:rsidP="00022E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09A">
              <w:rPr>
                <w:rFonts w:ascii="Arial" w:hAnsi="Arial" w:cs="Arial"/>
                <w:color w:val="000000"/>
                <w:sz w:val="20"/>
                <w:szCs w:val="20"/>
              </w:rPr>
              <w:t>- konzultace síťového a bezpečnostního technika</w:t>
            </w:r>
          </w:p>
          <w:p w:rsidR="00583E92" w:rsidRPr="0010409A" w:rsidRDefault="00583E92" w:rsidP="00022E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F227BC">
              <w:rPr>
                <w:rFonts w:ascii="Arial" w:hAnsi="Arial" w:cs="Arial"/>
                <w:bCs/>
                <w:sz w:val="20"/>
                <w:szCs w:val="20"/>
              </w:rPr>
              <w:t>stahování ovladačů a manuálů z internetu adresně pro konkrétní zadané sériové číslo zařízení</w:t>
            </w:r>
          </w:p>
        </w:tc>
      </w:tr>
    </w:tbl>
    <w:p w:rsidR="00C455E4" w:rsidRDefault="00C455E4" w:rsidP="003A65D8">
      <w:pPr>
        <w:spacing w:line="276" w:lineRule="auto"/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6381"/>
        <w:gridCol w:w="737"/>
      </w:tblGrid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rPr>
                <w:rFonts w:ascii="Calibri" w:hAnsi="Calibri" w:cs="Arial CE"/>
                <w:b/>
                <w:bCs/>
                <w:sz w:val="18"/>
                <w:szCs w:val="18"/>
              </w:rPr>
            </w:pPr>
            <w:r w:rsidRPr="00A97D6B">
              <w:rPr>
                <w:rFonts w:ascii="Calibri" w:hAnsi="Calibri" w:cs="Arial CE"/>
                <w:b/>
                <w:bCs/>
                <w:sz w:val="18"/>
                <w:szCs w:val="18"/>
              </w:rPr>
              <w:t>C1-AIR-CT5520-K9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Cisco ONE - 5520 Wireless Controller w/rack mounting kit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CON-PSRT-CT5520K9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Servisní podpora 8x5xNBD 3 roky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C1-MSE-PAK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Cisco ONE MSE License PAK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DNA-VOUCHER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Tracker Eligibility SKU for DNA Offers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AIR-CPU-E52609D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1.90 GHz E5-2609 v3/85W 6C/15MB Cache/DDR4 1600MHz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AIR-TPM2-001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Trusted Platform Module 1.2 for UCS (SPI-based)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AIR-BZL-C220M4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Cisco 5520 Wireless Controller Security Bezel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AIR-SD-32G-S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32GB SD Card for UCS servers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AIR-MR-1X081RU-A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8GB DDR4-2133-MHz RDIMM/PC4-17000/single rank/x4/1.2v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8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AIR-PSU1-770W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770W AC Hot-Plug Power Supply for 5520 Controller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AIR-CT6870-NIC-K9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PCIe Network Interface 20G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AIR-SD240GBKS4-EV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240GB 2.5 inch Enterprise Value 6G SATA SSD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CAB-9K10A-EU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Power Cord, 250VAC 10A CEE 7/7 Plug, EU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LIC-CT5520-DTLS-K9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Cisco 5520 Wireless Controller DTLS License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AIR-CT5520-SW-8.2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Cisco 5520 Wireless Controller SW Rel. 8.2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AIR-PSU1-770W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770W AC Hot-Plug Power Supply for 5520 Controller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b/>
                <w:bCs/>
                <w:sz w:val="18"/>
                <w:szCs w:val="18"/>
              </w:rPr>
            </w:pPr>
            <w:r w:rsidRPr="00F53769">
              <w:rPr>
                <w:rFonts w:ascii="Calibri" w:hAnsi="Calibri" w:cs="Arial CE"/>
                <w:b/>
                <w:bCs/>
                <w:sz w:val="18"/>
                <w:szCs w:val="18"/>
              </w:rPr>
              <w:t>AIR-AP2802I-E-K9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802.11ac W2 AP w/CA; 4x4:3; Int Ant; 2xGbE E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106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AIR-AP-T-RAIL-R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Ceiling Grid Clip for Aironet APs - Recessed Mount (Default)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106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AIR-AP-BRACKET-1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802.11n AP Low Profile Mounting Bracket (Default)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106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SW2802-CAPWAP-K9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Cisco Aironet 2800 Series CAPWAP Software Image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106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C1-AIR-UPG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Cisco ONE - Upgrade for Wireless - CHOOSE ONLY QTY 1 HERE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1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CON-PSBU-C1AIRK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Servisní podpora 8x5xNBD 3 roky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1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C1-MSE-PAK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Cisco ONE MSE License PAK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1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C1F2UAIRK9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Cisco ONE Foundation Upg Perpetual - Wireless (AP + PI-LF)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500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CON-PSBU-C1FPAIR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Servisní podpora 8x5xNBD 3 roky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500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C1-R-WLC-1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Cisco ONE WLC Universal Lic (Reference, No License)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500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C1-R-PI-LF-AP-K9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Cisco ONE Prime Infrastructure LF Lic for WLAN (Ref, No Lic)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F53769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F53769">
              <w:rPr>
                <w:rFonts w:ascii="Calibri" w:hAnsi="Calibri" w:cs="Arial CE"/>
                <w:sz w:val="18"/>
                <w:szCs w:val="18"/>
              </w:rPr>
              <w:t>500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C1-PI-AS-AP-K9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Cisco ONE PI Dev Lic for Assurance for WLAN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500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C1-ISE-BASE-AP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Cisco ONE Identity Services Engine 25 EndPoint Base Lic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500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C1-MSE-LS-1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Cisco ONE CMX OnPrem Base (Location + Connect) - 1AP license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500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C1-CEM-25-K9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Cisco ONE Energy Mgmt Perpetual Lic - 25 DO End Points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500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C1-LC-5-1Y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Cisco ONE StealthWatch 5 FPS Lic 1 YR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500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C1F1VAIR-03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Tracker PID v03 Fnd Perpetual AIR - no delivery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1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rPr>
                <w:rFonts w:ascii="Calibri" w:hAnsi="Calibri" w:cs="Arial CE"/>
                <w:b/>
                <w:bCs/>
                <w:sz w:val="18"/>
                <w:szCs w:val="18"/>
              </w:rPr>
            </w:pPr>
            <w:r w:rsidRPr="00A97D6B">
              <w:rPr>
                <w:rFonts w:ascii="Calibri" w:hAnsi="Calibri" w:cs="Arial CE"/>
                <w:b/>
                <w:bCs/>
                <w:sz w:val="18"/>
                <w:szCs w:val="18"/>
              </w:rPr>
              <w:t>SFP-10G-SR-S=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10GBASE-SR SFP Module, Enterprise-Class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2</w:t>
            </w:r>
          </w:p>
        </w:tc>
      </w:tr>
      <w:tr w:rsidR="00022E2D" w:rsidRPr="00A97D6B" w:rsidTr="00F53769">
        <w:trPr>
          <w:trHeight w:val="269"/>
        </w:trPr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rPr>
                <w:rFonts w:ascii="Calibri" w:hAnsi="Calibri" w:cs="Arial CE"/>
                <w:b/>
                <w:bCs/>
                <w:sz w:val="18"/>
                <w:szCs w:val="18"/>
              </w:rPr>
            </w:pPr>
            <w:r w:rsidRPr="00A97D6B">
              <w:rPr>
                <w:rFonts w:ascii="Calibri" w:hAnsi="Calibri" w:cs="Arial CE"/>
                <w:b/>
                <w:bCs/>
                <w:sz w:val="18"/>
                <w:szCs w:val="18"/>
              </w:rPr>
              <w:t>SFP-10G-LR-S=</w:t>
            </w:r>
          </w:p>
        </w:tc>
        <w:tc>
          <w:tcPr>
            <w:tcW w:w="6381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ind w:firstLineChars="100" w:firstLine="180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10GBASE-LR SFP Module, Enterprise-Class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022E2D" w:rsidRPr="00A97D6B" w:rsidRDefault="00022E2D" w:rsidP="00994D23">
            <w:pPr>
              <w:jc w:val="center"/>
              <w:rPr>
                <w:rFonts w:ascii="Calibri" w:hAnsi="Calibri" w:cs="Arial CE"/>
                <w:sz w:val="18"/>
                <w:szCs w:val="18"/>
              </w:rPr>
            </w:pPr>
            <w:r w:rsidRPr="00A97D6B">
              <w:rPr>
                <w:rFonts w:ascii="Calibri" w:hAnsi="Calibri" w:cs="Arial CE"/>
                <w:sz w:val="18"/>
                <w:szCs w:val="18"/>
              </w:rPr>
              <w:t>1</w:t>
            </w:r>
          </w:p>
        </w:tc>
      </w:tr>
    </w:tbl>
    <w:p w:rsidR="00022E2D" w:rsidRDefault="00022E2D" w:rsidP="003A65D8">
      <w:pPr>
        <w:spacing w:line="276" w:lineRule="auto"/>
      </w:pPr>
      <w:bookmarkStart w:id="6" w:name="_GoBack"/>
      <w:bookmarkEnd w:id="6"/>
    </w:p>
    <w:sectPr w:rsidR="00022E2D" w:rsidSect="00AB09FE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902" w:rsidRDefault="00811902" w:rsidP="00196F3D">
      <w:r>
        <w:separator/>
      </w:r>
    </w:p>
  </w:endnote>
  <w:endnote w:type="continuationSeparator" w:id="0">
    <w:p w:rsidR="00811902" w:rsidRDefault="00811902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902" w:rsidRDefault="00811902" w:rsidP="00196F3D">
      <w:r>
        <w:separator/>
      </w:r>
    </w:p>
  </w:footnote>
  <w:footnote w:type="continuationSeparator" w:id="0">
    <w:p w:rsidR="00811902" w:rsidRDefault="00811902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02" w:rsidRDefault="0081190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5100955</wp:posOffset>
          </wp:positionH>
          <wp:positionV relativeFrom="line">
            <wp:posOffset>-106680</wp:posOffset>
          </wp:positionV>
          <wp:extent cx="1400175" cy="390525"/>
          <wp:effectExtent l="19050" t="0" r="9525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0221909"/>
    <w:multiLevelType w:val="hybridMultilevel"/>
    <w:tmpl w:val="5AC47368"/>
    <w:lvl w:ilvl="0" w:tplc="D812C048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F3D"/>
    <w:rsid w:val="00001A91"/>
    <w:rsid w:val="00022E2D"/>
    <w:rsid w:val="0005033C"/>
    <w:rsid w:val="0007569C"/>
    <w:rsid w:val="000A2866"/>
    <w:rsid w:val="00132AF2"/>
    <w:rsid w:val="00196F3D"/>
    <w:rsid w:val="001A748B"/>
    <w:rsid w:val="001B3054"/>
    <w:rsid w:val="001C583D"/>
    <w:rsid w:val="001D5C51"/>
    <w:rsid w:val="002005E7"/>
    <w:rsid w:val="00214C16"/>
    <w:rsid w:val="0022724D"/>
    <w:rsid w:val="00237655"/>
    <w:rsid w:val="00240201"/>
    <w:rsid w:val="002E1B01"/>
    <w:rsid w:val="0034472A"/>
    <w:rsid w:val="003A65D8"/>
    <w:rsid w:val="003B0E6E"/>
    <w:rsid w:val="00413AC5"/>
    <w:rsid w:val="00417752"/>
    <w:rsid w:val="004239B6"/>
    <w:rsid w:val="00447A07"/>
    <w:rsid w:val="0047434A"/>
    <w:rsid w:val="00492BC2"/>
    <w:rsid w:val="004D21C7"/>
    <w:rsid w:val="004E2BAE"/>
    <w:rsid w:val="00580698"/>
    <w:rsid w:val="00581EA9"/>
    <w:rsid w:val="00583E92"/>
    <w:rsid w:val="005D1DB6"/>
    <w:rsid w:val="005E595E"/>
    <w:rsid w:val="0060432B"/>
    <w:rsid w:val="006044C2"/>
    <w:rsid w:val="006375EC"/>
    <w:rsid w:val="00646B09"/>
    <w:rsid w:val="006C60EC"/>
    <w:rsid w:val="006D2655"/>
    <w:rsid w:val="0073304F"/>
    <w:rsid w:val="007C5F2C"/>
    <w:rsid w:val="00811902"/>
    <w:rsid w:val="00821436"/>
    <w:rsid w:val="00834666"/>
    <w:rsid w:val="0085214C"/>
    <w:rsid w:val="008C7CCE"/>
    <w:rsid w:val="008E1486"/>
    <w:rsid w:val="00940C2E"/>
    <w:rsid w:val="00995E4D"/>
    <w:rsid w:val="009F7A34"/>
    <w:rsid w:val="00A15529"/>
    <w:rsid w:val="00A30DE5"/>
    <w:rsid w:val="00A365F4"/>
    <w:rsid w:val="00A37527"/>
    <w:rsid w:val="00AB09FE"/>
    <w:rsid w:val="00B5250E"/>
    <w:rsid w:val="00B77781"/>
    <w:rsid w:val="00C122BC"/>
    <w:rsid w:val="00C2024B"/>
    <w:rsid w:val="00C455E4"/>
    <w:rsid w:val="00C81129"/>
    <w:rsid w:val="00D006B0"/>
    <w:rsid w:val="00D2715C"/>
    <w:rsid w:val="00D42167"/>
    <w:rsid w:val="00DA3E36"/>
    <w:rsid w:val="00DB1238"/>
    <w:rsid w:val="00DC0BF0"/>
    <w:rsid w:val="00DD13AA"/>
    <w:rsid w:val="00ED3FDE"/>
    <w:rsid w:val="00F53769"/>
    <w:rsid w:val="00F63734"/>
    <w:rsid w:val="00F71E18"/>
    <w:rsid w:val="00F85ABC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A7732E46-7690-4CA7-8AA1-0BDDA1A6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6F3D"/>
  </w:style>
  <w:style w:type="paragraph" w:styleId="Zpat">
    <w:name w:val="footer"/>
    <w:basedOn w:val="Normln"/>
    <w:link w:val="ZpatChar"/>
    <w:uiPriority w:val="99"/>
    <w:semiHidden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3A65D8"/>
    <w:pPr>
      <w:keepLines w:val="0"/>
      <w:spacing w:before="0" w:line="276" w:lineRule="auto"/>
      <w:jc w:val="both"/>
    </w:pPr>
    <w:rPr>
      <w:rFonts w:ascii="Calibri" w:eastAsia="Times New Roman" w:hAnsi="Calibri" w:cs="Times New Roman"/>
      <w:b w:val="0"/>
      <w:bCs w:val="0"/>
      <w:i w:val="0"/>
      <w:iCs w:val="0"/>
      <w:color w:val="auto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3A65D8"/>
    <w:rPr>
      <w:rFonts w:ascii="Calibri" w:eastAsia="Times New Roman" w:hAnsi="Calibri" w:cs="Times New Roman"/>
      <w:sz w:val="24"/>
      <w:szCs w:val="24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55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1775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503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33C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3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03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33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134B5-9136-46E9-A0DD-18F36855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3468</Words>
  <Characters>20468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Krchňáková Denisa</cp:lastModifiedBy>
  <cp:revision>7</cp:revision>
  <cp:lastPrinted>2017-12-06T08:15:00Z</cp:lastPrinted>
  <dcterms:created xsi:type="dcterms:W3CDTF">2017-10-12T13:13:00Z</dcterms:created>
  <dcterms:modified xsi:type="dcterms:W3CDTF">2017-12-06T08:15:00Z</dcterms:modified>
</cp:coreProperties>
</file>