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EF" w:rsidRDefault="009024E3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SMLOUVA O PROVEDENÍ UMĚLECKÉHO VÝKONU</w:t>
      </w:r>
    </w:p>
    <w:p w:rsidR="003D30EF" w:rsidRDefault="003D30EF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uzavřená podle zákona č. 121/2000 Sb., o právu autorském, o právech souvisejících s právem autorským a o změně některých zákonů (autorský zákon), v platném znění, a podle zákona č. 89/2012 Sb., občanský zákoník, v platném znění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Občanský zákoník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), mezi stranami:</w:t>
      </w:r>
    </w:p>
    <w:p w:rsidR="003D30EF" w:rsidRDefault="003D30EF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widowControl w:val="0"/>
        <w:ind w:left="18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AGENTURA VELRYBA s.r.o. </w:t>
      </w:r>
    </w:p>
    <w:p w:rsidR="003D30EF" w:rsidRDefault="009024E3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3583, 760 01 ZLÍN</w:t>
      </w:r>
    </w:p>
    <w:p w:rsidR="003D30EF" w:rsidRDefault="009024E3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IČO: 269 10 071 </w:t>
      </w:r>
    </w:p>
    <w:p w:rsidR="003D30EF" w:rsidRDefault="009024E3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DIČ: CZ 269 10 071 </w:t>
      </w:r>
    </w:p>
    <w:p w:rsidR="003D30EF" w:rsidRDefault="009024E3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+</w:t>
      </w:r>
      <w:proofErr w:type="spellStart"/>
      <w:r w:rsidR="009F18D3">
        <w:rPr>
          <w:rFonts w:ascii="Times New Roman" w:eastAsia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Pořadatel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3D30EF" w:rsidRDefault="003D30EF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D30EF" w:rsidRDefault="003D30EF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widowControl w:val="0"/>
        <w:tabs>
          <w:tab w:val="left" w:pos="5387"/>
        </w:tabs>
        <w:spacing w:line="288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se sídlem: ul. 28. října 2556/124, Ostrava – Moravská Ostrava, PSČ 702 00</w:t>
      </w:r>
    </w:p>
    <w:p w:rsidR="003D30EF" w:rsidRDefault="009024E3">
      <w:pPr>
        <w:widowControl w:val="0"/>
        <w:tabs>
          <w:tab w:val="left" w:pos="5387"/>
        </w:tabs>
        <w:spacing w:line="288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00373222, DIČ: CZ00373222</w:t>
      </w:r>
    </w:p>
    <w:p w:rsidR="003D30EF" w:rsidRDefault="009024E3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jednající Mgr. Janem Žemlou, ředitelem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kontakt: Ondřej Daněk, </w:t>
      </w:r>
      <w:r w:rsidR="009F18D3">
        <w:rPr>
          <w:rFonts w:ascii="Times New Roman" w:eastAsia="Times New Roman" w:hAnsi="Times New Roman" w:cs="Times New Roman"/>
          <w:sz w:val="24"/>
          <w:szCs w:val="24"/>
        </w:rPr>
        <w:t>xxxxxxxxxxxxxxxxxxxxxx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Účinkující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3D30EF" w:rsidRDefault="003D30EF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(Pořadatel a Účinkující dále společně t</w:t>
      </w:r>
      <w:r>
        <w:rPr>
          <w:rFonts w:ascii="Times New Roman" w:eastAsia="Times New Roman" w:hAnsi="Times New Roman" w:cs="Times New Roman"/>
          <w:sz w:val="24"/>
          <w:szCs w:val="24"/>
        </w:rPr>
        <w:t>aké jako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eastAsia="Times New Roman" w:hAnsi="Times New Roman" w:cs="Times New Roman"/>
          <w:sz w:val="24"/>
          <w:szCs w:val="24"/>
        </w:rPr>
        <w:t>“; tato Smlouva o provedení uměleckého výkonu dále také jako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3D30EF" w:rsidRDefault="009024E3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Předmět smlouvy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Předmětem této Smlouvy je provedení Uměleckého výkonu (jak je tento definován níže) Účinkujícího na produkci pořádané Pořadatelem, případně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třetí osobou vázanou smluvním vztahem s Pořadatelem, za podmínek specifikovaných níže v čl. II. této Smlouvy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Produkce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“). 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Obecná ustanovení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widowControl w:val="0"/>
        <w:numPr>
          <w:ilvl w:val="0"/>
          <w:numId w:val="1"/>
        </w:numPr>
        <w:spacing w:line="288" w:lineRule="auto"/>
        <w:ind w:left="568" w:hanging="56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Pořadatel angažuje Účinkujícího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Produkci (zmíněné výše v čl. I. této Smlouvy) konaném dne </w:t>
      </w:r>
      <w:r>
        <w:rPr>
          <w:rFonts w:ascii="Times New Roman" w:eastAsia="Times New Roman" w:hAnsi="Times New Roman" w:cs="Times New Roman"/>
          <w:sz w:val="24"/>
          <w:szCs w:val="24"/>
        </w:rPr>
        <w:t>22. 12. 2017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19:00 v </w:t>
      </w:r>
      <w:r>
        <w:rPr>
          <w:rFonts w:ascii="Times New Roman" w:eastAsia="Times New Roman" w:hAnsi="Times New Roman" w:cs="Times New Roman"/>
          <w:sz w:val="24"/>
          <w:szCs w:val="24"/>
        </w:rPr>
        <w:t>Kongresovém centru Zlín.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Umělecký výkon Účinkujícího spočívá v interpretaci orchestrálních děl dle programu pod vedením dirigenta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Umělecký výkon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“), a to v následujícím obsazení:  </w:t>
      </w:r>
    </w:p>
    <w:p w:rsidR="003D30EF" w:rsidRDefault="009024E3">
      <w:pPr>
        <w:spacing w:line="288" w:lineRule="auto"/>
        <w:ind w:left="1136"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členové orchestru zajištění Účinku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jícím, </w:t>
      </w:r>
    </w:p>
    <w:p w:rsidR="003D30EF" w:rsidRDefault="009024E3">
      <w:pPr>
        <w:spacing w:line="288" w:lineRule="auto"/>
        <w:ind w:left="1136"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dirigent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zajištěný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Účinkujícím, </w:t>
      </w:r>
    </w:p>
    <w:p w:rsidR="003D30EF" w:rsidRDefault="009024E3">
      <w:pPr>
        <w:spacing w:line="288" w:lineRule="auto"/>
        <w:ind w:left="1136"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kapela Hradišťan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zajištěn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Pořadatelem.</w:t>
      </w:r>
    </w:p>
    <w:p w:rsidR="003D30EF" w:rsidRDefault="003D30EF">
      <w:pPr>
        <w:spacing w:line="288" w:lineRule="auto"/>
        <w:ind w:left="1136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Práva a povinnosti Smluvních stran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widowControl w:val="0"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Účinkující je povinen podat Umělecký výkon včas (včetně nástupu na zkoušky dle schématu).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Účinkující je povinen zajistit patřičný pomocný personál, jako jsou řidiči, kustodi, produkční či manažer.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Pořadatel je povinen k Uměleckému výkonu zajistit adekvátní podmínky, a to zejména: </w:t>
      </w:r>
    </w:p>
    <w:p w:rsidR="003D30EF" w:rsidRDefault="009024E3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dostatečnou propagaci Produkce a prostor pro obecenstvo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četně zázemí; </w:t>
      </w:r>
    </w:p>
    <w:p w:rsidR="003D30EF" w:rsidRDefault="009024E3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pódium nebo obdobný koncertní prostor o minimálních rozměrech 14×10 m se třemi vyvýšenými stupni (dle přiloženého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v</w:t>
      </w:r>
      <w:r>
        <w:rPr>
          <w:rFonts w:ascii="Times New Roman" w:eastAsia="Times New Roman" w:hAnsi="Times New Roman" w:cs="Times New Roman"/>
          <w:sz w:val="24"/>
          <w:szCs w:val="24"/>
        </w:rPr>
        <w:t>četně 60 koncertních židlí a 40 notových pultů, dirigentského stupínku a pultu. Prostor pód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musí být suchý,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dostatečně osvětlený (množství světla musí pohodlně osvětlovat papír k přečtení ze vzdálenosti 1 m) a vytopený na alespoň 20° C;</w:t>
      </w:r>
    </w:p>
    <w:p w:rsidR="003D30EF" w:rsidRDefault="009024E3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hudební nástroje: </w:t>
      </w:r>
      <w:r>
        <w:rPr>
          <w:rFonts w:ascii="Times New Roman" w:eastAsia="Times New Roman" w:hAnsi="Times New Roman" w:cs="Times New Roman"/>
          <w:sz w:val="24"/>
          <w:szCs w:val="24"/>
        </w:rPr>
        <w:t>(prázdné)</w:t>
      </w:r>
    </w:p>
    <w:p w:rsidR="003D30EF" w:rsidRDefault="009024E3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zázemí ve vytopených uzamykatelných (nebo hlídaných) šatnách oddělených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 muže (minimální kapacita 40 osob), ženy (minimální kapacita 40 osob) a samostatné šatny vždy zvlášť pro koncertního mistra, dirigenta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sólistu(y).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 šatnách musí být pro každého člena orchestru alespoň jedna židle, dostatek stolů na odložení osobních v</w:t>
      </w:r>
      <w:r>
        <w:rPr>
          <w:rFonts w:ascii="Times New Roman" w:eastAsia="Times New Roman" w:hAnsi="Times New Roman" w:cs="Times New Roman"/>
          <w:sz w:val="24"/>
          <w:szCs w:val="24"/>
        </w:rPr>
        <w:t>ěcí pro všechny, drobné občerstvení, teplé a studené nápoje v dostatečné míře a toalety oddělené pro muže a ženy;</w:t>
      </w:r>
    </w:p>
    <w:p w:rsidR="003D30EF" w:rsidRDefault="009024E3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příslušný personál zajišťující všechny výše zmíněné činnosti a prostory, zejména: kompetentního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stagemanagera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kompetentního osvětlovače,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inimálně čtyři kustody na pomoc s vykládáním a nakládáním nástrojů a jejich distribuci na pódium a zpět; </w:t>
      </w:r>
    </w:p>
    <w:p w:rsidR="003D30EF" w:rsidRDefault="009024E3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 parkovací místa pro autobusy poblíž zázemí Produkce.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Pořadatel je povinen Účinkujícímu poskytnout 5 tištěných programů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odukce a 8 čestných </w:t>
      </w:r>
      <w:r>
        <w:rPr>
          <w:rFonts w:ascii="Times New Roman" w:eastAsia="Times New Roman" w:hAnsi="Times New Roman" w:cs="Times New Roman"/>
          <w:sz w:val="24"/>
          <w:szCs w:val="24"/>
        </w:rPr>
        <w:t>vstupenek, a to nejpozději během generální zkoušky.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Notový materiál zajišťuje a hradí Účinkující. 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Dopravu Účinkujícího do místa Produkce zajišťuje a hradí Účinkující sám, stejně jako dopravu hudebních nástrojů.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Účinkující je povinen zajistit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uhradit pojištění členů orchestru, pomocného personálu i hudebních nástrojů. V případě nastalých problémů je Pořadatel povinen Účinkujícímu, resp. členům orchestru poskytnout maximální součinnost při řešení problémů a hledání příslušné pomoci. 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3D30EF">
      <w:pPr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keepNext/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Auto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rská práva</w:t>
      </w:r>
    </w:p>
    <w:p w:rsidR="003D30EF" w:rsidRDefault="003D30EF">
      <w:pPr>
        <w:keepNext/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widowControl w:val="0"/>
        <w:numPr>
          <w:ilvl w:val="0"/>
          <w:numId w:val="2"/>
        </w:numPr>
        <w:spacing w:line="288" w:lineRule="auto"/>
        <w:ind w:left="568" w:hanging="56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Veškeré autorské, licenční a místní poplatky spojené s provedením Uměleckého výkonu hradí Pořadatel.</w:t>
      </w:r>
    </w:p>
    <w:p w:rsidR="003D30EF" w:rsidRDefault="003D30EF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Produkce ani žádná její část nesmí být Pořadatelem žádným způsobem nahrávána ani přenášena (s výjimkou reportážních a propagačních záznamů s celkovou délkou nedosahující 180s), pakliže není dohodnuto jinak ve speciálním oddíle této Smlouvy nebo samostatném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dodatku.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Odměna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widowControl w:val="0"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Pořadatel se zavazuje za provedení Um</w:t>
      </w:r>
      <w:r>
        <w:rPr>
          <w:rFonts w:ascii="Times New Roman" w:eastAsia="Times New Roman" w:hAnsi="Times New Roman" w:cs="Times New Roman"/>
          <w:sz w:val="24"/>
          <w:szCs w:val="24"/>
        </w:rPr>
        <w:t>ěleckého výkonu zaplatit Účinkujícímu odměnu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Odměna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 ve výši </w:t>
      </w:r>
      <w:r>
        <w:rPr>
          <w:rFonts w:ascii="Times New Roman" w:eastAsia="Times New Roman" w:hAnsi="Times New Roman" w:cs="Times New Roman"/>
          <w:sz w:val="24"/>
          <w:szCs w:val="24"/>
        </w:rPr>
        <w:t>110.000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 (slovy: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stodeset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tisíc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Korun českých). Odměna pokrývá veškeré náklady spojené s provedením Uměleckého výkonu uve</w:t>
      </w:r>
      <w:r>
        <w:rPr>
          <w:rFonts w:ascii="Times New Roman" w:eastAsia="Times New Roman" w:hAnsi="Times New Roman" w:cs="Times New Roman"/>
          <w:sz w:val="24"/>
          <w:szCs w:val="24"/>
        </w:rPr>
        <w:t>dené výše v této Smlouvě vyjma nákladů, které dle této Smlouvy nese Pořadatel.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Odměna je splatná po provedení Uměleckého výkonu na základě vystavené faktury se splatností nejméně 10 dní po provedení Uměleckého výkonu. Faktura bude zaslána na adresu síd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Pořadatele nebo elektronicky kontaktní osobě uvedené v záhlaví této smlouvy. 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Veškeré transakční poplatky spojené s úhradou Odměny hradí Pořadatel. 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Smluvní pokuty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Pakliže Účinkující nesplní závazky vyplývající z této Smlouvy z důvodů jiný</w:t>
      </w:r>
      <w:r>
        <w:rPr>
          <w:rFonts w:ascii="Times New Roman" w:eastAsia="Times New Roman" w:hAnsi="Times New Roman" w:cs="Times New Roman"/>
          <w:sz w:val="24"/>
          <w:szCs w:val="24"/>
        </w:rPr>
        <w:t>ch, než je selhání Pořadatele, a z důvodů jiných, než které jsou mimo jeho kontrolu (politická regulace, válka, přírodní katastrofa nebo obdobný zásah vyšší moci), a jejich nesplnění povede ke znemožnění provedení Uměleckého výkonu, je Účinkující povinen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hradit Pořadateli všechny opodstatněné výdaje, které Pořadateli doposud vznikly vzhledem ke zrušení provedení Uměleckého výkonu. 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Pakliže Pořadatel nesplní závazky vyplývající z této Smlouvy z důvodů jiných, než je selhání Účinkujícího, a z důvodů jiný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ch, než které jsou mimo jeho kontrolu (politická regulace, válka, přírodní katastrofa nebo obdobný zásah vyšší moci), a jejich nesplnění povede ke znemožnění provedení Uměleckého výkonu, je Pořadatel povinen uhradit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Účinkujícímu Odměnu v plné výši dle čl.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 této Smlouvy spolu s opodstatněnými a doloženými výdaji, které Účinkujícímu vznikly vzhledem ke zrušení provedení Uměleckého výkonu. 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Odstoupení od smlouvy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widowControl w:val="0"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Změna podmínek, postavení, oprávnění aj. na straně kterékoli Smluvní strany nevede bez dalšího k zániku práv a povinností z této Smlouvy. Zásadní změny podmínek Smlouvy (např. změna programu, schématu, osoby dirigenta či sólisty, místa či času konání Produ</w:t>
      </w:r>
      <w:r>
        <w:rPr>
          <w:rFonts w:ascii="Times New Roman" w:eastAsia="Times New Roman" w:hAnsi="Times New Roman" w:cs="Times New Roman"/>
          <w:sz w:val="24"/>
          <w:szCs w:val="24"/>
        </w:rPr>
        <w:t>kce apod.) budou předmětem vzájemné a řádně zdokumentované dohody obou Smluvních stran.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případě, že teplota prostoru pódia bude 16° C a nižší, má Účinkující právo od Smlouvy kdykoli odstoupit, a to i během provádění Uměleckého výkonu dle této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Závěrečná ustanovení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widowControl w:val="0"/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Smluvní strany potvrzují, že tato Smlouva obsahuje celou dohodu mezi oběma Smluvními stranami ve věci provedení daného Uměleckého výkonu a nahrazuje jakékoliv předešlé domluvy.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Všechny záležitosti neošetřené v této Smlouvě jsou předmětem vzájemné dohody mezi oběma Smluvními stranami, příp. se řídí Občanským zákoníkem. Veškeré změny a nové skutečnosti budou řádně začleněny k této Smlouvě formou obligatorně písemných číslovaných do</w:t>
      </w:r>
      <w:r>
        <w:rPr>
          <w:rFonts w:ascii="Times New Roman" w:eastAsia="Times New Roman" w:hAnsi="Times New Roman" w:cs="Times New Roman"/>
          <w:sz w:val="24"/>
          <w:szCs w:val="24"/>
        </w:rPr>
        <w:t>datků.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Pořadatel tímto ručí Účinkujícímu, že má plné právo vstoupit do závazků vyplývajících z této Smlouvy a že nevstoupí do žádného závazku, který by mohl ohrozit jejich náležité uskutečnění.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Účinkující tímto ručí Pořadateli, že má plné právo vst</w:t>
      </w:r>
      <w:r>
        <w:rPr>
          <w:rFonts w:ascii="Times New Roman" w:eastAsia="Times New Roman" w:hAnsi="Times New Roman" w:cs="Times New Roman"/>
          <w:sz w:val="24"/>
          <w:szCs w:val="24"/>
        </w:rPr>
        <w:t>oupit do závazků vyplývajících z této Smlouvy a že nevstoupí do žádného závazku, který by mohl ohrozit jejich náležité uskutečnění.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 případě, že by se kterékoli ustanovení této Smlouvy stalo neplatným nebo neúčinným, nebude tím dotčena platnost nebo ú</w:t>
      </w:r>
      <w:r>
        <w:rPr>
          <w:rFonts w:ascii="Times New Roman" w:eastAsia="Times New Roman" w:hAnsi="Times New Roman" w:cs="Times New Roman"/>
          <w:sz w:val="24"/>
          <w:szCs w:val="24"/>
        </w:rPr>
        <w:t>činnost této Smlouvy jako celku. V takovém případě se Smluvní strany zavazují nahradit neplatné nebo neúčinné ustanovení této Smlouvy ustanovením platným a účinným, kterým bude přípustným způsobem dosaženo cíle sledovaného neplatným nebo neúčinným ustanove</w:t>
      </w:r>
      <w:r>
        <w:rPr>
          <w:rFonts w:ascii="Times New Roman" w:eastAsia="Times New Roman" w:hAnsi="Times New Roman" w:cs="Times New Roman"/>
          <w:sz w:val="24"/>
          <w:szCs w:val="24"/>
        </w:rPr>
        <w:t>ním.</w:t>
      </w: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Tato smlouva se řídí právním řádem České republiky a jako taková bude </w:t>
      </w:r>
      <w:r>
        <w:rPr>
          <w:rFonts w:ascii="Times New Roman" w:eastAsia="Times New Roman" w:hAnsi="Times New Roman" w:cs="Times New Roman"/>
          <w:sz w:val="24"/>
          <w:szCs w:val="24"/>
        </w:rPr>
        <w:t>účinkujícím zveřejněna</w:t>
      </w:r>
      <w:r>
        <w:rPr>
          <w:rFonts w:ascii="Times New Roman" w:eastAsia="Times New Roman" w:hAnsi="Times New Roman" w:cs="Times New Roman"/>
          <w:sz w:val="24"/>
          <w:szCs w:val="24"/>
        </w:rPr>
        <w:t>. Příslušné pro řešení jakýchkoli sporů, které nebudou vyřešeny Smluvními stranami smírně, jsou soudy České republiky, a to soudy místně příslušné na stran</w:t>
      </w:r>
      <w:r>
        <w:rPr>
          <w:rFonts w:ascii="Times New Roman" w:eastAsia="Times New Roman" w:hAnsi="Times New Roman" w:cs="Times New Roman"/>
          <w:sz w:val="24"/>
          <w:szCs w:val="24"/>
        </w:rPr>
        <w:t>ě Účinkujícího.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Tato Smlouva je vyhotovena ve dvou vyhotoveních, přičemž každá ze Smluvních stran dostane jedno vyhotovení.</w:t>
      </w:r>
    </w:p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 Tato Smlouva je ú</w:t>
      </w:r>
      <w:r>
        <w:rPr>
          <w:rFonts w:ascii="Times New Roman" w:eastAsia="Times New Roman" w:hAnsi="Times New Roman" w:cs="Times New Roman"/>
          <w:sz w:val="24"/>
          <w:szCs w:val="24"/>
        </w:rPr>
        <w:t>činná dnem podpisu poslední ze Smluvních stran.</w:t>
      </w:r>
    </w:p>
    <w:p w:rsidR="003D30EF" w:rsidRDefault="003D30EF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3D30EF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72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D30E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902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___________ dne 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902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___________ dne ____________</w:t>
            </w:r>
          </w:p>
        </w:tc>
      </w:tr>
      <w:tr w:rsidR="003D30E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3D30E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3D30E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0E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3D30E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3D30E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0E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3D30E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3D30E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0E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902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902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3D30EF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902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Michal Žáček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902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Mgr. Jan Žemla</w:t>
            </w:r>
          </w:p>
        </w:tc>
      </w:tr>
      <w:tr w:rsidR="003D30E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902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Pořadatel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30EF" w:rsidRDefault="00902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Účinkující</w:t>
            </w:r>
          </w:p>
        </w:tc>
      </w:tr>
    </w:tbl>
    <w:p w:rsidR="003D30EF" w:rsidRDefault="003D30EF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3D30EF" w:rsidRDefault="009024E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-828674</wp:posOffset>
            </wp:positionH>
            <wp:positionV relativeFrom="paragraph">
              <wp:posOffset>5582155</wp:posOffset>
            </wp:positionV>
            <wp:extent cx="7560310" cy="1622425"/>
            <wp:effectExtent l="0" t="0" r="0" b="0"/>
            <wp:wrapSquare wrapText="bothSides" distT="0" distB="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62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D30EF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693" w:right="1268" w:bottom="2977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E3" w:rsidRDefault="009024E3">
      <w:r>
        <w:separator/>
      </w:r>
    </w:p>
  </w:endnote>
  <w:endnote w:type="continuationSeparator" w:id="0">
    <w:p w:rsidR="009024E3" w:rsidRDefault="0090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EF" w:rsidRDefault="009024E3">
    <w:pPr>
      <w:tabs>
        <w:tab w:val="center" w:pos="4557"/>
        <w:tab w:val="right" w:pos="9115"/>
      </w:tabs>
      <w:spacing w:after="709"/>
      <w:rPr>
        <w:sz w:val="24"/>
        <w:szCs w:val="24"/>
      </w:rPr>
    </w:pPr>
    <w:r>
      <w:rPr>
        <w:sz w:val="24"/>
        <w:szCs w:val="24"/>
      </w:rPr>
      <w:t>[Type text]</w:t>
    </w:r>
    <w:r>
      <w:rPr>
        <w:sz w:val="24"/>
        <w:szCs w:val="24"/>
      </w:rPr>
      <w:tab/>
      <w:t>[Type text]</w:t>
    </w:r>
    <w:r>
      <w:rPr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EF" w:rsidRDefault="003D30EF">
    <w:pPr>
      <w:spacing w:after="709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E3" w:rsidRDefault="009024E3">
      <w:r>
        <w:separator/>
      </w:r>
    </w:p>
  </w:footnote>
  <w:footnote w:type="continuationSeparator" w:id="0">
    <w:p w:rsidR="009024E3" w:rsidRDefault="0090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EF" w:rsidRDefault="009024E3">
    <w:pPr>
      <w:tabs>
        <w:tab w:val="center" w:pos="4557"/>
        <w:tab w:val="right" w:pos="9115"/>
      </w:tabs>
      <w:spacing w:before="709"/>
      <w:rPr>
        <w:sz w:val="24"/>
        <w:szCs w:val="24"/>
      </w:rPr>
    </w:pPr>
    <w:r>
      <w:rPr>
        <w:sz w:val="24"/>
        <w:szCs w:val="24"/>
      </w:rPr>
      <w:t>[Type text]</w:t>
    </w:r>
    <w:r>
      <w:rPr>
        <w:sz w:val="24"/>
        <w:szCs w:val="24"/>
      </w:rPr>
      <w:tab/>
      <w:t>[Type text]</w:t>
    </w:r>
    <w:r>
      <w:rPr>
        <w:sz w:val="24"/>
        <w:szCs w:val="24"/>
      </w:rPr>
      <w:tab/>
      <w:t>[Type text]</w:t>
    </w:r>
  </w:p>
  <w:p w:rsidR="003D30EF" w:rsidRDefault="003D30EF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EF" w:rsidRDefault="009024E3">
    <w:pPr>
      <w:spacing w:before="709"/>
      <w:jc w:val="right"/>
      <w:rPr>
        <w:rFonts w:ascii="Etelka Light" w:eastAsia="Etelka Light" w:hAnsi="Etelka Light" w:cs="Etelka Light"/>
        <w:sz w:val="22"/>
        <w:szCs w:val="22"/>
      </w:rPr>
    </w:pPr>
    <w:r>
      <w:rPr>
        <w:rFonts w:ascii="Etelka Light" w:eastAsia="Etelka Light" w:hAnsi="Etelka Light" w:cs="Etelka Light"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-720089</wp:posOffset>
          </wp:positionH>
          <wp:positionV relativeFrom="paragraph">
            <wp:posOffset>-443864</wp:posOffset>
          </wp:positionV>
          <wp:extent cx="7565390" cy="170180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30EF" w:rsidRDefault="003D30EF">
    <w:pPr>
      <w:jc w:val="right"/>
      <w:rPr>
        <w:rFonts w:ascii="Etelka Light" w:eastAsia="Etelka Light" w:hAnsi="Etelka Light" w:cs="Etelka Light"/>
        <w:sz w:val="16"/>
        <w:szCs w:val="16"/>
      </w:rPr>
    </w:pPr>
  </w:p>
  <w:p w:rsidR="003D30EF" w:rsidRDefault="009024E3">
    <w:pPr>
      <w:tabs>
        <w:tab w:val="center" w:pos="4320"/>
        <w:tab w:val="right" w:pos="8640"/>
      </w:tabs>
      <w:jc w:val="right"/>
      <w:rPr>
        <w:rFonts w:ascii="Etelka Light" w:eastAsia="Etelka Light" w:hAnsi="Etelka Light" w:cs="Etelka Light"/>
        <w:sz w:val="16"/>
        <w:szCs w:val="16"/>
      </w:rPr>
    </w:pPr>
    <w:r>
      <w:rPr>
        <w:rFonts w:ascii="Etelka Light" w:eastAsia="Etelka Light" w:hAnsi="Etelka Light" w:cs="Etelka Light"/>
        <w:sz w:val="16"/>
        <w:szCs w:val="16"/>
      </w:rPr>
      <w:fldChar w:fldCharType="begin"/>
    </w:r>
    <w:r>
      <w:rPr>
        <w:rFonts w:ascii="Etelka Light" w:eastAsia="Etelka Light" w:hAnsi="Etelka Light" w:cs="Etelka Light"/>
        <w:sz w:val="16"/>
        <w:szCs w:val="16"/>
      </w:rPr>
      <w:instrText>PAGE</w:instrText>
    </w:r>
    <w:r w:rsidR="009F18D3">
      <w:rPr>
        <w:rFonts w:ascii="Etelka Light" w:eastAsia="Etelka Light" w:hAnsi="Etelka Light" w:cs="Etelka Light"/>
        <w:sz w:val="16"/>
        <w:szCs w:val="16"/>
      </w:rPr>
      <w:fldChar w:fldCharType="separate"/>
    </w:r>
    <w:r w:rsidR="009F18D3">
      <w:rPr>
        <w:rFonts w:ascii="Etelka Light" w:eastAsia="Etelka Light" w:hAnsi="Etelka Light" w:cs="Etelka Light"/>
        <w:noProof/>
        <w:sz w:val="16"/>
        <w:szCs w:val="16"/>
      </w:rPr>
      <w:t>6</w:t>
    </w:r>
    <w:r>
      <w:rPr>
        <w:rFonts w:ascii="Etelka Light" w:eastAsia="Etelka Light" w:hAnsi="Etelka Light" w:cs="Etelka Light"/>
        <w:sz w:val="16"/>
        <w:szCs w:val="16"/>
      </w:rPr>
      <w:fldChar w:fldCharType="end"/>
    </w:r>
    <w:r>
      <w:rPr>
        <w:rFonts w:ascii="Etelka Light" w:eastAsia="Etelka Light" w:hAnsi="Etelka Light" w:cs="Etelka Light"/>
        <w:sz w:val="16"/>
        <w:szCs w:val="16"/>
      </w:rPr>
      <w:t>/</w:t>
    </w:r>
    <w:r>
      <w:rPr>
        <w:rFonts w:ascii="Etelka Light" w:eastAsia="Etelka Light" w:hAnsi="Etelka Light" w:cs="Etelka Light"/>
        <w:sz w:val="16"/>
        <w:szCs w:val="16"/>
      </w:rPr>
      <w:fldChar w:fldCharType="begin"/>
    </w:r>
    <w:r>
      <w:rPr>
        <w:rFonts w:ascii="Etelka Light" w:eastAsia="Etelka Light" w:hAnsi="Etelka Light" w:cs="Etelka Light"/>
        <w:sz w:val="16"/>
        <w:szCs w:val="16"/>
      </w:rPr>
      <w:instrText>NUMPAGES</w:instrText>
    </w:r>
    <w:r w:rsidR="009F18D3">
      <w:rPr>
        <w:rFonts w:ascii="Etelka Light" w:eastAsia="Etelka Light" w:hAnsi="Etelka Light" w:cs="Etelka Light"/>
        <w:sz w:val="16"/>
        <w:szCs w:val="16"/>
      </w:rPr>
      <w:fldChar w:fldCharType="separate"/>
    </w:r>
    <w:r w:rsidR="009F18D3">
      <w:rPr>
        <w:rFonts w:ascii="Etelka Light" w:eastAsia="Etelka Light" w:hAnsi="Etelka Light" w:cs="Etelka Light"/>
        <w:noProof/>
        <w:sz w:val="16"/>
        <w:szCs w:val="16"/>
      </w:rPr>
      <w:t>6</w:t>
    </w:r>
    <w:r>
      <w:rPr>
        <w:rFonts w:ascii="Etelka Light" w:eastAsia="Etelka Light" w:hAnsi="Etelka Light" w:cs="Etelka Light"/>
        <w:sz w:val="16"/>
        <w:szCs w:val="16"/>
      </w:rPr>
      <w:fldChar w:fldCharType="end"/>
    </w:r>
  </w:p>
  <w:p w:rsidR="003D30EF" w:rsidRDefault="009024E3">
    <w:pPr>
      <w:jc w:val="right"/>
      <w:rPr>
        <w:rFonts w:ascii="Etelka Light" w:eastAsia="Etelka Light" w:hAnsi="Etelka Light" w:cs="Etelka Light"/>
        <w:sz w:val="16"/>
        <w:szCs w:val="16"/>
      </w:rPr>
    </w:pPr>
    <w:r>
      <w:rPr>
        <w:rFonts w:ascii="Etelka Light" w:eastAsia="Etelka Light" w:hAnsi="Etelka Light" w:cs="Etelka Light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E3DE7"/>
    <w:multiLevelType w:val="multilevel"/>
    <w:tmpl w:val="27C4FA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E6359CB"/>
    <w:multiLevelType w:val="multilevel"/>
    <w:tmpl w:val="FCFE39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01E2F8B"/>
    <w:multiLevelType w:val="multilevel"/>
    <w:tmpl w:val="45B804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94F0E68"/>
    <w:multiLevelType w:val="multilevel"/>
    <w:tmpl w:val="E256AC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9EF2971"/>
    <w:multiLevelType w:val="multilevel"/>
    <w:tmpl w:val="0CD811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EF"/>
    <w:rsid w:val="003D30EF"/>
    <w:rsid w:val="009024E3"/>
    <w:rsid w:val="009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21D5E-A8E5-4276-B52A-57DB4B3A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Szabova Marketa</dc:creator>
  <cp:lastModifiedBy>Szabova Marketa</cp:lastModifiedBy>
  <cp:revision>3</cp:revision>
  <dcterms:created xsi:type="dcterms:W3CDTF">2017-12-21T18:52:00Z</dcterms:created>
  <dcterms:modified xsi:type="dcterms:W3CDTF">2017-12-21T18:52:00Z</dcterms:modified>
</cp:coreProperties>
</file>