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5" w:rsidRDefault="004D7E15" w:rsidP="004D7E1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jc w:val="center"/>
        <w:rPr>
          <w:lang w:val="cs-CZ"/>
        </w:rPr>
      </w:pPr>
      <w:r>
        <w:rPr>
          <w:b/>
          <w:sz w:val="40"/>
          <w:lang w:val="cs-CZ"/>
        </w:rPr>
        <w:t xml:space="preserve">Kupní smlouva </w:t>
      </w:r>
      <w:r>
        <w:rPr>
          <w:lang w:val="cs-CZ"/>
        </w:rPr>
        <w:t xml:space="preserve">č. </w:t>
      </w:r>
      <w:r w:rsidR="0086156E">
        <w:rPr>
          <w:b/>
          <w:bCs/>
          <w:lang w:val="cs-CZ"/>
        </w:rPr>
        <w:t>MJ 1</w:t>
      </w:r>
      <w:r w:rsidR="00B47B0F">
        <w:rPr>
          <w:b/>
          <w:bCs/>
          <w:lang w:val="cs-CZ"/>
        </w:rPr>
        <w:t>7</w:t>
      </w:r>
      <w:r w:rsidR="00BB4A28">
        <w:rPr>
          <w:b/>
          <w:bCs/>
          <w:lang w:val="cs-CZ"/>
        </w:rPr>
        <w:t xml:space="preserve"> </w:t>
      </w:r>
      <w:r w:rsidR="00B47B0F">
        <w:rPr>
          <w:b/>
          <w:bCs/>
          <w:lang w:val="cs-CZ"/>
        </w:rPr>
        <w:t>450</w:t>
      </w:r>
    </w:p>
    <w:p w:rsidR="004D7E15" w:rsidRDefault="004D7E15" w:rsidP="004D7E15">
      <w:pPr>
        <w:pStyle w:val="Zkladntextodsazen"/>
      </w:pPr>
      <w:r>
        <w:t xml:space="preserve">uzavřená ve smyslu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v platném znění  - občanský zákoník </w:t>
      </w:r>
      <w:proofErr w:type="gramStart"/>
      <w:r>
        <w:t>mezi</w:t>
      </w:r>
      <w:proofErr w:type="gramEnd"/>
      <w:smartTag w:uri="urn:schemas-microsoft-com:office:smarttags" w:element="PersonName">
        <w:r>
          <w:t>:</w:t>
        </w:r>
      </w:smartTag>
    </w:p>
    <w:p w:rsidR="004D7E15" w:rsidRDefault="004D7E15" w:rsidP="004D7E15">
      <w:pPr>
        <w:rPr>
          <w:lang w:val="cs-CZ"/>
        </w:rPr>
      </w:pPr>
      <w:r>
        <w:rPr>
          <w:lang w:val="cs-CZ"/>
        </w:rPr>
        <w:t>Smluvní strany</w:t>
      </w:r>
      <w:smartTag w:uri="urn:schemas-microsoft-com:office:smarttags" w:element="PersonName">
        <w:r>
          <w:rPr>
            <w:lang w:val="cs-CZ"/>
          </w:rPr>
          <w:t>:</w:t>
        </w:r>
      </w:smartTag>
    </w:p>
    <w:p w:rsidR="004D7E15" w:rsidRDefault="004D7E15" w:rsidP="004D7E15">
      <w:pPr>
        <w:rPr>
          <w:lang w:val="cs-CZ"/>
        </w:rPr>
      </w:pPr>
    </w:p>
    <w:tbl>
      <w:tblPr>
        <w:tblW w:w="9355" w:type="dxa"/>
        <w:tblInd w:w="534" w:type="dxa"/>
        <w:tblLook w:val="0000" w:firstRow="0" w:lastRow="0" w:firstColumn="0" w:lastColumn="0" w:noHBand="0" w:noVBand="0"/>
      </w:tblPr>
      <w:tblGrid>
        <w:gridCol w:w="4677"/>
        <w:gridCol w:w="426"/>
        <w:gridCol w:w="4252"/>
      </w:tblGrid>
      <w:tr w:rsidR="004D7E15" w:rsidTr="006A6A49">
        <w:tc>
          <w:tcPr>
            <w:tcW w:w="4677" w:type="dxa"/>
          </w:tcPr>
          <w:p w:rsidR="004D7E15" w:rsidRPr="00804D34" w:rsidRDefault="004D7E15" w:rsidP="006A6A49">
            <w:pPr>
              <w:rPr>
                <w:b/>
                <w:lang w:val="cs-CZ"/>
              </w:rPr>
            </w:pPr>
            <w:r w:rsidRPr="00804D34">
              <w:rPr>
                <w:b/>
                <w:lang w:val="cs-CZ"/>
              </w:rPr>
              <w:t>S &amp; T Plus s.r.o.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252" w:type="dxa"/>
          </w:tcPr>
          <w:p w:rsidR="004D7E15" w:rsidRPr="00804D34" w:rsidRDefault="004D7E15" w:rsidP="006A6A49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Oblastní nemocnice Trutnov a.s.</w:t>
            </w:r>
            <w:r w:rsidRPr="00804D34">
              <w:rPr>
                <w:b/>
                <w:lang w:val="cs-CZ"/>
              </w:rPr>
              <w:t xml:space="preserve">                   </w:t>
            </w:r>
          </w:p>
        </w:tc>
      </w:tr>
      <w:tr w:rsidR="004D7E15" w:rsidTr="006A6A49">
        <w:tc>
          <w:tcPr>
            <w:tcW w:w="4677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Novodvorská 994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Maxima Gorkého 77, Kryblice</w:t>
            </w:r>
          </w:p>
        </w:tc>
      </w:tr>
      <w:tr w:rsidR="004D7E15" w:rsidTr="006A6A49">
        <w:tc>
          <w:tcPr>
            <w:tcW w:w="4677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142 21 Praha 4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541 01 Trutnov</w:t>
            </w:r>
          </w:p>
        </w:tc>
      </w:tr>
      <w:tr w:rsidR="004D7E15" w:rsidTr="006A6A49">
        <w:tc>
          <w:tcPr>
            <w:tcW w:w="4677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Jednající</w:t>
            </w:r>
            <w:smartTag w:uri="urn:schemas-microsoft-com:office:smarttags" w:element="PersonName">
              <w:r>
                <w:rPr>
                  <w:lang w:val="cs-CZ"/>
                </w:rPr>
                <w:t>:</w:t>
              </w:r>
            </w:smartTag>
            <w:r>
              <w:rPr>
                <w:lang w:val="cs-CZ"/>
              </w:rPr>
              <w:t xml:space="preserve"> RNDr. Ivo Strnad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1817BE">
            <w:pPr>
              <w:rPr>
                <w:lang w:val="cs-CZ"/>
              </w:rPr>
            </w:pPr>
            <w:r>
              <w:rPr>
                <w:lang w:val="cs-CZ"/>
              </w:rPr>
              <w:t>Jednající: MUDr.</w:t>
            </w:r>
            <w:r w:rsidR="001817BE">
              <w:rPr>
                <w:lang w:val="cs-CZ"/>
              </w:rPr>
              <w:t xml:space="preserve"> Martin Limburský</w:t>
            </w:r>
          </w:p>
        </w:tc>
      </w:tr>
      <w:tr w:rsidR="004D7E15" w:rsidTr="006A6A49">
        <w:tc>
          <w:tcPr>
            <w:tcW w:w="4677" w:type="dxa"/>
          </w:tcPr>
          <w:p w:rsidR="004D7E15" w:rsidRDefault="0086156E" w:rsidP="006A6A49">
            <w:pPr>
              <w:rPr>
                <w:lang w:val="cs-CZ"/>
              </w:rPr>
            </w:pPr>
            <w:r>
              <w:rPr>
                <w:lang w:val="cs-CZ"/>
              </w:rPr>
              <w:t>jednatel</w:t>
            </w:r>
            <w:r w:rsidR="004D7E15">
              <w:rPr>
                <w:lang w:val="cs-CZ"/>
              </w:rPr>
              <w:t xml:space="preserve"> společnosti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Předseda představenstva</w:t>
            </w:r>
          </w:p>
        </w:tc>
      </w:tr>
      <w:tr w:rsidR="004D7E15" w:rsidTr="006A6A49">
        <w:tc>
          <w:tcPr>
            <w:tcW w:w="4677" w:type="dxa"/>
          </w:tcPr>
          <w:p w:rsidR="004D7E15" w:rsidRDefault="004D7E15" w:rsidP="00F70730">
            <w:pPr>
              <w:rPr>
                <w:lang w:val="cs-CZ"/>
              </w:rPr>
            </w:pPr>
            <w:r>
              <w:rPr>
                <w:lang w:val="cs-CZ"/>
              </w:rPr>
              <w:t>IČ: 25701576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F70730">
            <w:pPr>
              <w:rPr>
                <w:lang w:val="cs-CZ"/>
              </w:rPr>
            </w:pPr>
            <w:r>
              <w:rPr>
                <w:lang w:val="cs-CZ"/>
              </w:rPr>
              <w:t>IČ: 26000237</w:t>
            </w:r>
          </w:p>
        </w:tc>
      </w:tr>
      <w:tr w:rsidR="004D7E15" w:rsidTr="006A6A49">
        <w:tc>
          <w:tcPr>
            <w:tcW w:w="4677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 xml:space="preserve">DIČ </w:t>
            </w:r>
            <w:smartTag w:uri="urn:schemas-microsoft-com:office:smarttags" w:element="PersonName">
              <w:r>
                <w:rPr>
                  <w:lang w:val="cs-CZ"/>
                </w:rPr>
                <w:t>:</w:t>
              </w:r>
            </w:smartTag>
            <w:r>
              <w:rPr>
                <w:lang w:val="cs-CZ"/>
              </w:rPr>
              <w:t xml:space="preserve"> CZ25701576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DIČ</w:t>
            </w:r>
            <w:smartTag w:uri="urn:schemas-microsoft-com:office:smarttags" w:element="PersonName">
              <w:r>
                <w:rPr>
                  <w:lang w:val="cs-CZ"/>
                </w:rPr>
                <w:t>:</w:t>
              </w:r>
            </w:smartTag>
            <w:r>
              <w:rPr>
                <w:lang w:val="cs-CZ"/>
              </w:rPr>
              <w:t xml:space="preserve">  CZ26000237</w:t>
            </w:r>
          </w:p>
        </w:tc>
      </w:tr>
      <w:tr w:rsidR="004D7E15" w:rsidRPr="00A972F6" w:rsidTr="006A6A49">
        <w:tc>
          <w:tcPr>
            <w:tcW w:w="4677" w:type="dxa"/>
          </w:tcPr>
          <w:p w:rsidR="004D7E15" w:rsidRPr="00B31AB3" w:rsidRDefault="004D7E15" w:rsidP="006A6A49">
            <w:pPr>
              <w:rPr>
                <w:lang w:val="cs-CZ"/>
              </w:rPr>
            </w:pPr>
            <w:r w:rsidRPr="00B31AB3">
              <w:rPr>
                <w:sz w:val="22"/>
                <w:szCs w:val="22"/>
                <w:lang w:val="cs-CZ"/>
              </w:rPr>
              <w:t xml:space="preserve">bank. </w:t>
            </w:r>
            <w:proofErr w:type="gramStart"/>
            <w:r w:rsidRPr="00B31AB3">
              <w:rPr>
                <w:sz w:val="22"/>
                <w:szCs w:val="22"/>
                <w:lang w:val="cs-CZ"/>
              </w:rPr>
              <w:t>spoj</w:t>
            </w:r>
            <w:proofErr w:type="gramEnd"/>
            <w:r w:rsidRPr="00B31AB3">
              <w:rPr>
                <w:sz w:val="22"/>
                <w:szCs w:val="22"/>
                <w:lang w:val="cs-CZ"/>
              </w:rPr>
              <w:t xml:space="preserve">.: </w:t>
            </w:r>
            <w:r w:rsidR="00A972F6">
              <w:rPr>
                <w:sz w:val="22"/>
                <w:szCs w:val="22"/>
                <w:lang w:val="cs-CZ"/>
              </w:rPr>
              <w:t>XXXX</w:t>
            </w:r>
          </w:p>
          <w:p w:rsidR="004D7E15" w:rsidRDefault="004D7E15" w:rsidP="00A972F6">
            <w:pPr>
              <w:rPr>
                <w:lang w:val="cs-CZ"/>
              </w:rPr>
            </w:pPr>
            <w:proofErr w:type="spellStart"/>
            <w:proofErr w:type="gramStart"/>
            <w:r>
              <w:rPr>
                <w:lang w:val="cs-CZ"/>
              </w:rPr>
              <w:t>č.ú</w:t>
            </w:r>
            <w:proofErr w:type="spellEnd"/>
            <w:r>
              <w:rPr>
                <w:lang w:val="cs-CZ"/>
              </w:rPr>
              <w:t>.:</w:t>
            </w:r>
            <w:proofErr w:type="gramEnd"/>
            <w:r>
              <w:rPr>
                <w:lang w:val="cs-CZ"/>
              </w:rPr>
              <w:t xml:space="preserve"> </w:t>
            </w:r>
            <w:r w:rsidR="00A972F6">
              <w:rPr>
                <w:lang w:val="cs-CZ"/>
              </w:rPr>
              <w:t>XXXX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 xml:space="preserve">bankovní spojení: </w:t>
            </w:r>
            <w:r w:rsidR="00A972F6">
              <w:rPr>
                <w:lang w:val="cs-CZ"/>
              </w:rPr>
              <w:t>XXXX</w:t>
            </w:r>
          </w:p>
          <w:p w:rsidR="004D7E15" w:rsidRDefault="00A972F6" w:rsidP="004D7E15">
            <w:pPr>
              <w:rPr>
                <w:lang w:val="cs-CZ"/>
              </w:rPr>
            </w:pPr>
            <w:proofErr w:type="spellStart"/>
            <w:proofErr w:type="gramStart"/>
            <w:r>
              <w:rPr>
                <w:lang w:val="cs-CZ"/>
              </w:rPr>
              <w:t>č.ú</w:t>
            </w:r>
            <w:proofErr w:type="spellEnd"/>
            <w:r>
              <w:rPr>
                <w:lang w:val="cs-CZ"/>
              </w:rPr>
              <w:t>.:</w:t>
            </w:r>
            <w:proofErr w:type="gramEnd"/>
            <w:r>
              <w:rPr>
                <w:lang w:val="cs-CZ"/>
              </w:rPr>
              <w:t xml:space="preserve"> XXXX</w:t>
            </w:r>
          </w:p>
        </w:tc>
      </w:tr>
      <w:tr w:rsidR="004D7E15" w:rsidRPr="002C1955" w:rsidTr="006A6A49">
        <w:tc>
          <w:tcPr>
            <w:tcW w:w="4677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zapsaná</w:t>
            </w:r>
            <w:smartTag w:uri="urn:schemas-microsoft-com:office:smarttags" w:element="PersonName">
              <w:r>
                <w:rPr>
                  <w:lang w:val="cs-CZ"/>
                </w:rPr>
                <w:t>:</w:t>
              </w:r>
            </w:smartTag>
            <w:r>
              <w:rPr>
                <w:lang w:val="cs-CZ"/>
              </w:rPr>
              <w:t xml:space="preserve"> </w:t>
            </w:r>
            <w:r>
              <w:rPr>
                <w:sz w:val="22"/>
                <w:lang w:val="cs-CZ"/>
              </w:rPr>
              <w:t>14. října 1998, oddíl C, vložka 62478, Městský soud v Praze</w:t>
            </w: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zapsaná: Krajský soud v Hradci Králové, oddíl B, vložka 2334</w:t>
            </w:r>
          </w:p>
          <w:p w:rsidR="004D7E15" w:rsidRDefault="004D7E15" w:rsidP="006A6A49">
            <w:pPr>
              <w:rPr>
                <w:lang w:val="cs-CZ"/>
              </w:rPr>
            </w:pPr>
          </w:p>
        </w:tc>
      </w:tr>
      <w:tr w:rsidR="004D7E15" w:rsidTr="006A6A49">
        <w:tc>
          <w:tcPr>
            <w:tcW w:w="4677" w:type="dxa"/>
          </w:tcPr>
          <w:p w:rsidR="004D7E15" w:rsidRDefault="002C1955" w:rsidP="006A6A49">
            <w:pPr>
              <w:rPr>
                <w:lang w:val="cs-CZ"/>
              </w:rPr>
            </w:pPr>
            <w:r>
              <w:rPr>
                <w:lang w:val="cs-CZ"/>
              </w:rPr>
              <w:t>dále jen prodávající</w:t>
            </w:r>
            <w:bookmarkStart w:id="0" w:name="_GoBack"/>
            <w:bookmarkEnd w:id="0"/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dále jen kupující</w:t>
            </w:r>
          </w:p>
        </w:tc>
      </w:tr>
      <w:tr w:rsidR="004D7E15" w:rsidTr="006A6A49">
        <w:tc>
          <w:tcPr>
            <w:tcW w:w="4677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6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252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</w:tr>
    </w:tbl>
    <w:p w:rsidR="004D7E15" w:rsidRDefault="004D7E15" w:rsidP="004D7E15">
      <w:pPr>
        <w:rPr>
          <w:sz w:val="16"/>
          <w:lang w:val="cs-CZ"/>
        </w:rPr>
      </w:pPr>
    </w:p>
    <w:p w:rsidR="004D7E15" w:rsidRDefault="004D7E15" w:rsidP="004D7E15">
      <w:pPr>
        <w:pStyle w:val="Nadpis2"/>
        <w:rPr>
          <w:lang w:val="cs-CZ"/>
        </w:rPr>
      </w:pPr>
      <w:bookmarkStart w:id="1" w:name="_Toc518801672"/>
      <w:r>
        <w:rPr>
          <w:lang w:val="cs-CZ"/>
        </w:rPr>
        <w:t>1. Předmět smlouvy</w:t>
      </w:r>
      <w:bookmarkEnd w:id="1"/>
    </w:p>
    <w:p w:rsidR="004D7E15" w:rsidRDefault="004D7E15" w:rsidP="004D7E15">
      <w:pPr>
        <w:numPr>
          <w:ilvl w:val="1"/>
          <w:numId w:val="1"/>
        </w:numPr>
        <w:jc w:val="both"/>
        <w:rPr>
          <w:lang w:val="cs-CZ"/>
        </w:rPr>
      </w:pPr>
      <w:r>
        <w:rPr>
          <w:lang w:val="cs-CZ"/>
        </w:rPr>
        <w:t>Předmětem smlouvy jsou práva a povinnosti smluvních stran při koupi a prodeji zdravotnické techniky (dále jen "zboží"). Přesná specifikace zboží je nedílnou součástí této kupní smlouvy jako její příloha (nabídka č. M</w:t>
      </w:r>
      <w:r w:rsidR="0086156E">
        <w:rPr>
          <w:lang w:val="cs-CZ"/>
        </w:rPr>
        <w:t>J 1</w:t>
      </w:r>
      <w:r w:rsidR="00F70730">
        <w:rPr>
          <w:lang w:val="cs-CZ"/>
        </w:rPr>
        <w:t>7 450</w:t>
      </w:r>
      <w:r>
        <w:rPr>
          <w:lang w:val="cs-CZ"/>
        </w:rPr>
        <w:t>).</w:t>
      </w:r>
    </w:p>
    <w:p w:rsidR="004D7E15" w:rsidRPr="00FF6967" w:rsidRDefault="004D7E15" w:rsidP="00C35CA9">
      <w:pPr>
        <w:numPr>
          <w:ilvl w:val="1"/>
          <w:numId w:val="1"/>
        </w:numPr>
        <w:jc w:val="both"/>
        <w:rPr>
          <w:lang w:val="cs-CZ"/>
        </w:rPr>
      </w:pPr>
      <w:r w:rsidRPr="00FF6967">
        <w:rPr>
          <w:lang w:val="cs-CZ"/>
        </w:rPr>
        <w:t>Součástí dodávky zb</w:t>
      </w:r>
      <w:r w:rsidR="00FF6967" w:rsidRPr="00FF6967">
        <w:rPr>
          <w:lang w:val="cs-CZ"/>
        </w:rPr>
        <w:t xml:space="preserve">oží je dodávka do místa určení </w:t>
      </w:r>
      <w:r w:rsidRPr="00FF6967">
        <w:rPr>
          <w:lang w:val="cs-CZ"/>
        </w:rPr>
        <w:t>a předání nabývacích dokladů, které se k dodávanému zboží vztahují, provozní manuály, jakož i příslušné dokumentace. Omezení, rozšíření a jiné podstatné změny v plnění této smlouvy jsou možné po předcházejícím souhlasu smluvních stran formou písemných dodatků, podepsaných k tomu oprávněnými zástupci obou smluvních stran.</w:t>
      </w:r>
    </w:p>
    <w:p w:rsidR="004D7E15" w:rsidRDefault="004D7E15" w:rsidP="004D7E15">
      <w:pPr>
        <w:numPr>
          <w:ilvl w:val="1"/>
          <w:numId w:val="1"/>
        </w:numPr>
        <w:jc w:val="both"/>
        <w:rPr>
          <w:lang w:val="cs-CZ"/>
        </w:rPr>
      </w:pPr>
      <w:r>
        <w:rPr>
          <w:lang w:val="cs-CZ"/>
        </w:rPr>
        <w:t>Prodávající se touto smlouvu zavazuje zboží kupujícímu odevzdat a umožnit mu nabýt vlastnické právo k němu. Kupující se touto smlouvou zavazuje zboží od prodávajícího převzít a zaplatit kupní cenu podle této smlouvy.</w:t>
      </w:r>
    </w:p>
    <w:p w:rsidR="004D7E15" w:rsidRDefault="004D7E15" w:rsidP="004D7E15">
      <w:pPr>
        <w:pStyle w:val="Nadpis2"/>
        <w:rPr>
          <w:lang w:val="cs-CZ"/>
        </w:rPr>
      </w:pPr>
      <w:bookmarkStart w:id="2" w:name="_Toc518801673"/>
      <w:r>
        <w:rPr>
          <w:lang w:val="cs-CZ"/>
        </w:rPr>
        <w:t>2. Kupní cena</w:t>
      </w:r>
      <w:bookmarkEnd w:id="2"/>
    </w:p>
    <w:p w:rsidR="004D7E15" w:rsidRDefault="004D7E15" w:rsidP="004D7E15">
      <w:pPr>
        <w:numPr>
          <w:ilvl w:val="1"/>
          <w:numId w:val="2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Kupní cena předmětu smlouvy byla stanovena po vzájemném ujednání smluvních stran následovně</w:t>
      </w:r>
      <w:smartTag w:uri="urn:schemas-microsoft-com:office:smarttags" w:element="PersonName">
        <w:r>
          <w:rPr>
            <w:color w:val="000000"/>
            <w:lang w:val="cs-CZ"/>
          </w:rPr>
          <w:t>:</w:t>
        </w:r>
      </w:smartTag>
    </w:p>
    <w:p w:rsidR="004D7E15" w:rsidRDefault="004D7E15" w:rsidP="004D7E15">
      <w:pPr>
        <w:ind w:left="720"/>
        <w:jc w:val="both"/>
        <w:rPr>
          <w:color w:val="000000"/>
          <w:lang w:val="cs-CZ"/>
        </w:rPr>
      </w:pPr>
    </w:p>
    <w:p w:rsidR="004D7E15" w:rsidRDefault="004D7E15" w:rsidP="004D7E15">
      <w:pPr>
        <w:ind w:left="7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Celková cena bez DPH:</w:t>
      </w:r>
      <w:r>
        <w:rPr>
          <w:color w:val="000000"/>
          <w:lang w:val="cs-CZ"/>
        </w:rPr>
        <w:tab/>
      </w:r>
      <w:r w:rsidR="00F70730">
        <w:rPr>
          <w:color w:val="000000"/>
          <w:lang w:val="cs-CZ"/>
        </w:rPr>
        <w:t>167 170</w:t>
      </w:r>
      <w:r>
        <w:rPr>
          <w:color w:val="000000"/>
          <w:lang w:val="cs-CZ"/>
        </w:rPr>
        <w:t>,00</w:t>
      </w:r>
      <w:r w:rsidR="0086156E">
        <w:rPr>
          <w:color w:val="000000"/>
          <w:lang w:val="cs-CZ"/>
        </w:rPr>
        <w:t xml:space="preserve"> Kč</w:t>
      </w:r>
    </w:p>
    <w:p w:rsidR="004D7E15" w:rsidRDefault="004D7E15" w:rsidP="004D7E15">
      <w:pPr>
        <w:ind w:left="7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DPH ve výši 21%:</w:t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  <w:t xml:space="preserve">  </w:t>
      </w:r>
      <w:r w:rsidR="00F70730">
        <w:rPr>
          <w:color w:val="000000"/>
          <w:lang w:val="cs-CZ"/>
        </w:rPr>
        <w:t>35 106</w:t>
      </w:r>
      <w:r w:rsidR="0086156E">
        <w:rPr>
          <w:color w:val="000000"/>
          <w:lang w:val="cs-CZ"/>
        </w:rPr>
        <w:t>,00 Kč</w:t>
      </w:r>
    </w:p>
    <w:p w:rsidR="004D7E15" w:rsidRDefault="004D7E15" w:rsidP="004D7E15">
      <w:pPr>
        <w:ind w:left="7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Celková cena včetně DPH:</w:t>
      </w:r>
      <w:r>
        <w:rPr>
          <w:color w:val="000000"/>
          <w:lang w:val="cs-CZ"/>
        </w:rPr>
        <w:tab/>
      </w:r>
      <w:r w:rsidR="00F70730">
        <w:rPr>
          <w:color w:val="000000"/>
          <w:lang w:val="cs-CZ"/>
        </w:rPr>
        <w:t>202 276</w:t>
      </w:r>
      <w:r>
        <w:rPr>
          <w:color w:val="000000"/>
          <w:lang w:val="cs-CZ"/>
        </w:rPr>
        <w:t>,00</w:t>
      </w:r>
      <w:r w:rsidR="0086156E">
        <w:rPr>
          <w:color w:val="000000"/>
          <w:lang w:val="cs-CZ"/>
        </w:rPr>
        <w:t xml:space="preserve"> Kč</w:t>
      </w:r>
    </w:p>
    <w:p w:rsidR="004D7E15" w:rsidRPr="00E1284C" w:rsidRDefault="004D7E15" w:rsidP="004D7E15">
      <w:pPr>
        <w:ind w:left="720"/>
        <w:jc w:val="both"/>
        <w:rPr>
          <w:color w:val="000000"/>
          <w:lang w:val="cs-CZ"/>
        </w:rPr>
      </w:pPr>
    </w:p>
    <w:p w:rsidR="004D7E15" w:rsidRDefault="004D7E15" w:rsidP="004D7E15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 xml:space="preserve">Cena zahrnuje: clo; celní a dovozní poplatky; záruční servis; dopravné; pojištění zaplacené do místa plnění; instalaci přístrojů; </w:t>
      </w:r>
      <w:r w:rsidRPr="0086156E">
        <w:rPr>
          <w:lang w:val="cs-CZ"/>
        </w:rPr>
        <w:t>zdarma</w:t>
      </w:r>
      <w:r>
        <w:rPr>
          <w:lang w:val="cs-CZ"/>
        </w:rPr>
        <w:t xml:space="preserve"> zaškolení personálu; návod k obsluze v českém jazyce. Po dodání zboží bude vystaven řádný daňový doklad.</w:t>
      </w:r>
    </w:p>
    <w:p w:rsidR="004D7E15" w:rsidRDefault="004D7E15" w:rsidP="004D7E15">
      <w:pPr>
        <w:jc w:val="both"/>
        <w:rPr>
          <w:lang w:val="cs-CZ"/>
        </w:rPr>
      </w:pPr>
    </w:p>
    <w:p w:rsidR="004D7E15" w:rsidRDefault="004D7E15" w:rsidP="004D7E15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Platební podmínky</w:t>
      </w:r>
      <w:smartTag w:uri="urn:schemas-microsoft-com:office:smarttags" w:element="PersonName">
        <w:r>
          <w:rPr>
            <w:lang w:val="cs-CZ"/>
          </w:rPr>
          <w:t>:</w:t>
        </w:r>
      </w:smartTag>
    </w:p>
    <w:p w:rsidR="004D7E15" w:rsidRPr="00C31AE5" w:rsidRDefault="004D7E15" w:rsidP="004D7E15">
      <w:pPr>
        <w:numPr>
          <w:ilvl w:val="2"/>
          <w:numId w:val="2"/>
        </w:numPr>
        <w:jc w:val="both"/>
        <w:rPr>
          <w:lang w:val="cs-CZ"/>
        </w:rPr>
      </w:pPr>
      <w:r>
        <w:rPr>
          <w:lang w:val="cs-CZ"/>
        </w:rPr>
        <w:t>Prodávající je povinen vystavit daňový doklad (dále jen "faktura"), který bude obsahovat náležitosti stanovené obecně závaznými právními předpisy.</w:t>
      </w:r>
    </w:p>
    <w:p w:rsidR="004D7E15" w:rsidRDefault="004D7E15" w:rsidP="004D7E15">
      <w:pPr>
        <w:numPr>
          <w:ilvl w:val="2"/>
          <w:numId w:val="2"/>
        </w:numPr>
        <w:jc w:val="both"/>
        <w:rPr>
          <w:lang w:val="cs-CZ"/>
        </w:rPr>
      </w:pPr>
      <w:r>
        <w:rPr>
          <w:lang w:val="cs-CZ"/>
        </w:rPr>
        <w:t>Kupující je povinen zaplatit kupní cenu následovně</w:t>
      </w:r>
      <w:smartTag w:uri="urn:schemas-microsoft-com:office:smarttags" w:element="PersonName">
        <w:r>
          <w:rPr>
            <w:lang w:val="cs-CZ"/>
          </w:rPr>
          <w:t>:</w:t>
        </w:r>
      </w:smartTag>
      <w:r>
        <w:rPr>
          <w:lang w:val="cs-CZ"/>
        </w:rPr>
        <w:t xml:space="preserve"> 100 % z kupní ceny do 30-ti dnů od dokončení instalace zboží prodávajícím.</w:t>
      </w:r>
    </w:p>
    <w:p w:rsidR="004D7E15" w:rsidRDefault="004D7E15" w:rsidP="004D7E15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lastRenderedPageBreak/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:rsidR="004D7E15" w:rsidRDefault="004D7E15" w:rsidP="004D7E15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V případě, že dojde v období ode dne podpisu do dne dodání podle čl.3. ke změně kurzu ČNB střed CZK/EUR o více než 4%, má prodávající právo upravit kupní cenu v souladu s touto změnou s písemným souhlasem obou smluvních stran. Smluvní strany se tuto změnu zavazují akceptovat bez výhrad.</w:t>
      </w:r>
      <w:bookmarkStart w:id="3" w:name="_Toc518801674"/>
    </w:p>
    <w:p w:rsidR="004D7E15" w:rsidRDefault="004D7E15" w:rsidP="004D7E15">
      <w:pPr>
        <w:jc w:val="both"/>
        <w:rPr>
          <w:lang w:val="cs-CZ"/>
        </w:rPr>
      </w:pPr>
    </w:p>
    <w:p w:rsidR="004D7E15" w:rsidRDefault="004D7E15" w:rsidP="004D7E15">
      <w:pPr>
        <w:pStyle w:val="Nadpis2"/>
        <w:rPr>
          <w:lang w:val="cs-CZ"/>
        </w:rPr>
      </w:pPr>
      <w:r>
        <w:rPr>
          <w:lang w:val="cs-CZ"/>
        </w:rPr>
        <w:t>3. Dodací podmínky</w:t>
      </w:r>
      <w:bookmarkEnd w:id="3"/>
    </w:p>
    <w:p w:rsidR="004D7E15" w:rsidRDefault="004D7E15" w:rsidP="004D7E15">
      <w:pPr>
        <w:ind w:left="709" w:hanging="709"/>
        <w:jc w:val="both"/>
        <w:rPr>
          <w:lang w:val="cs-CZ"/>
        </w:rPr>
      </w:pPr>
      <w:r>
        <w:rPr>
          <w:lang w:val="cs-CZ"/>
        </w:rPr>
        <w:t>3.1.</w:t>
      </w:r>
      <w:r>
        <w:rPr>
          <w:lang w:val="cs-CZ"/>
        </w:rPr>
        <w:tab/>
        <w:t xml:space="preserve">Čas plnění (dodávky zboží kupujícímu): do </w:t>
      </w:r>
      <w:r w:rsidR="00A6739B">
        <w:rPr>
          <w:lang w:val="cs-CZ"/>
        </w:rPr>
        <w:t xml:space="preserve">6 týdnů </w:t>
      </w:r>
      <w:r>
        <w:rPr>
          <w:lang w:val="cs-CZ"/>
        </w:rPr>
        <w:t>ode dne podepsání kupní smlouvy oběma smluvními stranami.</w:t>
      </w:r>
    </w:p>
    <w:p w:rsidR="004D7E15" w:rsidRPr="00C31AE5" w:rsidRDefault="004D7E15" w:rsidP="004D7E15">
      <w:pPr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>Místem plnění se rozumí místo instalace na adrese</w:t>
      </w:r>
      <w:smartTag w:uri="urn:schemas-microsoft-com:office:smarttags" w:element="PersonName">
        <w:r>
          <w:rPr>
            <w:lang w:val="cs-CZ"/>
          </w:rPr>
          <w:t>:</w:t>
        </w:r>
      </w:smartTag>
      <w:r>
        <w:rPr>
          <w:lang w:val="cs-CZ"/>
        </w:rPr>
        <w:t xml:space="preserve"> </w:t>
      </w:r>
      <w:r w:rsidRPr="00C31AE5">
        <w:rPr>
          <w:lang w:val="cs-CZ"/>
        </w:rPr>
        <w:t>Oblastní nemocnice Trutnov a.s., Maxima Gorkého 77, Kryblice</w:t>
      </w:r>
      <w:r>
        <w:rPr>
          <w:lang w:val="cs-CZ"/>
        </w:rPr>
        <w:t>, Trutnov.</w:t>
      </w:r>
      <w:r w:rsidRPr="00C31AE5">
        <w:rPr>
          <w:lang w:val="cs-CZ"/>
        </w:rPr>
        <w:t xml:space="preserve">                  </w:t>
      </w:r>
    </w:p>
    <w:p w:rsidR="004D7E15" w:rsidRDefault="004D7E15" w:rsidP="004D7E15">
      <w:pPr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>Prodávající je povinen vyzvat kupujícího k převzetí zboží nejméně 2 dny předem. Kupující je povinen zajistit podmínky pro instalaci zboží dle čl. 4 této smlouvy.  Pokud tak kupující neučiní, není prodávající v prodlení s dodávkou zboží a čas plnění se prodlužuje o dobu odpovídající počtu dní od data, kdy mělo být zboží předáno dle výzvy prodávajícího kupujícímu, do doby, kdy budou podmínky pro instalaci zboží dle čl. 4 této smlouvy splněny a tato skutečnost bude písemně oznámena kupujícím prodávajícímu plus 5 pracovních dní.</w:t>
      </w:r>
    </w:p>
    <w:p w:rsidR="004D7E15" w:rsidRPr="0086156E" w:rsidRDefault="004D7E15" w:rsidP="004D7E15">
      <w:pPr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 xml:space="preserve">Prodávající je oprávněn dodat, nainstalovat i částečnou dodávku pokud tvoří funkční celek. Kupující je povinen částečnou dodávku převzít. Ostatní ustanovení smlouvy se použijí přiměřeně. </w:t>
      </w:r>
      <w:r w:rsidRPr="0086156E">
        <w:rPr>
          <w:lang w:val="cs-CZ"/>
        </w:rPr>
        <w:t>Kupující není povinen takovou částečnou dodávku hradit dříve, než je dokončena instalace celého zboží a vystavena faktura v souladu s čl. II.</w:t>
      </w:r>
    </w:p>
    <w:p w:rsidR="004D7E15" w:rsidRDefault="004D7E15" w:rsidP="004D7E15">
      <w:pPr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>Dodávka bude potvrzena podpisem dodacího listu k tomu pověřenými zástupci obou smluvních stran.</w:t>
      </w:r>
    </w:p>
    <w:p w:rsidR="004D7E15" w:rsidRDefault="004D7E15" w:rsidP="004D7E15">
      <w:pPr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 xml:space="preserve">Vlastnické právo ke  zboží dle této kupní smlouvy přechází na kupujícího dnem zaplacení celé kupní ceny. Nebezpečí vzniku škody přechází na kupujícího podpisem dodacího listu.  </w:t>
      </w:r>
    </w:p>
    <w:p w:rsidR="004D7E15" w:rsidRDefault="004D7E15" w:rsidP="004D7E15">
      <w:pPr>
        <w:numPr>
          <w:ilvl w:val="1"/>
          <w:numId w:val="3"/>
        </w:numPr>
        <w:jc w:val="both"/>
        <w:rPr>
          <w:lang w:val="cs-CZ"/>
        </w:rPr>
      </w:pPr>
      <w:r>
        <w:rPr>
          <w:lang w:val="cs-CZ"/>
        </w:rPr>
        <w:t>Po instalaci zboží bude podepsán protokol o instalaci, předání a funkčnosti zboží, který podepíší k tomu oprávnění zástupci obou smluvních stran, a který slouží jako záruční list.</w:t>
      </w:r>
    </w:p>
    <w:p w:rsidR="004D7E15" w:rsidRDefault="004D7E15" w:rsidP="004D7E15">
      <w:pPr>
        <w:pStyle w:val="Nadpis2"/>
        <w:rPr>
          <w:lang w:val="cs-CZ"/>
        </w:rPr>
      </w:pPr>
      <w:bookmarkStart w:id="4" w:name="_Toc518801675"/>
      <w:r>
        <w:rPr>
          <w:lang w:val="cs-CZ"/>
        </w:rPr>
        <w:t>4. Instalační podmínky</w:t>
      </w:r>
      <w:bookmarkEnd w:id="4"/>
    </w:p>
    <w:p w:rsidR="004D7E15" w:rsidRDefault="004D7E15" w:rsidP="004D7E15">
      <w:pPr>
        <w:numPr>
          <w:ilvl w:val="1"/>
          <w:numId w:val="4"/>
        </w:numPr>
        <w:jc w:val="both"/>
        <w:rPr>
          <w:lang w:val="cs-CZ"/>
        </w:rPr>
      </w:pPr>
      <w:r>
        <w:rPr>
          <w:lang w:val="cs-CZ"/>
        </w:rPr>
        <w:t xml:space="preserve">Kupující je povinen zpřístupnit pro instalaci přístroje dodaného podle této smlouvy vyhovující prostory a zajistit odpovídající podmínky pro provoz (t.j. s běžnými hodnotami vlhkosti a prašnosti pro nemocniční prostředí, se schválenou elektrickou instalací dle ČSN 332140). </w:t>
      </w:r>
    </w:p>
    <w:p w:rsidR="004D7E15" w:rsidRPr="00FF6967" w:rsidRDefault="004D7E15" w:rsidP="00FA3DE2">
      <w:pPr>
        <w:numPr>
          <w:ilvl w:val="1"/>
          <w:numId w:val="4"/>
        </w:numPr>
        <w:jc w:val="both"/>
        <w:rPr>
          <w:lang w:val="cs-CZ"/>
        </w:rPr>
      </w:pPr>
      <w:bookmarkStart w:id="5" w:name="OLE_LINK1"/>
      <w:r w:rsidRPr="00FF6967">
        <w:rPr>
          <w:color w:val="000000"/>
          <w:szCs w:val="20"/>
          <w:lang w:val="cs-CZ" w:eastAsia="cs-CZ"/>
        </w:rPr>
        <w:t>Kupující je povinen si zajistit správu a archivaci dat z předmětu prodeje. Kupující je dále povinen určit odpovědnou osobu, která bude vyškolena servisním střediskem prodávajícího a bude zodpovědná za správu a archivaci dat, která budou pořízena na dodaném přístroji, případně připojení do stávajícího informačního systému kupujícího.</w:t>
      </w:r>
      <w:bookmarkStart w:id="6" w:name="_Toc518801676"/>
      <w:bookmarkEnd w:id="5"/>
    </w:p>
    <w:p w:rsidR="004D7E15" w:rsidRDefault="004D7E15" w:rsidP="004D7E15">
      <w:pPr>
        <w:rPr>
          <w:lang w:val="cs-CZ"/>
        </w:rPr>
      </w:pPr>
    </w:p>
    <w:p w:rsidR="004D7E15" w:rsidRDefault="004D7E15" w:rsidP="004D7E15">
      <w:pPr>
        <w:pStyle w:val="Nadpis2"/>
        <w:rPr>
          <w:lang w:val="cs-CZ"/>
        </w:rPr>
      </w:pPr>
      <w:r>
        <w:rPr>
          <w:lang w:val="cs-CZ"/>
        </w:rPr>
        <w:t>5. Odpovědnost za vady, záruka za jakost zboží, záruční pod. a servis</w:t>
      </w:r>
      <w:bookmarkEnd w:id="6"/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>Prodávající přejímá níže uvedenou záruku za jakost zboží dodaného podle této smlouvy</w:t>
      </w:r>
      <w:smartTag w:uri="urn:schemas-microsoft-com:office:smarttags" w:element="PersonName">
        <w:r>
          <w:rPr>
            <w:lang w:val="cs-CZ"/>
          </w:rPr>
          <w:t>:</w:t>
        </w:r>
      </w:smartTag>
    </w:p>
    <w:p w:rsidR="004D7E15" w:rsidRDefault="004D7E15" w:rsidP="004D7E15">
      <w:pPr>
        <w:numPr>
          <w:ilvl w:val="2"/>
          <w:numId w:val="5"/>
        </w:numPr>
        <w:jc w:val="both"/>
        <w:rPr>
          <w:lang w:val="cs-CZ"/>
        </w:rPr>
      </w:pPr>
      <w:r>
        <w:rPr>
          <w:lang w:val="cs-CZ"/>
        </w:rPr>
        <w:t xml:space="preserve">záruční lhůta na základní přístroj je </w:t>
      </w:r>
      <w:r w:rsidR="00FF6967">
        <w:rPr>
          <w:lang w:val="cs-CZ"/>
        </w:rPr>
        <w:t>96</w:t>
      </w:r>
      <w:r>
        <w:rPr>
          <w:lang w:val="cs-CZ"/>
        </w:rPr>
        <w:t xml:space="preserve"> měsíců </w:t>
      </w:r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 xml:space="preserve">Záruční lhůta počíná běžet dnem </w:t>
      </w:r>
      <w:r w:rsidR="00FF6967">
        <w:rPr>
          <w:lang w:val="cs-CZ"/>
        </w:rPr>
        <w:t>předání zboží</w:t>
      </w:r>
      <w:r>
        <w:rPr>
          <w:lang w:val="cs-CZ"/>
        </w:rPr>
        <w:t>, nejpozději však 1 měsíc po výzvě prodávajícího k převzetí zboží dle ustanovení 3.3. této smlouvy.</w:t>
      </w:r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 xml:space="preserve">Zárukou se prodávající zavazuje, že zboží bude po záruční dobu způsobilé pro účel, pro který zboží slouží, a že bude mít vlastnosti obvyklé pro dané zboží. Záruka platí jen za podmínky, že vada není zaviněna kupujícím, resp. třetími osobami, kterým kupující umožnil zboží používat, kupující řádně a včas plní povinnosti dle odst. 5.8. této smlouvy a vada není způsobena vyšší mocí či jinou vnější událostí, která nastala po přechodu nebezpečí škody na zboží. Odchylky zboží od stavu uvedeného v první větě tohoto odstavce představují záruční </w:t>
      </w:r>
      <w:r>
        <w:rPr>
          <w:lang w:val="cs-CZ"/>
        </w:rPr>
        <w:lastRenderedPageBreak/>
        <w:t xml:space="preserve">vady za podmínky, že na danou vadu platí záruka. Po záruční dobu se prodávající zavazuje bezplatně odstraňovat záruční vady na dodaném zboží. </w:t>
      </w:r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>Náklady na pozáruční servis budou vyčísleny podle ceníku náhradních dílů a ceníku prací prodávajícího platných v den dodání služby, pokud není stanoveno jinak.</w:t>
      </w:r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 xml:space="preserve">Záruční servis je prováděn výhradně servisním oddělením prodávajícího a pozáruční servis je prováděn autorizovaným servisním střediskem v souladu se zákonem č. </w:t>
      </w:r>
      <w:r w:rsidR="00FF6967">
        <w:rPr>
          <w:lang w:val="cs-CZ"/>
        </w:rPr>
        <w:t>268</w:t>
      </w:r>
      <w:r>
        <w:rPr>
          <w:lang w:val="cs-CZ"/>
        </w:rPr>
        <w:t>/20</w:t>
      </w:r>
      <w:r w:rsidR="00FF6967">
        <w:rPr>
          <w:lang w:val="cs-CZ"/>
        </w:rPr>
        <w:t>14</w:t>
      </w:r>
      <w:r>
        <w:rPr>
          <w:lang w:val="cs-CZ"/>
        </w:rPr>
        <w:t xml:space="preserve"> Sb. </w:t>
      </w:r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 xml:space="preserve">V záruční době je garantovaná doba odezvy v pracovní době do 4 hodin, nástup na opravu nejpozději do 2 pracovních dnů od nahlášení závady, které musí být provedeno výhradně písemnou formou (faxem) na adresu prodávajícího (dispečink servisního oddělení prodávajícího, fax </w:t>
      </w:r>
      <w:r w:rsidR="00A972F6">
        <w:rPr>
          <w:lang w:val="cs-CZ"/>
        </w:rPr>
        <w:t>XXXX</w:t>
      </w:r>
      <w:r>
        <w:rPr>
          <w:lang w:val="cs-CZ"/>
        </w:rPr>
        <w:t xml:space="preserve">, telefon </w:t>
      </w:r>
      <w:r w:rsidR="00A972F6">
        <w:rPr>
          <w:lang w:val="cs-CZ"/>
        </w:rPr>
        <w:t>XXXX</w:t>
      </w:r>
      <w:r>
        <w:rPr>
          <w:lang w:val="cs-CZ"/>
        </w:rPr>
        <w:t xml:space="preserve">), e-mail: </w:t>
      </w:r>
      <w:r w:rsidR="00A972F6">
        <w:rPr>
          <w:lang w:val="cs-CZ"/>
        </w:rPr>
        <w:t>XXXX</w:t>
      </w:r>
      <w:r>
        <w:rPr>
          <w:lang w:val="cs-CZ"/>
        </w:rPr>
        <w:t xml:space="preserve"> Opravy se budou provádět na místě instalace zařízení u uživatele. V případě neopravitelných závad bude oprava provedena výměnou zařízení za ekvivalentní typ.</w:t>
      </w:r>
    </w:p>
    <w:p w:rsidR="004D7E15" w:rsidRDefault="004D7E15" w:rsidP="004D7E15">
      <w:pPr>
        <w:numPr>
          <w:ilvl w:val="1"/>
          <w:numId w:val="5"/>
        </w:numPr>
        <w:jc w:val="both"/>
        <w:rPr>
          <w:lang w:val="cs-CZ"/>
        </w:rPr>
      </w:pPr>
      <w:r>
        <w:rPr>
          <w:lang w:val="cs-CZ"/>
        </w:rPr>
        <w:t>Reklamace funkčnosti a servisních úkonů budou uplatňovány písemně na adrese  prodávajícího (dispečink).</w:t>
      </w:r>
    </w:p>
    <w:p w:rsidR="004D7E15" w:rsidRPr="005A2422" w:rsidRDefault="004D7E15" w:rsidP="004D7E15">
      <w:pPr>
        <w:numPr>
          <w:ilvl w:val="1"/>
          <w:numId w:val="5"/>
        </w:numPr>
        <w:jc w:val="both"/>
        <w:rPr>
          <w:b/>
          <w:bCs/>
          <w:i/>
          <w:iCs/>
          <w:lang w:val="cs-CZ"/>
        </w:rPr>
      </w:pPr>
      <w:bookmarkStart w:id="7" w:name="_Toc518801677"/>
      <w:r w:rsidRPr="005A2422">
        <w:rPr>
          <w:lang w:val="cs-CZ"/>
        </w:rPr>
        <w:t xml:space="preserve">Pro správnou funkčnost zboží a zachování záručních práv, je kupující povinen v souladu s pokyny výrobce a ve lhůtách jím stanovených, provádět prostřednictvím autorizovaného dodavatele preventivní prohlídky zboží. Záruka se nevztahuje na díly, které musí být, dle pokynů výrobce, preventivně po určité době používání vyměněny, jedná-li se o takovou výměnu, a to ani v případě, že výměna je prováděna v záruční době. </w:t>
      </w:r>
      <w:r w:rsidRPr="005A2422">
        <w:rPr>
          <w:bCs/>
          <w:lang w:val="cs-CZ"/>
        </w:rPr>
        <w:t xml:space="preserve">Kupující se zavazuje předávat předmětné přístroje za účelem prací v záručním a pozáručním servisu vždy dekontaminované, dezinfikované a zbavené zbytků krve. V případě, že bude zjištěna kontaminace nebo zbytky krve, má prodávající právo účtovat kupujícímu náklady za provedení  dekontaminace. </w:t>
      </w:r>
      <w:r w:rsidRPr="005A2422">
        <w:rPr>
          <w:lang w:val="cs-CZ"/>
        </w:rPr>
        <w:t>Preventivní prohlídk</w:t>
      </w:r>
      <w:r>
        <w:rPr>
          <w:lang w:val="cs-CZ"/>
        </w:rPr>
        <w:t xml:space="preserve">y </w:t>
      </w:r>
      <w:r w:rsidRPr="005A2422">
        <w:rPr>
          <w:lang w:val="cs-CZ"/>
        </w:rPr>
        <w:t>jsou součástí dodávky</w:t>
      </w:r>
      <w:r>
        <w:rPr>
          <w:lang w:val="cs-CZ"/>
        </w:rPr>
        <w:t xml:space="preserve"> a prováděny zdarma po dobu záruky.</w:t>
      </w:r>
    </w:p>
    <w:p w:rsidR="004D7E15" w:rsidRDefault="004D7E15" w:rsidP="004D7E15">
      <w:pPr>
        <w:jc w:val="both"/>
        <w:rPr>
          <w:b/>
          <w:bCs/>
          <w:i/>
          <w:iCs/>
          <w:lang w:val="cs-CZ"/>
        </w:rPr>
      </w:pPr>
    </w:p>
    <w:p w:rsidR="004D7E15" w:rsidRDefault="004D7E15" w:rsidP="004D7E15">
      <w:pPr>
        <w:pStyle w:val="Nadpis2"/>
        <w:rPr>
          <w:lang w:val="cs-CZ"/>
        </w:rPr>
      </w:pPr>
      <w:r>
        <w:rPr>
          <w:lang w:val="cs-CZ"/>
        </w:rPr>
        <w:t>6. Sankce za prodlení</w:t>
      </w:r>
      <w:bookmarkEnd w:id="7"/>
    </w:p>
    <w:p w:rsidR="004D7E15" w:rsidRDefault="004D7E15" w:rsidP="004D7E15">
      <w:pPr>
        <w:numPr>
          <w:ilvl w:val="1"/>
          <w:numId w:val="6"/>
        </w:numPr>
        <w:jc w:val="both"/>
        <w:rPr>
          <w:lang w:val="cs-CZ"/>
        </w:rPr>
      </w:pPr>
      <w:r>
        <w:rPr>
          <w:lang w:val="cs-CZ"/>
        </w:rPr>
        <w:t xml:space="preserve">Sankce za prodlení v dodávce. V případě zpoždění dodávky proti dodacím lhůtám uvedeným v čl. 3.1. této kupní smlouvy se prodávající zavazuje zaplatit smluvní pokutu ve výši 0,05% z ceny nedodaného zboží za každý započatý den prodlení po uplynutí 14 ti  dnů od sjednaného data dodání , maximálně však 3% z ceny nedodaného zboží resp. jeho nedodané části. </w:t>
      </w:r>
    </w:p>
    <w:p w:rsidR="004D7E15" w:rsidRPr="0086156E" w:rsidRDefault="004D7E15" w:rsidP="004D7E15">
      <w:pPr>
        <w:numPr>
          <w:ilvl w:val="1"/>
          <w:numId w:val="6"/>
        </w:numPr>
        <w:jc w:val="both"/>
        <w:rPr>
          <w:lang w:val="cs-CZ"/>
        </w:rPr>
      </w:pPr>
      <w:r w:rsidRPr="0086156E">
        <w:rPr>
          <w:lang w:val="cs-CZ"/>
        </w:rPr>
        <w:t>Sankce za prodlení v převzetí zboží. V případě, že kupující nepřevezme zboží od prodávajícího do třech týdnů od doručení výzvy k převzetí zboží ve smyslu čl. 3.3. této smlouvy,  zavazuje se kupující zaplatit prodávajícímu smluvní pokutu ve výši 0,05% z  ceny za každý započatý den prodlení po uplynutí 14 ti dnů od avizovaného data předání,  maximálně však 3%.</w:t>
      </w:r>
    </w:p>
    <w:p w:rsidR="004D7E15" w:rsidRDefault="004D7E15" w:rsidP="004D7E15">
      <w:pPr>
        <w:numPr>
          <w:ilvl w:val="1"/>
          <w:numId w:val="6"/>
        </w:numPr>
        <w:jc w:val="both"/>
        <w:rPr>
          <w:lang w:val="cs-CZ"/>
        </w:rPr>
      </w:pPr>
      <w:r>
        <w:rPr>
          <w:lang w:val="cs-CZ"/>
        </w:rPr>
        <w:t xml:space="preserve">Sankce za prodlení v placení. V případě, že kupující nezaplatí řádně a včas fakturu za zboží, je kupující povinen na základě výzvy prodávajícího povinen zaplatit smluvní pokutu ve výši ve výši 0,05% z dlužné částky za každý započatý den prodlení. V případě, že prodávající vyzve kupujícího k zaplacení smluvní pokuty, je kupující povinen ji zaplatit nejpozději do 7 dnů od doručení písemné výzvy k zaplacení. </w:t>
      </w:r>
      <w:bookmarkStart w:id="8" w:name="_Toc518801678"/>
    </w:p>
    <w:p w:rsidR="004D7E15" w:rsidRPr="00216029" w:rsidRDefault="004D7E15" w:rsidP="008C27E9">
      <w:pPr>
        <w:numPr>
          <w:ilvl w:val="1"/>
          <w:numId w:val="6"/>
        </w:numPr>
        <w:jc w:val="both"/>
        <w:rPr>
          <w:lang w:val="cs-CZ"/>
        </w:rPr>
      </w:pPr>
      <w:r w:rsidRPr="00216029">
        <w:rPr>
          <w:lang w:val="cs-CZ"/>
        </w:rPr>
        <w:t>Promlčecí lhůta pro uplatnění práva na zaplacení kupní ceny činí dle dohody smluvních stran 5 let.</w:t>
      </w:r>
    </w:p>
    <w:p w:rsidR="004D7E15" w:rsidRDefault="004D7E15" w:rsidP="004D7E15">
      <w:pPr>
        <w:pStyle w:val="Nadpis2"/>
        <w:rPr>
          <w:lang w:val="cs-CZ"/>
        </w:rPr>
      </w:pPr>
      <w:r>
        <w:rPr>
          <w:lang w:val="cs-CZ"/>
        </w:rPr>
        <w:t>7. Vyšší moc</w:t>
      </w:r>
      <w:bookmarkEnd w:id="8"/>
    </w:p>
    <w:p w:rsidR="004D7E15" w:rsidRDefault="004D7E15" w:rsidP="004D7E15">
      <w:pPr>
        <w:numPr>
          <w:ilvl w:val="1"/>
          <w:numId w:val="7"/>
        </w:numPr>
        <w:jc w:val="both"/>
        <w:rPr>
          <w:lang w:val="cs-CZ"/>
        </w:rPr>
      </w:pPr>
      <w:r>
        <w:rPr>
          <w:lang w:val="cs-CZ"/>
        </w:rPr>
        <w:t>Žádná ze smluvních stran neodpovídá za jakékoli zpoždění nebo nesplnění závazků vyplývajících z této kupní smlouvy, pokud je toto zpoždění nebo nesplnění způsobené událostmi, ohledně kterých prokáže, že je nezavinila nebo jsou zapříčiněny vyšší mocí.</w:t>
      </w:r>
    </w:p>
    <w:p w:rsidR="001817BE" w:rsidRDefault="001817BE" w:rsidP="004D7E15">
      <w:pPr>
        <w:pStyle w:val="Nadpis2"/>
        <w:rPr>
          <w:lang w:val="cs-CZ"/>
        </w:rPr>
      </w:pPr>
      <w:bookmarkStart w:id="9" w:name="_Toc518801679"/>
    </w:p>
    <w:p w:rsidR="004D7E15" w:rsidRDefault="004D7E15" w:rsidP="004D7E15">
      <w:pPr>
        <w:pStyle w:val="Nadpis2"/>
        <w:rPr>
          <w:lang w:val="cs-CZ"/>
        </w:rPr>
      </w:pPr>
      <w:r>
        <w:rPr>
          <w:lang w:val="cs-CZ"/>
        </w:rPr>
        <w:t>8. Ostatní ujednání</w:t>
      </w:r>
      <w:bookmarkEnd w:id="9"/>
    </w:p>
    <w:p w:rsidR="004D7E15" w:rsidRDefault="004D7E15" w:rsidP="004D7E15">
      <w:pPr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Smluvními stranami bylo ujednáno, že veškeré informace, jež si navzájem poskytnou, jsou důvěrné a žádná ze smluvních stran není oprávněna je poskytnout třetí osobě ani použít v rozporu s jejich účelem pro své potřeby.</w:t>
      </w:r>
    </w:p>
    <w:p w:rsidR="004D7E15" w:rsidRDefault="004D7E15" w:rsidP="004D7E15">
      <w:pPr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 xml:space="preserve">Prodávající je oprávněn postoupit pohledávky vůči kupujícímu vyplývající z této smlouvy jakékoliv třetí osobě, zejména bance či jiné firmě zabývající se financováním pohledávek, a to smlouvou o postoupení pohledávky dle </w:t>
      </w:r>
      <w:proofErr w:type="spellStart"/>
      <w:r>
        <w:rPr>
          <w:lang w:val="cs-CZ"/>
        </w:rPr>
        <w:t>ust</w:t>
      </w:r>
      <w:proofErr w:type="spellEnd"/>
      <w:r>
        <w:rPr>
          <w:lang w:val="cs-CZ"/>
        </w:rPr>
        <w:t>. § 1879 a násl. občanského zákoníku, případně ji zcizit jakýmkoliv jiným způsobem přípustným podle příslušných právních předpisů platných a účinných v rozhodné době.</w:t>
      </w:r>
    </w:p>
    <w:p w:rsidR="004D7E15" w:rsidRDefault="004D7E15" w:rsidP="004D7E15">
      <w:pPr>
        <w:numPr>
          <w:ilvl w:val="1"/>
          <w:numId w:val="8"/>
        </w:numPr>
        <w:jc w:val="both"/>
        <w:rPr>
          <w:lang w:val="cs-CZ"/>
        </w:rPr>
      </w:pPr>
      <w:r>
        <w:rPr>
          <w:lang w:val="cs-CZ"/>
        </w:rPr>
        <w:t>Kupující je na základě písemné výzvy prodávajícího povinen jakýkoliv svůj závazek vzniklý v souvislosti s touto smlouvou písemně uznat co do důvodu a výše. V případě, že takové uznání kupující nepředloží prodávajícímu do 5 (pěti) pracovních dnů od doručení výzvy prodávajícího, končí uplynutím této lhůty záruční lhůta uvedená v čl. 5.1.1. a 5.1.2. této smlouvy, a to bez ohledu na předpokládaný datum uplynutí bez takového zkrácení. Tím okamžikem zaniká i povinnost prodávajícího poskytovat záruční servis upravená v čl. 5.3., 5.5. a 5.6. této smlouvy.</w:t>
      </w:r>
    </w:p>
    <w:p w:rsidR="004D7E15" w:rsidRDefault="004D7E15" w:rsidP="004D7E15">
      <w:pPr>
        <w:pStyle w:val="Nadpis2"/>
        <w:rPr>
          <w:lang w:val="cs-CZ"/>
        </w:rPr>
      </w:pPr>
      <w:bookmarkStart w:id="10" w:name="_Toc518801680"/>
      <w:r>
        <w:rPr>
          <w:lang w:val="cs-CZ"/>
        </w:rPr>
        <w:t>9. Závěrečná ustanovení</w:t>
      </w:r>
      <w:bookmarkEnd w:id="10"/>
    </w:p>
    <w:p w:rsidR="004D7E15" w:rsidRDefault="004D7E15" w:rsidP="004D7E15">
      <w:pPr>
        <w:numPr>
          <w:ilvl w:val="1"/>
          <w:numId w:val="9"/>
        </w:numPr>
        <w:jc w:val="both"/>
        <w:rPr>
          <w:lang w:val="cs-CZ"/>
        </w:rPr>
      </w:pPr>
      <w:r>
        <w:rPr>
          <w:lang w:val="cs-CZ"/>
        </w:rPr>
        <w:t>Práva a povinnosti smluvních stran neupravené touto smlouvou se řídí příslušnými ustanoveními občanského zákoníku.</w:t>
      </w:r>
    </w:p>
    <w:p w:rsidR="004D7E15" w:rsidRPr="00622242" w:rsidRDefault="004D7E15" w:rsidP="004D7E15">
      <w:pPr>
        <w:numPr>
          <w:ilvl w:val="1"/>
          <w:numId w:val="9"/>
        </w:numPr>
        <w:jc w:val="both"/>
        <w:rPr>
          <w:lang w:val="cs-CZ"/>
        </w:rPr>
      </w:pPr>
      <w:r w:rsidRPr="00622242">
        <w:rPr>
          <w:bCs/>
          <w:lang w:val="cs-CZ"/>
        </w:rPr>
        <w:t xml:space="preserve">Tato smlouva může být považována za řádně uzavřenou a sjednanou pouze dohodou o všech jejích podmínkách </w:t>
      </w:r>
      <w:r>
        <w:rPr>
          <w:bCs/>
          <w:lang w:val="cs-CZ"/>
        </w:rPr>
        <w:t>uvedených ve</w:t>
      </w:r>
      <w:r w:rsidRPr="00622242">
        <w:rPr>
          <w:bCs/>
          <w:lang w:val="cs-CZ"/>
        </w:rPr>
        <w:t xml:space="preserve"> smlouvě a pouze v písemné formě podpisem </w:t>
      </w:r>
      <w:r>
        <w:rPr>
          <w:bCs/>
          <w:lang w:val="cs-CZ"/>
        </w:rPr>
        <w:t xml:space="preserve">této </w:t>
      </w:r>
      <w:r w:rsidRPr="00622242">
        <w:rPr>
          <w:bCs/>
          <w:lang w:val="cs-CZ"/>
        </w:rPr>
        <w:t>smlouvy oběma sml</w:t>
      </w:r>
      <w:r>
        <w:rPr>
          <w:bCs/>
          <w:lang w:val="cs-CZ"/>
        </w:rPr>
        <w:t>uvními stranami. Podpisem této</w:t>
      </w:r>
      <w:r w:rsidRPr="00622242">
        <w:rPr>
          <w:bCs/>
          <w:lang w:val="cs-CZ"/>
        </w:rPr>
        <w:t xml:space="preserve"> smlouvy oběma stranami jsou veškerá ustanovení této smlouvy akceptována a v plném rozsahu sjednána mezi smluvními stranami.</w:t>
      </w:r>
    </w:p>
    <w:p w:rsidR="004D7E15" w:rsidRPr="00622242" w:rsidRDefault="004D7E15" w:rsidP="004D7E15">
      <w:pPr>
        <w:numPr>
          <w:ilvl w:val="1"/>
          <w:numId w:val="9"/>
        </w:numPr>
        <w:jc w:val="both"/>
        <w:rPr>
          <w:lang w:val="cs-CZ"/>
        </w:rPr>
      </w:pPr>
      <w:r w:rsidRPr="00622242">
        <w:rPr>
          <w:bCs/>
          <w:lang w:val="cs-CZ"/>
        </w:rPr>
        <w:t>Písemná forma je nezbytná pro jakékoliv změny této smlouvy</w:t>
      </w:r>
      <w:r>
        <w:rPr>
          <w:bCs/>
          <w:lang w:val="cs-CZ"/>
        </w:rPr>
        <w:t xml:space="preserve"> a pro zrušení této smlouvy</w:t>
      </w:r>
      <w:r w:rsidRPr="00622242">
        <w:rPr>
          <w:bCs/>
          <w:lang w:val="cs-CZ"/>
        </w:rPr>
        <w:t>. Písemná forma je rovněž nezbytná pro vzdání se požadavku na písemnou formu.</w:t>
      </w:r>
    </w:p>
    <w:p w:rsidR="004D7E15" w:rsidRDefault="004D7E15" w:rsidP="004D7E15">
      <w:pPr>
        <w:numPr>
          <w:ilvl w:val="1"/>
          <w:numId w:val="9"/>
        </w:numPr>
        <w:jc w:val="both"/>
        <w:rPr>
          <w:lang w:val="cs-CZ"/>
        </w:rPr>
      </w:pPr>
      <w:r>
        <w:rPr>
          <w:lang w:val="cs-CZ"/>
        </w:rPr>
        <w:t>Smlouva se vyhotovuje ve dvou stejnopisech. Každá smluvní strana obdrží po jednom.</w:t>
      </w:r>
    </w:p>
    <w:p w:rsidR="004D7E15" w:rsidRDefault="004D7E15" w:rsidP="004D7E15">
      <w:pPr>
        <w:numPr>
          <w:ilvl w:val="1"/>
          <w:numId w:val="9"/>
        </w:numPr>
        <w:jc w:val="both"/>
        <w:rPr>
          <w:lang w:val="cs-CZ"/>
        </w:rPr>
      </w:pPr>
      <w:r>
        <w:rPr>
          <w:lang w:val="cs-CZ"/>
        </w:rPr>
        <w:t>Smlouva nabývá platnosti a účinnosti připojením podpisu obou smluvních stran.</w:t>
      </w:r>
    </w:p>
    <w:p w:rsidR="004D7E15" w:rsidRDefault="004D7E15" w:rsidP="004D7E15">
      <w:pPr>
        <w:pStyle w:val="Nadpis2"/>
        <w:rPr>
          <w:lang w:val="cs-CZ"/>
        </w:rPr>
      </w:pPr>
      <w:bookmarkStart w:id="11" w:name="_Toc518801681"/>
      <w:r>
        <w:rPr>
          <w:lang w:val="cs-CZ"/>
        </w:rPr>
        <w:t>10. Přílohy</w:t>
      </w:r>
      <w:bookmarkEnd w:id="11"/>
    </w:p>
    <w:p w:rsidR="004D7E15" w:rsidRDefault="004D7E15" w:rsidP="004D7E15">
      <w:pPr>
        <w:numPr>
          <w:ilvl w:val="1"/>
          <w:numId w:val="10"/>
        </w:numPr>
        <w:rPr>
          <w:lang w:val="cs-CZ"/>
        </w:rPr>
      </w:pPr>
      <w:r>
        <w:rPr>
          <w:lang w:val="cs-CZ"/>
        </w:rPr>
        <w:t xml:space="preserve">Cenová nabídka </w:t>
      </w:r>
      <w:r w:rsidR="0086156E">
        <w:rPr>
          <w:lang w:val="cs-CZ"/>
        </w:rPr>
        <w:t>MJ 1</w:t>
      </w:r>
      <w:r w:rsidR="00A6739B">
        <w:rPr>
          <w:lang w:val="cs-CZ"/>
        </w:rPr>
        <w:t>7 450</w:t>
      </w:r>
      <w:r>
        <w:rPr>
          <w:lang w:val="cs-CZ"/>
        </w:rPr>
        <w:t xml:space="preserve"> podepsaná oběma smluvními stranami: </w:t>
      </w:r>
    </w:p>
    <w:p w:rsidR="004D7E15" w:rsidRDefault="004D7E15" w:rsidP="004D7E15">
      <w:pPr>
        <w:rPr>
          <w:lang w:val="cs-CZ"/>
        </w:rPr>
      </w:pPr>
    </w:p>
    <w:p w:rsidR="001817BE" w:rsidRDefault="001817BE" w:rsidP="004D7E15">
      <w:pPr>
        <w:rPr>
          <w:lang w:val="cs-CZ"/>
        </w:rPr>
      </w:pPr>
    </w:p>
    <w:p w:rsidR="001817BE" w:rsidRDefault="001817BE" w:rsidP="004D7E15">
      <w:pPr>
        <w:rPr>
          <w:lang w:val="cs-CZ"/>
        </w:rPr>
      </w:pPr>
    </w:p>
    <w:p w:rsidR="004D7E15" w:rsidRDefault="004D7E15" w:rsidP="004D7E15">
      <w:pPr>
        <w:rPr>
          <w:lang w:val="cs-CZ"/>
        </w:rPr>
      </w:pPr>
      <w:r>
        <w:rPr>
          <w:lang w:val="cs-CZ"/>
        </w:rPr>
        <w:t xml:space="preserve">V Praze dne :   </w:t>
      </w:r>
      <w:r w:rsidR="001817BE">
        <w:rPr>
          <w:lang w:val="cs-CZ"/>
        </w:rPr>
        <w:tab/>
      </w:r>
      <w:r w:rsidR="001817BE">
        <w:rPr>
          <w:lang w:val="cs-CZ"/>
        </w:rPr>
        <w:tab/>
      </w:r>
      <w:r w:rsidR="001817BE">
        <w:rPr>
          <w:lang w:val="cs-CZ"/>
        </w:rPr>
        <w:tab/>
        <w:t xml:space="preserve">V Trutnově </w:t>
      </w:r>
      <w:proofErr w:type="gramStart"/>
      <w:r w:rsidR="001817BE">
        <w:rPr>
          <w:lang w:val="cs-CZ"/>
        </w:rPr>
        <w:t>dne :</w:t>
      </w:r>
      <w:proofErr w:type="gramEnd"/>
      <w:r w:rsidR="001817BE">
        <w:rPr>
          <w:lang w:val="cs-CZ"/>
        </w:rPr>
        <w:tab/>
      </w:r>
    </w:p>
    <w:p w:rsidR="00216029" w:rsidRDefault="00216029" w:rsidP="004D7E15">
      <w:pPr>
        <w:rPr>
          <w:lang w:val="cs-CZ"/>
        </w:rPr>
      </w:pPr>
    </w:p>
    <w:p w:rsidR="00216029" w:rsidRDefault="00216029" w:rsidP="004D7E15">
      <w:pPr>
        <w:rPr>
          <w:lang w:val="cs-CZ"/>
        </w:rPr>
      </w:pPr>
    </w:p>
    <w:p w:rsidR="00216029" w:rsidRDefault="00216029" w:rsidP="004D7E15">
      <w:pPr>
        <w:rPr>
          <w:lang w:val="cs-CZ"/>
        </w:rPr>
      </w:pPr>
    </w:p>
    <w:p w:rsidR="004D7E15" w:rsidRDefault="004D7E15" w:rsidP="004D7E15">
      <w:pPr>
        <w:rPr>
          <w:lang w:val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284"/>
        <w:gridCol w:w="4586"/>
      </w:tblGrid>
      <w:tr w:rsidR="004D7E15" w:rsidTr="006A6A49">
        <w:tc>
          <w:tcPr>
            <w:tcW w:w="36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b/>
                <w:lang w:val="cs-CZ"/>
              </w:rPr>
              <w:t>Prodávající</w:t>
            </w:r>
            <w:r>
              <w:rPr>
                <w:lang w:val="cs-CZ"/>
              </w:rPr>
              <w:t xml:space="preserve"> (podpis, razítko):</w:t>
            </w:r>
          </w:p>
          <w:p w:rsidR="004D7E15" w:rsidRDefault="004D7E15" w:rsidP="006A6A49">
            <w:pPr>
              <w:rPr>
                <w:lang w:val="cs-CZ"/>
              </w:rPr>
            </w:pPr>
          </w:p>
          <w:p w:rsidR="004D7E15" w:rsidRDefault="004D7E15" w:rsidP="006A6A49">
            <w:pPr>
              <w:rPr>
                <w:lang w:val="cs-CZ"/>
              </w:rPr>
            </w:pPr>
          </w:p>
          <w:p w:rsidR="004D7E15" w:rsidRDefault="004D7E15" w:rsidP="006A6A49">
            <w:pPr>
              <w:rPr>
                <w:lang w:val="cs-CZ"/>
              </w:rPr>
            </w:pPr>
          </w:p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S &amp; T Plus s.r.o.</w:t>
            </w:r>
          </w:p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RNDr. Ivo Strnad</w:t>
            </w:r>
          </w:p>
        </w:tc>
        <w:tc>
          <w:tcPr>
            <w:tcW w:w="284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586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Kupující </w:t>
            </w:r>
            <w:r>
              <w:rPr>
                <w:lang w:val="cs-CZ"/>
              </w:rPr>
              <w:t>(podpis,</w:t>
            </w:r>
            <w:r w:rsidR="001817BE">
              <w:rPr>
                <w:lang w:val="cs-CZ"/>
              </w:rPr>
              <w:t xml:space="preserve"> </w:t>
            </w:r>
            <w:r>
              <w:rPr>
                <w:lang w:val="cs-CZ"/>
              </w:rPr>
              <w:t>razítko):</w:t>
            </w:r>
          </w:p>
          <w:p w:rsidR="004D7E15" w:rsidRDefault="004D7E15" w:rsidP="006A6A49">
            <w:pPr>
              <w:rPr>
                <w:lang w:val="cs-CZ"/>
              </w:rPr>
            </w:pPr>
          </w:p>
          <w:p w:rsidR="004D7E15" w:rsidRDefault="004D7E15" w:rsidP="006A6A49">
            <w:pPr>
              <w:rPr>
                <w:lang w:val="cs-CZ"/>
              </w:rPr>
            </w:pPr>
          </w:p>
          <w:p w:rsidR="004D7E15" w:rsidRDefault="004D7E15" w:rsidP="006A6A49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:rsidR="004D7E15" w:rsidRDefault="004D7E15" w:rsidP="006A6A49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Oblastní nemocnice Trutnov a.s.</w:t>
            </w:r>
          </w:p>
          <w:p w:rsidR="004D7E15" w:rsidRDefault="004D7E15" w:rsidP="001817BE">
            <w:pPr>
              <w:pStyle w:val="Zhlav"/>
              <w:tabs>
                <w:tab w:val="clear" w:pos="4703"/>
                <w:tab w:val="clear" w:pos="9406"/>
              </w:tabs>
              <w:rPr>
                <w:lang w:val="cs-CZ"/>
              </w:rPr>
            </w:pPr>
            <w:r>
              <w:rPr>
                <w:lang w:val="cs-CZ"/>
              </w:rPr>
              <w:t>MUDr.</w:t>
            </w:r>
            <w:r w:rsidR="0086156E">
              <w:rPr>
                <w:lang w:val="cs-CZ"/>
              </w:rPr>
              <w:t xml:space="preserve"> </w:t>
            </w:r>
            <w:r w:rsidR="001817BE">
              <w:rPr>
                <w:lang w:val="cs-CZ"/>
              </w:rPr>
              <w:t>Martin Limburský</w:t>
            </w:r>
          </w:p>
        </w:tc>
      </w:tr>
      <w:tr w:rsidR="004D7E15" w:rsidTr="006A6A49">
        <w:tc>
          <w:tcPr>
            <w:tcW w:w="3652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jednatel společnosti</w:t>
            </w:r>
          </w:p>
        </w:tc>
        <w:tc>
          <w:tcPr>
            <w:tcW w:w="284" w:type="dxa"/>
          </w:tcPr>
          <w:p w:rsidR="004D7E15" w:rsidRDefault="004D7E15" w:rsidP="006A6A49">
            <w:pPr>
              <w:rPr>
                <w:lang w:val="cs-CZ"/>
              </w:rPr>
            </w:pPr>
          </w:p>
        </w:tc>
        <w:tc>
          <w:tcPr>
            <w:tcW w:w="4586" w:type="dxa"/>
          </w:tcPr>
          <w:p w:rsidR="004D7E15" w:rsidRDefault="004D7E15" w:rsidP="006A6A49">
            <w:pPr>
              <w:rPr>
                <w:lang w:val="cs-CZ"/>
              </w:rPr>
            </w:pPr>
            <w:r>
              <w:rPr>
                <w:lang w:val="cs-CZ"/>
              </w:rPr>
              <w:t>předseda představenstva</w:t>
            </w:r>
          </w:p>
        </w:tc>
      </w:tr>
    </w:tbl>
    <w:p w:rsidR="00A53BD5" w:rsidRDefault="00A53BD5" w:rsidP="00C3567D"/>
    <w:sectPr w:rsidR="00A53BD5" w:rsidSect="004D4605">
      <w:headerReference w:type="default" r:id="rId8"/>
      <w:footerReference w:type="default" r:id="rId9"/>
      <w:pgSz w:w="11907" w:h="16840" w:code="9"/>
      <w:pgMar w:top="1134" w:right="851" w:bottom="851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E8" w:rsidRDefault="00102DE8">
      <w:r>
        <w:separator/>
      </w:r>
    </w:p>
  </w:endnote>
  <w:endnote w:type="continuationSeparator" w:id="0">
    <w:p w:rsidR="00102DE8" w:rsidRDefault="001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2C" w:rsidRDefault="002C1955">
    <w:pPr>
      <w:pStyle w:val="Zpat"/>
      <w:jc w:val="righ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E8" w:rsidRDefault="00102DE8">
      <w:r>
        <w:separator/>
      </w:r>
    </w:p>
  </w:footnote>
  <w:footnote w:type="continuationSeparator" w:id="0">
    <w:p w:rsidR="00102DE8" w:rsidRDefault="001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2C" w:rsidRDefault="004D7E15" w:rsidP="00C3567D">
    <w:pPr>
      <w:pStyle w:val="Zhlav"/>
      <w:tabs>
        <w:tab w:val="clear" w:pos="4703"/>
        <w:tab w:val="clear" w:pos="9406"/>
        <w:tab w:val="center" w:pos="4893"/>
      </w:tabs>
      <w:ind w:right="23"/>
      <w:rPr>
        <w:sz w:val="20"/>
        <w:lang w:val="cs-CZ"/>
      </w:rPr>
    </w:pPr>
    <w:r>
      <w:rPr>
        <w:sz w:val="20"/>
        <w:lang w:val="cs-CZ"/>
      </w:rPr>
      <w:t xml:space="preserve">Kupní smlouva - strana </w:t>
    </w:r>
    <w:r>
      <w:rPr>
        <w:sz w:val="20"/>
        <w:lang w:val="cs-CZ"/>
      </w:rPr>
      <w:fldChar w:fldCharType="begin"/>
    </w:r>
    <w:r>
      <w:rPr>
        <w:sz w:val="20"/>
        <w:lang w:val="cs-CZ"/>
      </w:rPr>
      <w:instrText xml:space="preserve"> PAGE </w:instrText>
    </w:r>
    <w:r>
      <w:rPr>
        <w:sz w:val="20"/>
        <w:lang w:val="cs-CZ"/>
      </w:rPr>
      <w:fldChar w:fldCharType="separate"/>
    </w:r>
    <w:r w:rsidR="002C1955">
      <w:rPr>
        <w:noProof/>
        <w:sz w:val="20"/>
        <w:lang w:val="cs-CZ"/>
      </w:rPr>
      <w:t>4</w:t>
    </w:r>
    <w:r>
      <w:rPr>
        <w:sz w:val="20"/>
        <w:lang w:val="cs-CZ"/>
      </w:rPr>
      <w:fldChar w:fldCharType="end"/>
    </w:r>
    <w:r>
      <w:rPr>
        <w:sz w:val="20"/>
        <w:lang w:val="cs-CZ"/>
      </w:rPr>
      <w:t xml:space="preserve"> (celkem </w:t>
    </w:r>
    <w:r w:rsidR="00FF6967">
      <w:rPr>
        <w:sz w:val="20"/>
        <w:lang w:val="cs-CZ"/>
      </w:rPr>
      <w:t>4</w:t>
    </w:r>
    <w:r>
      <w:rPr>
        <w:sz w:val="20"/>
        <w:lang w:val="cs-CZ"/>
      </w:rPr>
      <w:t>)</w:t>
    </w:r>
    <w:r w:rsidR="00C3567D">
      <w:rPr>
        <w:sz w:val="20"/>
        <w:lang w:val="cs-CZ"/>
      </w:rPr>
      <w:tab/>
    </w:r>
  </w:p>
  <w:p w:rsidR="0025042C" w:rsidRPr="00074A76" w:rsidRDefault="004D7E15">
    <w:pPr>
      <w:pStyle w:val="Zhlav"/>
      <w:tabs>
        <w:tab w:val="clear" w:pos="4703"/>
        <w:tab w:val="clear" w:pos="9406"/>
        <w:tab w:val="right" w:pos="10080"/>
      </w:tabs>
      <w:ind w:right="23"/>
      <w:rPr>
        <w:sz w:val="16"/>
        <w:lang w:val="it-IT"/>
      </w:rPr>
    </w:pPr>
    <w:r>
      <w:rPr>
        <w:sz w:val="16"/>
        <w:lang w:val="cs-CZ"/>
      </w:rPr>
      <w:t xml:space="preserve">revize </w:t>
    </w:r>
    <w:proofErr w:type="gramStart"/>
    <w:r>
      <w:rPr>
        <w:sz w:val="16"/>
        <w:lang w:val="cs-CZ"/>
      </w:rPr>
      <w:t>A.1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854"/>
    <w:multiLevelType w:val="multilevel"/>
    <w:tmpl w:val="52F4B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9F451B1"/>
    <w:multiLevelType w:val="multilevel"/>
    <w:tmpl w:val="52F4B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01266F2"/>
    <w:multiLevelType w:val="multilevel"/>
    <w:tmpl w:val="52F4B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59C5423"/>
    <w:multiLevelType w:val="multilevel"/>
    <w:tmpl w:val="52F4B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E905825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19D5AE7"/>
    <w:multiLevelType w:val="multilevel"/>
    <w:tmpl w:val="72908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5FF07D5"/>
    <w:multiLevelType w:val="multilevel"/>
    <w:tmpl w:val="52F4B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5B268B2"/>
    <w:multiLevelType w:val="multilevel"/>
    <w:tmpl w:val="52F4BF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5B36ABA"/>
    <w:multiLevelType w:val="multilevel"/>
    <w:tmpl w:val="E2B27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F656D2"/>
    <w:multiLevelType w:val="multilevel"/>
    <w:tmpl w:val="72908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15"/>
    <w:rsid w:val="00102DE8"/>
    <w:rsid w:val="001817BE"/>
    <w:rsid w:val="00216029"/>
    <w:rsid w:val="002C1955"/>
    <w:rsid w:val="004424EF"/>
    <w:rsid w:val="004D7E15"/>
    <w:rsid w:val="006124D8"/>
    <w:rsid w:val="007B44FC"/>
    <w:rsid w:val="007E0EB1"/>
    <w:rsid w:val="0086156E"/>
    <w:rsid w:val="00A53BD5"/>
    <w:rsid w:val="00A6739B"/>
    <w:rsid w:val="00A94DAA"/>
    <w:rsid w:val="00A972F6"/>
    <w:rsid w:val="00B45E28"/>
    <w:rsid w:val="00B47B0F"/>
    <w:rsid w:val="00B8414C"/>
    <w:rsid w:val="00BB4A28"/>
    <w:rsid w:val="00C3567D"/>
    <w:rsid w:val="00CC3E77"/>
    <w:rsid w:val="00E970DE"/>
    <w:rsid w:val="00EF595B"/>
    <w:rsid w:val="00F70730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D7E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D7E1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rsid w:val="004D7E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E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4D7E1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E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rsid w:val="004D7E15"/>
    <w:pPr>
      <w:ind w:left="720"/>
    </w:pPr>
    <w:rPr>
      <w:rFonts w:ascii="Times New Roman (WE)" w:hAnsi="Times New Roman (WE)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7E15"/>
    <w:rPr>
      <w:rFonts w:ascii="Times New Roman (WE)" w:eastAsia="Times New Roman" w:hAnsi="Times New Roman (WE)" w:cs="Times New Roman"/>
      <w:color w:val="000000"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4D7E15"/>
    <w:pPr>
      <w:ind w:firstLine="720"/>
      <w:jc w:val="center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D7E15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9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D7E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D7E1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rsid w:val="004D7E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E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4D7E1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E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rsid w:val="004D7E15"/>
    <w:pPr>
      <w:ind w:left="720"/>
    </w:pPr>
    <w:rPr>
      <w:rFonts w:ascii="Times New Roman (WE)" w:hAnsi="Times New Roman (WE)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7E15"/>
    <w:rPr>
      <w:rFonts w:ascii="Times New Roman (WE)" w:eastAsia="Times New Roman" w:hAnsi="Times New Roman (WE)" w:cs="Times New Roman"/>
      <w:color w:val="000000"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4D7E15"/>
    <w:pPr>
      <w:ind w:firstLine="720"/>
      <w:jc w:val="center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D7E15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9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1683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</cp:lastModifiedBy>
  <cp:revision>4</cp:revision>
  <cp:lastPrinted>2017-12-20T15:16:00Z</cp:lastPrinted>
  <dcterms:created xsi:type="dcterms:W3CDTF">2017-12-08T12:01:00Z</dcterms:created>
  <dcterms:modified xsi:type="dcterms:W3CDTF">2017-12-20T15:16:00Z</dcterms:modified>
</cp:coreProperties>
</file>