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13"/>
        <w:gridCol w:w="380"/>
        <w:gridCol w:w="434"/>
        <w:gridCol w:w="1540"/>
        <w:gridCol w:w="6760"/>
        <w:gridCol w:w="780"/>
        <w:gridCol w:w="1000"/>
        <w:gridCol w:w="1140"/>
        <w:gridCol w:w="2120"/>
        <w:gridCol w:w="1400"/>
        <w:gridCol w:w="1300"/>
        <w:gridCol w:w="960"/>
        <w:gridCol w:w="960"/>
        <w:gridCol w:w="960"/>
        <w:gridCol w:w="960"/>
        <w:gridCol w:w="960"/>
        <w:gridCol w:w="960"/>
        <w:gridCol w:w="1120"/>
      </w:tblGrid>
      <w:tr w:rsidR="00234EAF" w:rsidRPr="00234EAF" w:rsidTr="00234EAF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0000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0000"/>
                <w:sz w:val="20"/>
                <w:szCs w:val="20"/>
                <w:lang w:eastAsia="cs-CZ"/>
              </w:rPr>
              <w:t>List obsahuje: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00FF"/>
                <w:sz w:val="20"/>
                <w:szCs w:val="20"/>
                <w:lang w:eastAsia="cs-CZ"/>
              </w:rPr>
            </w:pPr>
            <w:hyperlink r:id="rId4" w:anchor="RANGE!C2" w:history="1">
              <w:r w:rsidRPr="00234EAF">
                <w:rPr>
                  <w:rFonts w:ascii="Trebuchet MS" w:eastAsia="Times New Roman" w:hAnsi="Trebuchet MS" w:cs="Calibri"/>
                  <w:color w:val="0000FF"/>
                  <w:sz w:val="20"/>
                  <w:szCs w:val="20"/>
                  <w:lang w:eastAsia="cs-CZ"/>
                </w:rPr>
                <w:t>1) Krycí list soupisu</w:t>
              </w:r>
            </w:hyperlink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00FF"/>
                <w:sz w:val="20"/>
                <w:szCs w:val="20"/>
                <w:lang w:eastAsia="cs-CZ"/>
              </w:rPr>
            </w:pPr>
            <w:hyperlink r:id="rId5" w:anchor="RANGE!C54" w:history="1">
              <w:r w:rsidRPr="00234EAF">
                <w:rPr>
                  <w:rFonts w:ascii="Trebuchet MS" w:eastAsia="Times New Roman" w:hAnsi="Trebuchet MS" w:cs="Calibri"/>
                  <w:color w:val="0000FF"/>
                  <w:sz w:val="20"/>
                  <w:szCs w:val="20"/>
                  <w:lang w:eastAsia="cs-CZ"/>
                </w:rPr>
                <w:t>2) Rekapitulace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00FF"/>
                <w:sz w:val="20"/>
                <w:szCs w:val="20"/>
                <w:lang w:eastAsia="cs-CZ"/>
              </w:rPr>
            </w:pPr>
            <w:hyperlink r:id="rId6" w:anchor="RANGE!C79" w:history="1">
              <w:r w:rsidRPr="00234EAF">
                <w:rPr>
                  <w:rFonts w:ascii="Trebuchet MS" w:eastAsia="Times New Roman" w:hAnsi="Trebuchet MS" w:cs="Calibri"/>
                  <w:color w:val="0000FF"/>
                  <w:sz w:val="20"/>
                  <w:szCs w:val="20"/>
                  <w:lang w:eastAsia="cs-CZ"/>
                </w:rPr>
                <w:t>3) Soupis prací</w:t>
              </w:r>
            </w:hyperlink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0000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0000"/>
                <w:sz w:val="20"/>
                <w:szCs w:val="20"/>
                <w:lang w:eastAsia="cs-CZ"/>
              </w:rPr>
              <w:t>Zpět na list: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00FF"/>
                <w:sz w:val="20"/>
                <w:szCs w:val="20"/>
                <w:lang w:eastAsia="cs-CZ"/>
              </w:rPr>
            </w:pPr>
            <w:hyperlink r:id="rId7" w:anchor="RANGE!C2" w:history="1">
              <w:r w:rsidRPr="00234EAF">
                <w:rPr>
                  <w:rFonts w:ascii="Trebuchet MS" w:eastAsia="Times New Roman" w:hAnsi="Trebuchet MS" w:cs="Calibri"/>
                  <w:color w:val="0000FF"/>
                  <w:sz w:val="20"/>
                  <w:szCs w:val="20"/>
                  <w:lang w:eastAsia="cs-CZ"/>
                </w:rPr>
                <w:t>Rekapitulace stavby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AE682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7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RANGE!C2"/>
            <w:bookmarkEnd w:id="0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7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  <w:t xml:space="preserve">v </w:t>
            </w:r>
            <w:proofErr w:type="gramStart"/>
            <w:r w:rsidRPr="00234EAF"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  <w:t>---  níže</w:t>
            </w:r>
            <w:proofErr w:type="gramEnd"/>
            <w:r w:rsidRPr="00234EAF"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  <w:t xml:space="preserve"> se nacházejí </w:t>
            </w:r>
            <w:proofErr w:type="spellStart"/>
            <w:r w:rsidRPr="00234EAF"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  <w:t>doplnkové</w:t>
            </w:r>
            <w:proofErr w:type="spellEnd"/>
            <w:r w:rsidRPr="00234EAF"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  <w:t xml:space="preserve"> a pomocné údaje k sestavám  --- 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3366FF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Název: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Dodávka ozvučení jídelny v Domově pro seniory Ďáblice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7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03 - Ozvučení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Kubíkova 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18.12.2017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21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28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Domov pro seniory Ďáblice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13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  <w:t>693 289,00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693 289,00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21,00%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145 590,69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15,00%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zákl. přenesená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21,00%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proofErr w:type="spellStart"/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sníž</w:t>
            </w:r>
            <w:proofErr w:type="spellEnd"/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. přenesená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15,00%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nulová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0,00%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6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838 879,69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42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Dodávka ozvučení jídelny v Domově pro seniory Ďáblice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03 - Ozvučení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Kubíkova 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18.12.2017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bookmarkStart w:id="1" w:name="RANGE!C54"/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Kód </w:t>
            </w:r>
            <w:proofErr w:type="gramStart"/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dílu - Popis</w:t>
            </w:r>
            <w:bookmarkEnd w:id="1"/>
            <w:proofErr w:type="gramEnd"/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  <w:t>693 289,00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PSV - Práce</w:t>
            </w:r>
            <w:proofErr w:type="gramEnd"/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 xml:space="preserve"> a dodávky PSV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143 515,00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 xml:space="preserve">    742 - </w:t>
            </w:r>
            <w:proofErr w:type="gramStart"/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Elektroinstalace - slaboproud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143 515,00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OST - Ostatní</w:t>
            </w:r>
            <w:proofErr w:type="gram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549 774,00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O01 - Ostatní</w:t>
            </w:r>
            <w:proofErr w:type="gram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549 774,00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42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Dodávka ozvučení jídelny v Domově pro seniory Ďáblice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03 - Ozvučení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Kubíkova 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18.12.2017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12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bookmarkStart w:id="2" w:name="RANGE!C79"/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PČ</w:t>
            </w:r>
            <w:bookmarkEnd w:id="2"/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Cenová soustava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Poznámka</w:t>
            </w:r>
          </w:p>
        </w:tc>
        <w:tc>
          <w:tcPr>
            <w:tcW w:w="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 xml:space="preserve">J. </w:t>
            </w:r>
            <w:proofErr w:type="spellStart"/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Nh</w:t>
            </w:r>
            <w:proofErr w:type="spellEnd"/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 xml:space="preserve"> [h]</w:t>
            </w:r>
          </w:p>
        </w:tc>
        <w:tc>
          <w:tcPr>
            <w:tcW w:w="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proofErr w:type="spellStart"/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Nh</w:t>
            </w:r>
            <w:proofErr w:type="spellEnd"/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 xml:space="preserve"> celkem [h]</w:t>
            </w:r>
          </w:p>
        </w:tc>
        <w:tc>
          <w:tcPr>
            <w:tcW w:w="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J. hmotnost</w:t>
            </w: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br/>
            </w: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br/>
              <w:t>[t]</w:t>
            </w:r>
          </w:p>
        </w:tc>
        <w:tc>
          <w:tcPr>
            <w:tcW w:w="96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Hmotnost</w:t>
            </w: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br/>
            </w:r>
            <w:r w:rsidRPr="00234EAF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br/>
              <w:t>celkem [t]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</w:tr>
      <w:tr w:rsidR="00234EAF" w:rsidRPr="00234EAF" w:rsidTr="00234EA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  <w:t>693 289,00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0000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0000"/>
                <w:sz w:val="16"/>
                <w:szCs w:val="16"/>
                <w:lang w:eastAsia="cs-CZ"/>
              </w:rPr>
              <w:t>13,56000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0000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0000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0000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143 515,00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13,56000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742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proofErr w:type="gramStart"/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Elektroinstalace - slaboproud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143 515,00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13,56000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0352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Kompletace a zapojení audiotechniky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1,000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138 000,00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138 000,00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6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742410062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Montáž rozhlasu reproduktoru podhledového s krytem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5,000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135,00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675,00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CS ÚRS 2017 02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0,22000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1,10000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6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742410071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Montáž rozhlasu reproduktoru evakuační svorkovnice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1,000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280,00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280,00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CS ÚRS 2017 02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0,46000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0,46000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6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742430003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Montáž audiovizuální techniky reprosoustavy s konzolou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6,000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760,00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4 560,00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CS ÚRS 2017 02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OST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Ostatní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  <w:t>549 774,00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O01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  <w:t>549 774,00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336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M001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Multiroom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system</w:t>
            </w:r>
            <w:proofErr w:type="spellEnd"/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31 500,00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31 500,00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135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multiroom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HiFi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řešení pro 4 stereofonní zóny, 7 hudebních kanálů, DVD, USB, Mp3, AM / FM tuner,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Bluetooth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, vstupy TV, SAT, AUX, IR ovládání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ext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. zdrojů, video vstupy a výstupy, plánovače, hodiny, teploměr,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mute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,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standby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, 4× 20 W stereo, 1 centrála na vše, 4 nástěnné ovládače s dotykovými barevnými LCD, 2 dálkové IR ovládače, aplikace pro smartphone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M003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podhledový reproduktor centrálního rozhlasu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33 000,00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165 000,00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108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  reprosoustava s konzolou bílá se </w:t>
            </w:r>
            <w:proofErr w:type="gram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100V</w:t>
            </w:r>
            <w:proofErr w:type="gram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transformátorem evakuační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30 W / 100 V, 8 Ω, 89 dB, 80 – 20 000 Hz, konzola, 5″ basový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rep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., kalotový výškový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rep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., nehořlavý plast, certifikace dle EN 54–24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M004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Mixážní pult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29 900,00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29 900,00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54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vestavěný zesilovač 2×140 W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rms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/ 8 Ω, 2×200 W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rms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/ 4 Ω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2 vstupy monofonní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sym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. i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nesym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. přes konektory XLR a Jack 6,3 s 3 pásmovým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frekv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. korektorem a fantomovým napájením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1 vstup kombinovaný mono XLR / stereo 2× Jack 6,3 s 3 pásmovým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frekv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. korektorem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1 dvojitý vstup kombinovaný mono XLR / mono Jack 6,3 / stereo 2×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Cinch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+ 2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Cinch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s 2 pásmovým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frekv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. korektorem a funkcí rozšíření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stereobáze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1 stereo vstup přes konektor 2×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Cinch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automatické umlčení vstupů 1–4 při signálu na vstupech 5–6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regulátory úrovní do vestavěného efektu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výstup stereofonní pro nahrávaní, výstup na další zesilovač přes konektory Jack 6,3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výstup na reprosoustavy konektory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Speacon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výstup vysílaného signálu a vstup návratového signálu pro efektovou smyčku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indikace limitace na výstupu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clip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, indikace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protect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zabudován digitální efektový procesor, s nastavitelnou hloubkou a typem efektu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vestavěná aktivní výhybka pro režim 2 reprosoustav a subwooferu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vestavěný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limiter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výkonu s indikací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tepelná a výkonová pojistka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aktivní regulované chlazení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frekvenční rozsah 20 – 20 000 Hz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M005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bezdrátový mikrofon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26 300,00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26 300,00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81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přijímač: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diverzitní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UHF tunery, 2 kanály, PLL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zpětný IR přenos pro snadné automatické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nalazení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a spárování pomocí funkce SYNC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funkce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proskenování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celého pásma SCAN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indikace 2×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nalazení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na nosnou, 2× audio vybuzení, 2× číslo kanálu, 2×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nalazené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frekvence, 2× tuneru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diverzitního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modu, uzamčení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podsvětlený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LCD displej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regulace úrovně hlasitosti každého kanálu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kompresor,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expander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, 2 šumové brány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separátní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sym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. výstupy konektory XLR a celkový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nesym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. výstup konektorem Jack 6,3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výstupní úroveň 300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mV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ef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. /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nesym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, ±150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mV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ef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. /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sym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. 10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kΩ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možnost nastavení SQUELCH příjmových podmínek pro každý kanál zvlášť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funkce uzamčení nastavení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frekvenční pásmo 750 – 780 MHz, 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přímo v souladu s všeobecným oprávněním VO-R/10/09.2010–11 ČTÚ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šířka pásma &lt; 200 kHz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frekvenční rozsah audio 35 – 16 000 Hz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frekvenční stabilita ± 0,005%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FM (F3E) modulace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zkreslení THD &lt; 0,5 %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dynamika &gt; 100 dB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odstup S/N &gt; 90 dB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IR čidlo pro párování a automatické nastavení podle přijímače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odnímatelné antény na konektorech BNC (bajonet)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vysílač – ruční mikrofon: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elektrodynamická vložka s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kardioidní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charakteristikou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vypínač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podsvětlený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LCD displej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indikace vyzářeného výkonu, čísla kanálu,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nalazené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frekvence a stavu baterií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skryté tlačítka pro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nalazení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mikrofonu na 1 z 100 možných frekvencí a nastavení dalších parametrů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dosah cca. 100 m ve volném prostoru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vyzářený výkon 5 / 10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mW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frekvenční rozsah audio 35 – 16 000 Hz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zkreslení THD &lt; 0,5 %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dynamika &gt; 100 dB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odstup S/N &gt; 90 dB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IR čidlo pro párování a automatické nastavení podle přijímače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barevný gumový kroužek pro odlišení jednotlivých mikrofonů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napájení 2× AA 1,5 V tužkové baterie, doba provozu cca 6 h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vysílač za opasek: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klopový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nebo náhlavní mikrofon: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vypínač, přepínač vstupní citlivosti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podsvětlený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LCD displej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indikace zapnutí LED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indikace vyzářeného výkonu, čísla kanálu,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nalazené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frekvence a stavu baterií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dosah cca. 100 m ve volném prostoru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vyzářený výkon 5 / 10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mW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frekvenční rozsah audio 35 – 16 000 Hz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zkreslení THD </w:t>
            </w:r>
            <w:proofErr w:type="gram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&lt; 0</w:t>
            </w:r>
            <w:proofErr w:type="gram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,5 %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dynamika &gt; 100 dB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odstup S/N &gt; 90 dB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IR čidlo pro párování a automatické nastavení podle přijímače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lastRenderedPageBreak/>
              <w:t xml:space="preserve">konektor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miniXLR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3 pin pro připojení náhlavního nebo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klopového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mikrofonu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možnost také připojení linkového signálu nebo snímače hudebního nástroje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M006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Reproduktor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32 900,00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263 200,00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27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výkon </w:t>
            </w:r>
            <w:proofErr w:type="spellStart"/>
            <w:proofErr w:type="gram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rms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./</w:t>
            </w:r>
            <w:proofErr w:type="gram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max. 500 + 150 + 150 W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max.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akust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. tlak 122 dB / </w:t>
            </w:r>
            <w:proofErr w:type="gram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1m</w:t>
            </w:r>
            <w:proofErr w:type="gram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frekvenční rozsah / –10 dB 40 – (80 – 250) Hz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frekvenční rozsah / –3 dB 45 – (80 – 250) Hz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2× XLR vstupy anebo 2× </w:t>
            </w:r>
            <w:proofErr w:type="spellStart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Speacon</w:t>
            </w:r>
            <w:proofErr w:type="spellEnd"/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 xml:space="preserve"> vstupy u pasivních verzi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vyztužená ozvučnice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provedení aktivní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bas. reproduktor 1 × 15“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basový reproduktor s litým košem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M007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Kabeláž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33 000,00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33 000,00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0000FF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81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234EAF"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  <w:br/>
              <w:t>Signálový kabel XLR / XLR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4EAF" w:rsidRPr="00234EAF" w:rsidTr="00234EAF">
        <w:trPr>
          <w:trHeight w:val="6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998742201</w:t>
            </w:r>
          </w:p>
        </w:tc>
        <w:tc>
          <w:tcPr>
            <w:tcW w:w="67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Přesun hmot pro slaboproud stanovený procentní sazbou (%) z ceny vodorovná dopravní vzdálenost do 50 m v objektech výšky do 6 m</w:t>
            </w:r>
          </w:p>
        </w:tc>
        <w:tc>
          <w:tcPr>
            <w:tcW w:w="7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677,520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0,85</w:t>
            </w:r>
          </w:p>
        </w:tc>
        <w:tc>
          <w:tcPr>
            <w:tcW w:w="21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575,89</w:t>
            </w:r>
          </w:p>
        </w:tc>
        <w:tc>
          <w:tcPr>
            <w:tcW w:w="1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CS ÚRS 2017 02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9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998742292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Přesun hmot pro slaboproud stanovený procentní sazbou (%) z ceny Příplatek k cenám za zvětšený přesun přes vymezenou největší dopravní vzdálenost do 100 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677,520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0,44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298,11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CS ÚRS 2017 02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234EAF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</w:tr>
      <w:tr w:rsidR="00234EAF" w:rsidRPr="00234EAF" w:rsidTr="00234EAF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4EA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EAF" w:rsidRPr="00234EAF" w:rsidRDefault="00234EAF" w:rsidP="0023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33FEE" w:rsidRDefault="00233FEE">
      <w:bookmarkStart w:id="3" w:name="_GoBack"/>
      <w:bookmarkEnd w:id="3"/>
    </w:p>
    <w:sectPr w:rsidR="00233FEE" w:rsidSect="00234E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AF"/>
    <w:rsid w:val="00233FEE"/>
    <w:rsid w:val="002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B8A12-3B84-407C-85EE-10132A01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4EA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EAF"/>
    <w:rPr>
      <w:color w:val="800080"/>
      <w:u w:val="single"/>
    </w:rPr>
  </w:style>
  <w:style w:type="paragraph" w:customStyle="1" w:styleId="msonormal0">
    <w:name w:val="msonormal"/>
    <w:basedOn w:val="Normln"/>
    <w:rsid w:val="0023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4">
    <w:name w:val="xl64"/>
    <w:basedOn w:val="Normln"/>
    <w:rsid w:val="00234EAF"/>
    <w:pPr>
      <w:shd w:val="clear" w:color="000000" w:fill="FAE68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  <w:lang w:eastAsia="cs-CZ"/>
    </w:rPr>
  </w:style>
  <w:style w:type="paragraph" w:customStyle="1" w:styleId="xl65">
    <w:name w:val="xl65"/>
    <w:basedOn w:val="Normln"/>
    <w:rsid w:val="00234EAF"/>
    <w:pPr>
      <w:shd w:val="clear" w:color="000000" w:fill="FAE68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0000"/>
      <w:sz w:val="20"/>
      <w:szCs w:val="20"/>
      <w:lang w:eastAsia="cs-CZ"/>
    </w:rPr>
  </w:style>
  <w:style w:type="paragraph" w:customStyle="1" w:styleId="xl66">
    <w:name w:val="xl66"/>
    <w:basedOn w:val="Normln"/>
    <w:rsid w:val="00234E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234EAF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234E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234EAF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32"/>
      <w:szCs w:val="32"/>
      <w:lang w:eastAsia="cs-CZ"/>
    </w:rPr>
  </w:style>
  <w:style w:type="paragraph" w:customStyle="1" w:styleId="xl71">
    <w:name w:val="xl71"/>
    <w:basedOn w:val="Normln"/>
    <w:rsid w:val="00234E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3366FF"/>
      <w:sz w:val="16"/>
      <w:szCs w:val="16"/>
      <w:lang w:eastAsia="cs-CZ"/>
    </w:rPr>
  </w:style>
  <w:style w:type="paragraph" w:customStyle="1" w:styleId="xl73">
    <w:name w:val="xl73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74">
    <w:name w:val="xl74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5">
    <w:name w:val="xl75"/>
    <w:basedOn w:val="Normln"/>
    <w:rsid w:val="00234E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234E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79">
    <w:name w:val="xl79"/>
    <w:basedOn w:val="Normln"/>
    <w:rsid w:val="00234E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234EAF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234E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234E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234EA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234EAF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234EAF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87">
    <w:name w:val="xl87"/>
    <w:basedOn w:val="Normln"/>
    <w:rsid w:val="00234EAF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88">
    <w:name w:val="xl88"/>
    <w:basedOn w:val="Normln"/>
    <w:rsid w:val="00234EAF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89">
    <w:name w:val="xl89"/>
    <w:basedOn w:val="Normln"/>
    <w:rsid w:val="00234EAF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234EAF"/>
    <w:pPr>
      <w:pBdr>
        <w:top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92">
    <w:name w:val="xl92"/>
    <w:basedOn w:val="Normln"/>
    <w:rsid w:val="00234EAF"/>
    <w:pPr>
      <w:shd w:val="clear" w:color="000000" w:fill="FAE68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234EAF"/>
    <w:pPr>
      <w:shd w:val="clear" w:color="000000" w:fill="FAE68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00FF"/>
      <w:sz w:val="20"/>
      <w:szCs w:val="20"/>
      <w:lang w:eastAsia="cs-CZ"/>
    </w:rPr>
  </w:style>
  <w:style w:type="paragraph" w:customStyle="1" w:styleId="xl94">
    <w:name w:val="xl94"/>
    <w:basedOn w:val="Normln"/>
    <w:rsid w:val="00234EAF"/>
    <w:pPr>
      <w:shd w:val="clear" w:color="000000" w:fill="FAE68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cs-CZ"/>
    </w:rPr>
  </w:style>
  <w:style w:type="paragraph" w:customStyle="1" w:styleId="xl95">
    <w:name w:val="xl95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96">
    <w:name w:val="xl96"/>
    <w:basedOn w:val="Normln"/>
    <w:rsid w:val="00234E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234E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234EAF"/>
    <w:pPr>
      <w:pBdr>
        <w:top w:val="single" w:sz="4" w:space="0" w:color="969696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customStyle="1" w:styleId="xl101">
    <w:name w:val="xl101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102">
    <w:name w:val="xl102"/>
    <w:basedOn w:val="Normln"/>
    <w:rsid w:val="00234EAF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03">
    <w:name w:val="xl103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04">
    <w:name w:val="xl104"/>
    <w:basedOn w:val="Normln"/>
    <w:rsid w:val="00234EAF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05">
    <w:name w:val="xl105"/>
    <w:basedOn w:val="Normln"/>
    <w:rsid w:val="00234EAF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234E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234EAF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234EAF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234EAF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234E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234E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234EAF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13">
    <w:name w:val="xl113"/>
    <w:basedOn w:val="Normln"/>
    <w:rsid w:val="00234EAF"/>
    <w:pP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14">
    <w:name w:val="xl114"/>
    <w:basedOn w:val="Normln"/>
    <w:rsid w:val="00234EAF"/>
    <w:pPr>
      <w:pBdr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800000"/>
      <w:sz w:val="24"/>
      <w:szCs w:val="24"/>
      <w:lang w:eastAsia="cs-CZ"/>
    </w:rPr>
  </w:style>
  <w:style w:type="paragraph" w:customStyle="1" w:styleId="xl116">
    <w:name w:val="xl116"/>
    <w:basedOn w:val="Normln"/>
    <w:rsid w:val="00234E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17">
    <w:name w:val="xl117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18">
    <w:name w:val="xl118"/>
    <w:basedOn w:val="Normln"/>
    <w:rsid w:val="00234EA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19">
    <w:name w:val="xl119"/>
    <w:basedOn w:val="Normln"/>
    <w:rsid w:val="00234EA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20">
    <w:name w:val="xl120"/>
    <w:basedOn w:val="Normln"/>
    <w:rsid w:val="00234EA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21">
    <w:name w:val="xl121"/>
    <w:basedOn w:val="Normln"/>
    <w:rsid w:val="00234E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22">
    <w:name w:val="xl122"/>
    <w:basedOn w:val="Normln"/>
    <w:rsid w:val="00234E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23">
    <w:name w:val="xl123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24">
    <w:name w:val="xl124"/>
    <w:basedOn w:val="Normln"/>
    <w:rsid w:val="00234EA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25">
    <w:name w:val="xl125"/>
    <w:basedOn w:val="Normln"/>
    <w:rsid w:val="00234EA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26">
    <w:name w:val="xl126"/>
    <w:basedOn w:val="Normln"/>
    <w:rsid w:val="00234EA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27">
    <w:name w:val="xl127"/>
    <w:basedOn w:val="Normln"/>
    <w:rsid w:val="00234E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28">
    <w:name w:val="xl128"/>
    <w:basedOn w:val="Normln"/>
    <w:rsid w:val="00234EA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30">
    <w:name w:val="xl130"/>
    <w:basedOn w:val="Normln"/>
    <w:rsid w:val="00234EAF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31">
    <w:name w:val="xl131"/>
    <w:basedOn w:val="Normln"/>
    <w:rsid w:val="00234EAF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32">
    <w:name w:val="xl132"/>
    <w:basedOn w:val="Normln"/>
    <w:rsid w:val="00234E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234EA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134">
    <w:name w:val="xl134"/>
    <w:basedOn w:val="Normln"/>
    <w:rsid w:val="00234EAF"/>
    <w:pPr>
      <w:pBdr>
        <w:top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960000"/>
      <w:sz w:val="16"/>
      <w:szCs w:val="16"/>
      <w:lang w:eastAsia="cs-CZ"/>
    </w:rPr>
  </w:style>
  <w:style w:type="paragraph" w:customStyle="1" w:styleId="xl135">
    <w:name w:val="xl135"/>
    <w:basedOn w:val="Normln"/>
    <w:rsid w:val="00234EAF"/>
    <w:pPr>
      <w:pBdr>
        <w:top w:val="single" w:sz="4" w:space="0" w:color="969696"/>
        <w:right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960000"/>
      <w:sz w:val="16"/>
      <w:szCs w:val="16"/>
      <w:lang w:eastAsia="cs-CZ"/>
    </w:rPr>
  </w:style>
  <w:style w:type="paragraph" w:customStyle="1" w:styleId="xl136">
    <w:name w:val="xl136"/>
    <w:basedOn w:val="Normln"/>
    <w:rsid w:val="00234EAF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37">
    <w:name w:val="xl137"/>
    <w:basedOn w:val="Normln"/>
    <w:rsid w:val="00234EA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38">
    <w:name w:val="xl138"/>
    <w:basedOn w:val="Normln"/>
    <w:rsid w:val="00234EA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39">
    <w:name w:val="xl139"/>
    <w:basedOn w:val="Normln"/>
    <w:rsid w:val="00234EA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40">
    <w:name w:val="xl140"/>
    <w:basedOn w:val="Normln"/>
    <w:rsid w:val="00234EA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41">
    <w:name w:val="xl141"/>
    <w:basedOn w:val="Normln"/>
    <w:rsid w:val="00234EAF"/>
    <w:pPr>
      <w:pBdr>
        <w:left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42">
    <w:name w:val="xl142"/>
    <w:basedOn w:val="Normln"/>
    <w:rsid w:val="00234EA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43">
    <w:name w:val="xl143"/>
    <w:basedOn w:val="Normln"/>
    <w:rsid w:val="00234EAF"/>
    <w:pPr>
      <w:pBdr>
        <w:right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16"/>
      <w:szCs w:val="16"/>
      <w:lang w:eastAsia="cs-CZ"/>
    </w:rPr>
  </w:style>
  <w:style w:type="paragraph" w:customStyle="1" w:styleId="xl144">
    <w:name w:val="xl144"/>
    <w:basedOn w:val="Normln"/>
    <w:rsid w:val="00234EA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45">
    <w:name w:val="xl145"/>
    <w:basedOn w:val="Normln"/>
    <w:rsid w:val="00234EA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46">
    <w:name w:val="xl146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53">
    <w:name w:val="xl153"/>
    <w:basedOn w:val="Normln"/>
    <w:rsid w:val="00234EAF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54">
    <w:name w:val="xl154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55">
    <w:name w:val="xl155"/>
    <w:basedOn w:val="Normln"/>
    <w:rsid w:val="00234EAF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56">
    <w:name w:val="xl156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4"/>
      <w:szCs w:val="14"/>
      <w:lang w:eastAsia="cs-CZ"/>
    </w:rPr>
  </w:style>
  <w:style w:type="paragraph" w:customStyle="1" w:styleId="xl157">
    <w:name w:val="xl157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969696"/>
      <w:sz w:val="14"/>
      <w:szCs w:val="14"/>
      <w:lang w:eastAsia="cs-CZ"/>
    </w:rPr>
  </w:style>
  <w:style w:type="paragraph" w:customStyle="1" w:styleId="xl158">
    <w:name w:val="xl158"/>
    <w:basedOn w:val="Normln"/>
    <w:rsid w:val="00234EAF"/>
    <w:pPr>
      <w:pBdr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60">
    <w:name w:val="xl160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61">
    <w:name w:val="xl161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62">
    <w:name w:val="xl162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63">
    <w:name w:val="xl163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64">
    <w:name w:val="xl164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65">
    <w:name w:val="xl165"/>
    <w:basedOn w:val="Normln"/>
    <w:rsid w:val="00234E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66">
    <w:name w:val="xl166"/>
    <w:basedOn w:val="Normln"/>
    <w:rsid w:val="00234EA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67">
    <w:name w:val="xl167"/>
    <w:basedOn w:val="Normln"/>
    <w:rsid w:val="00234EAF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16"/>
      <w:szCs w:val="16"/>
      <w:lang w:eastAsia="cs-CZ"/>
    </w:rPr>
  </w:style>
  <w:style w:type="paragraph" w:customStyle="1" w:styleId="xl168">
    <w:name w:val="xl168"/>
    <w:basedOn w:val="Normln"/>
    <w:rsid w:val="00234EAF"/>
    <w:pPr>
      <w:pBdr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69">
    <w:name w:val="xl169"/>
    <w:basedOn w:val="Normln"/>
    <w:rsid w:val="00234EAF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70">
    <w:name w:val="xl170"/>
    <w:basedOn w:val="Normln"/>
    <w:rsid w:val="00234EAF"/>
    <w:pPr>
      <w:pBdr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6"/>
      <w:szCs w:val="16"/>
      <w:lang w:eastAsia="cs-CZ"/>
    </w:rPr>
  </w:style>
  <w:style w:type="paragraph" w:customStyle="1" w:styleId="xl171">
    <w:name w:val="xl171"/>
    <w:basedOn w:val="Normln"/>
    <w:rsid w:val="00234EAF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i/>
      <w:iCs/>
      <w:color w:val="969696"/>
      <w:sz w:val="14"/>
      <w:szCs w:val="14"/>
      <w:lang w:eastAsia="cs-CZ"/>
    </w:rPr>
  </w:style>
  <w:style w:type="paragraph" w:customStyle="1" w:styleId="xl172">
    <w:name w:val="xl172"/>
    <w:basedOn w:val="Normln"/>
    <w:rsid w:val="00234E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3">
    <w:name w:val="xl173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74">
    <w:name w:val="xl174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75">
    <w:name w:val="xl175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6">
    <w:name w:val="xl176"/>
    <w:basedOn w:val="Normln"/>
    <w:rsid w:val="00234EAF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valincicova\AppData\Local\Microsoft\Windows\INetCache\Content.Outlook\AD82C6W9\527913001_4_P&#345;&#237;loha%20&#269;.%205%20Technick&#233;%20podm&#237;nky%20a%20v&#253;kaz%20v&#253;m&#283;r%20(002)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valincicova\AppData\Local\Microsoft\Windows\INetCache\Content.Outlook\AD82C6W9\527913001_4_P&#345;&#237;loha%20&#269;.%205%20Technick&#233;%20podm&#237;nky%20a%20v&#253;kaz%20v&#253;m&#283;r%20(002).xls" TargetMode="External"/><Relationship Id="rId5" Type="http://schemas.openxmlformats.org/officeDocument/2006/relationships/hyperlink" Target="file:///C:\Users\valincicova\AppData\Local\Microsoft\Windows\INetCache\Content.Outlook\AD82C6W9\527913001_4_P&#345;&#237;loha%20&#269;.%205%20Technick&#233;%20podm&#237;nky%20a%20v&#253;kaz%20v&#253;m&#283;r%20(002).xls" TargetMode="External"/><Relationship Id="rId4" Type="http://schemas.openxmlformats.org/officeDocument/2006/relationships/hyperlink" Target="file:///C:\Users\valincicova\AppData\Local\Microsoft\Windows\INetCache\Content.Outlook\AD82C6W9\527913001_4_P&#345;&#237;loha%20&#269;.%205%20Technick&#233;%20podm&#237;nky%20a%20v&#253;kaz%20v&#253;m&#283;r%20(002).xl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1506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2017-12-20T14:15:00Z</dcterms:created>
  <dcterms:modified xsi:type="dcterms:W3CDTF">2017-12-20T14:17:00Z</dcterms:modified>
</cp:coreProperties>
</file>