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3CB" w:rsidRDefault="004B5C2E">
      <w:pPr>
        <w:spacing w:after="0" w:line="259" w:lineRule="auto"/>
        <w:ind w:left="143" w:firstLine="0"/>
        <w:jc w:val="left"/>
      </w:pPr>
      <w:r>
        <w:rPr>
          <w:noProof/>
        </w:rPr>
        <w:drawing>
          <wp:inline distT="0" distB="0" distL="0" distR="0">
            <wp:extent cx="1819783" cy="948690"/>
            <wp:effectExtent l="0" t="0" r="0" b="0"/>
            <wp:docPr id="187" name="Pictu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7"/>
                    <a:stretch>
                      <a:fillRect/>
                    </a:stretch>
                  </pic:blipFill>
                  <pic:spPr>
                    <a:xfrm>
                      <a:off x="0" y="0"/>
                      <a:ext cx="1819783" cy="948690"/>
                    </a:xfrm>
                    <a:prstGeom prst="rect">
                      <a:avLst/>
                    </a:prstGeom>
                  </pic:spPr>
                </pic:pic>
              </a:graphicData>
            </a:graphic>
          </wp:inline>
        </w:drawing>
      </w:r>
      <w:r>
        <w:rPr>
          <w:i/>
          <w:sz w:val="20"/>
        </w:rPr>
        <w:t xml:space="preserve"> </w:t>
      </w:r>
    </w:p>
    <w:p w:rsidR="007043CB" w:rsidRDefault="004B5C2E">
      <w:pPr>
        <w:spacing w:after="13" w:line="259" w:lineRule="auto"/>
        <w:ind w:left="142" w:firstLine="0"/>
        <w:jc w:val="left"/>
      </w:pPr>
      <w:r>
        <w:rPr>
          <w:sz w:val="20"/>
        </w:rPr>
        <w:t xml:space="preserve"> </w:t>
      </w:r>
    </w:p>
    <w:p w:rsidR="007043CB" w:rsidRDefault="004B5C2E">
      <w:pPr>
        <w:spacing w:after="65"/>
        <w:ind w:left="137" w:right="3302" w:hanging="10"/>
        <w:jc w:val="left"/>
      </w:pPr>
      <w:r>
        <w:rPr>
          <w:b/>
          <w:sz w:val="24"/>
        </w:rPr>
        <w:t xml:space="preserve">Úsek pojištění hospodářských rizik </w:t>
      </w:r>
    </w:p>
    <w:p w:rsidR="007043CB" w:rsidRDefault="004B5C2E">
      <w:pPr>
        <w:spacing w:after="0" w:line="259" w:lineRule="auto"/>
        <w:ind w:left="142" w:firstLine="0"/>
        <w:jc w:val="left"/>
      </w:pPr>
      <w:r>
        <w:rPr>
          <w:b/>
          <w:sz w:val="32"/>
        </w:rPr>
        <w:t xml:space="preserve"> </w:t>
      </w:r>
    </w:p>
    <w:p w:rsidR="007043CB" w:rsidRDefault="004B5C2E">
      <w:pPr>
        <w:spacing w:after="3" w:line="255" w:lineRule="auto"/>
        <w:ind w:left="137" w:right="3482" w:hanging="10"/>
        <w:jc w:val="left"/>
      </w:pPr>
      <w:r>
        <w:rPr>
          <w:b/>
          <w:sz w:val="32"/>
        </w:rPr>
        <w:t xml:space="preserve">Dodatek č. </w:t>
      </w:r>
      <w:r>
        <w:rPr>
          <w:b/>
          <w:sz w:val="30"/>
        </w:rPr>
        <w:t xml:space="preserve">6 </w:t>
      </w:r>
      <w:r>
        <w:rPr>
          <w:b/>
          <w:sz w:val="28"/>
        </w:rPr>
        <w:t>k pojistné smlouvě č.</w:t>
      </w:r>
      <w:r>
        <w:rPr>
          <w:sz w:val="32"/>
        </w:rPr>
        <w:t xml:space="preserve"> </w:t>
      </w:r>
      <w:r>
        <w:rPr>
          <w:b/>
          <w:sz w:val="32"/>
        </w:rPr>
        <w:t>7720689486</w:t>
      </w:r>
      <w:r>
        <w:rPr>
          <w:b/>
          <w:sz w:val="28"/>
        </w:rPr>
        <w:t xml:space="preserve"> ze dne 29.06.2012</w:t>
      </w:r>
      <w:r>
        <w:rPr>
          <w:b/>
          <w:sz w:val="30"/>
        </w:rPr>
        <w:t xml:space="preserve"> </w:t>
      </w:r>
    </w:p>
    <w:p w:rsidR="007043CB" w:rsidRDefault="004B5C2E">
      <w:pPr>
        <w:spacing w:after="0" w:line="259" w:lineRule="auto"/>
        <w:ind w:left="142" w:firstLine="0"/>
        <w:jc w:val="left"/>
      </w:pPr>
      <w:r>
        <w:rPr>
          <w:sz w:val="20"/>
        </w:rPr>
        <w:t xml:space="preserve"> </w:t>
      </w:r>
    </w:p>
    <w:p w:rsidR="007043CB" w:rsidRDefault="004B5C2E">
      <w:pPr>
        <w:ind w:left="152" w:right="1" w:hanging="10"/>
      </w:pPr>
      <w:r>
        <w:rPr>
          <w:sz w:val="20"/>
        </w:rPr>
        <w:t xml:space="preserve">sjednané mezi smluvními stranami: </w:t>
      </w:r>
    </w:p>
    <w:p w:rsidR="007043CB" w:rsidRDefault="004B5C2E">
      <w:pPr>
        <w:spacing w:after="0" w:line="259" w:lineRule="auto"/>
        <w:ind w:left="142" w:firstLine="0"/>
        <w:jc w:val="left"/>
      </w:pPr>
      <w:r>
        <w:rPr>
          <w:sz w:val="20"/>
        </w:rPr>
        <w:t xml:space="preserve"> </w:t>
      </w:r>
    </w:p>
    <w:p w:rsidR="007043CB" w:rsidRDefault="004B5C2E">
      <w:pPr>
        <w:spacing w:after="95" w:line="259" w:lineRule="auto"/>
        <w:ind w:left="142" w:firstLine="0"/>
        <w:jc w:val="left"/>
      </w:pPr>
      <w:r>
        <w:rPr>
          <w:sz w:val="20"/>
        </w:rPr>
        <w:t xml:space="preserve"> </w:t>
      </w:r>
    </w:p>
    <w:p w:rsidR="007043CB" w:rsidRDefault="004B5C2E">
      <w:pPr>
        <w:pStyle w:val="Nadpis1"/>
        <w:ind w:left="137"/>
      </w:pPr>
      <w:r>
        <w:t xml:space="preserve">Kooperativa pojišťovna, a.s., Vienna Insurance Group </w:t>
      </w:r>
    </w:p>
    <w:p w:rsidR="007043CB" w:rsidRDefault="004B5C2E">
      <w:pPr>
        <w:spacing w:after="0"/>
        <w:ind w:left="137" w:right="3302" w:hanging="10"/>
        <w:jc w:val="left"/>
      </w:pPr>
      <w:r>
        <w:rPr>
          <w:b/>
          <w:sz w:val="24"/>
        </w:rPr>
        <w:t xml:space="preserve">se sídlem Pobřežní 665/21, PSČ 186 00,  Praha 8, Česká republika IČO: 47116617 </w:t>
      </w:r>
    </w:p>
    <w:p w:rsidR="007043CB" w:rsidRDefault="004B5C2E">
      <w:pPr>
        <w:ind w:left="152" w:right="1" w:hanging="10"/>
      </w:pPr>
      <w:r>
        <w:rPr>
          <w:sz w:val="20"/>
        </w:rPr>
        <w:t xml:space="preserve">zapsaná v obchodním rejstříku vedeném Městským soudem v Praze, sp. zn. B 1897 </w:t>
      </w:r>
    </w:p>
    <w:p w:rsidR="007043CB" w:rsidRDefault="004B5C2E">
      <w:pPr>
        <w:ind w:left="152" w:right="5003" w:hanging="10"/>
      </w:pPr>
      <w:r>
        <w:rPr>
          <w:sz w:val="20"/>
        </w:rPr>
        <w:t xml:space="preserve">(dále jen „pojistitel“), zastoupený na základě zmocnění níže podepsanými osobami. </w:t>
      </w:r>
    </w:p>
    <w:p w:rsidR="007043CB" w:rsidRDefault="004B5C2E">
      <w:pPr>
        <w:spacing w:after="0" w:line="259" w:lineRule="auto"/>
        <w:ind w:left="142" w:firstLine="0"/>
        <w:jc w:val="left"/>
      </w:pPr>
      <w:r>
        <w:rPr>
          <w:sz w:val="20"/>
        </w:rPr>
        <w:t xml:space="preserve"> </w:t>
      </w:r>
    </w:p>
    <w:p w:rsidR="007043CB" w:rsidRDefault="004B5C2E">
      <w:pPr>
        <w:ind w:left="152" w:right="206" w:hanging="10"/>
      </w:pPr>
      <w:r>
        <w:rPr>
          <w:sz w:val="20"/>
        </w:rPr>
        <w:t xml:space="preserve">Pracoviště: Kooperativa pojišťovna, a.s., Vienna Insurance Group, Agentura Západní Čechy, Zahradní 3, Plzeň, PSČ 326 00, tel.: 377 417 111, fax: 377 417 999 </w:t>
      </w:r>
    </w:p>
    <w:p w:rsidR="007043CB" w:rsidRDefault="004B5C2E">
      <w:pPr>
        <w:spacing w:after="0" w:line="259" w:lineRule="auto"/>
        <w:ind w:left="142" w:firstLine="0"/>
        <w:jc w:val="left"/>
      </w:pPr>
      <w:r>
        <w:rPr>
          <w:sz w:val="20"/>
        </w:rPr>
        <w:t xml:space="preserve"> </w:t>
      </w:r>
    </w:p>
    <w:p w:rsidR="007043CB" w:rsidRDefault="004B5C2E">
      <w:pPr>
        <w:spacing w:after="0" w:line="259" w:lineRule="auto"/>
        <w:ind w:left="142" w:firstLine="0"/>
        <w:jc w:val="left"/>
      </w:pPr>
      <w:r>
        <w:rPr>
          <w:sz w:val="20"/>
        </w:rPr>
        <w:t xml:space="preserve"> </w:t>
      </w:r>
    </w:p>
    <w:p w:rsidR="007043CB" w:rsidRDefault="004B5C2E">
      <w:pPr>
        <w:ind w:left="152" w:right="1" w:hanging="10"/>
      </w:pPr>
      <w:r>
        <w:rPr>
          <w:sz w:val="20"/>
        </w:rPr>
        <w:t xml:space="preserve">a </w:t>
      </w:r>
    </w:p>
    <w:p w:rsidR="007043CB" w:rsidRDefault="004B5C2E">
      <w:pPr>
        <w:spacing w:after="0" w:line="259" w:lineRule="auto"/>
        <w:ind w:left="142" w:firstLine="0"/>
        <w:jc w:val="left"/>
      </w:pPr>
      <w:r>
        <w:rPr>
          <w:sz w:val="20"/>
        </w:rPr>
        <w:t xml:space="preserve"> </w:t>
      </w:r>
    </w:p>
    <w:p w:rsidR="007043CB" w:rsidRDefault="004B5C2E">
      <w:pPr>
        <w:spacing w:after="95" w:line="259" w:lineRule="auto"/>
        <w:ind w:left="142" w:firstLine="0"/>
        <w:jc w:val="left"/>
      </w:pPr>
      <w:r>
        <w:rPr>
          <w:sz w:val="20"/>
        </w:rPr>
        <w:t xml:space="preserve"> </w:t>
      </w:r>
    </w:p>
    <w:p w:rsidR="007043CB" w:rsidRDefault="004B5C2E">
      <w:pPr>
        <w:pStyle w:val="Nadpis1"/>
        <w:ind w:left="137"/>
      </w:pPr>
      <w:r>
        <w:t xml:space="preserve">Město Aš </w:t>
      </w:r>
    </w:p>
    <w:p w:rsidR="007043CB" w:rsidRDefault="004B5C2E">
      <w:pPr>
        <w:spacing w:after="0"/>
        <w:ind w:left="137" w:right="3302" w:hanging="10"/>
        <w:jc w:val="left"/>
      </w:pPr>
      <w:r>
        <w:rPr>
          <w:b/>
          <w:sz w:val="24"/>
        </w:rPr>
        <w:t xml:space="preserve">se sídlem Kamenná 473/52, PSČ 352 01,  Aš, Česká republika IČO: 00253901 </w:t>
      </w:r>
    </w:p>
    <w:p w:rsidR="007043CB" w:rsidRDefault="004B5C2E">
      <w:pPr>
        <w:ind w:left="152" w:right="5883" w:hanging="10"/>
      </w:pPr>
      <w:r>
        <w:rPr>
          <w:sz w:val="20"/>
        </w:rPr>
        <w:t xml:space="preserve">Bankovní spojení: ČSOB a.s., 13371337/0300 (dále jen „pojistník“). </w:t>
      </w:r>
    </w:p>
    <w:p w:rsidR="007043CB" w:rsidRDefault="004B5C2E">
      <w:pPr>
        <w:ind w:left="152" w:right="1" w:hanging="10"/>
      </w:pPr>
      <w:r>
        <w:rPr>
          <w:sz w:val="20"/>
        </w:rPr>
        <w:t xml:space="preserve">zastoupený  starostou města – Mgr. Dalibor Blažek  </w:t>
      </w:r>
    </w:p>
    <w:p w:rsidR="007043CB" w:rsidRDefault="004B5C2E">
      <w:pPr>
        <w:spacing w:after="0" w:line="259" w:lineRule="auto"/>
        <w:ind w:left="142" w:firstLine="0"/>
        <w:jc w:val="left"/>
      </w:pPr>
      <w:r>
        <w:rPr>
          <w:sz w:val="20"/>
        </w:rPr>
        <w:t xml:space="preserve"> </w:t>
      </w:r>
    </w:p>
    <w:p w:rsidR="007043CB" w:rsidRDefault="004B5C2E">
      <w:pPr>
        <w:ind w:left="152" w:hanging="10"/>
        <w:jc w:val="left"/>
      </w:pPr>
      <w:r>
        <w:rPr>
          <w:b/>
          <w:sz w:val="20"/>
        </w:rPr>
        <w:t>Korespondenční adresa je shodná s korespondenční adresou pojišťovacího makléře.</w:t>
      </w:r>
      <w:r>
        <w:rPr>
          <w:sz w:val="20"/>
        </w:rPr>
        <w:t xml:space="preserve"> </w:t>
      </w:r>
    </w:p>
    <w:p w:rsidR="007043CB" w:rsidRDefault="004B5C2E">
      <w:pPr>
        <w:spacing w:after="0" w:line="259" w:lineRule="auto"/>
        <w:ind w:left="142" w:firstLine="0"/>
        <w:jc w:val="left"/>
      </w:pPr>
      <w:r>
        <w:rPr>
          <w:sz w:val="20"/>
        </w:rPr>
        <w:t xml:space="preserve"> </w:t>
      </w:r>
    </w:p>
    <w:p w:rsidR="007043CB" w:rsidRDefault="004B5C2E">
      <w:pPr>
        <w:spacing w:after="0" w:line="259" w:lineRule="auto"/>
        <w:ind w:left="142" w:firstLine="0"/>
        <w:jc w:val="left"/>
      </w:pPr>
      <w:r>
        <w:rPr>
          <w:sz w:val="20"/>
        </w:rPr>
        <w:t xml:space="preserve"> </w:t>
      </w:r>
    </w:p>
    <w:p w:rsidR="007043CB" w:rsidRDefault="004B5C2E">
      <w:pPr>
        <w:spacing w:after="0" w:line="259" w:lineRule="auto"/>
        <w:ind w:left="142" w:firstLine="0"/>
        <w:jc w:val="left"/>
      </w:pPr>
      <w:r>
        <w:rPr>
          <w:sz w:val="20"/>
        </w:rPr>
        <w:t xml:space="preserve"> </w:t>
      </w:r>
    </w:p>
    <w:p w:rsidR="007043CB" w:rsidRDefault="004B5C2E">
      <w:pPr>
        <w:spacing w:after="0" w:line="259" w:lineRule="auto"/>
        <w:ind w:left="142" w:firstLine="0"/>
        <w:jc w:val="left"/>
      </w:pPr>
      <w:r>
        <w:rPr>
          <w:sz w:val="20"/>
        </w:rPr>
        <w:t xml:space="preserve"> </w:t>
      </w:r>
    </w:p>
    <w:p w:rsidR="007043CB" w:rsidRDefault="004B5C2E">
      <w:pPr>
        <w:spacing w:after="63"/>
        <w:ind w:left="152" w:right="1" w:hanging="10"/>
      </w:pPr>
      <w:r>
        <w:rPr>
          <w:sz w:val="20"/>
        </w:rPr>
        <w:t xml:space="preserve">Tato smlouva / dodatek  byl(a) sjednána prostřednictvím pojišťovacího makléře  </w:t>
      </w:r>
    </w:p>
    <w:p w:rsidR="007043CB" w:rsidRDefault="004B5C2E">
      <w:pPr>
        <w:spacing w:after="3" w:line="255" w:lineRule="auto"/>
        <w:ind w:left="137" w:right="3482" w:hanging="10"/>
        <w:jc w:val="left"/>
      </w:pPr>
      <w:r>
        <w:rPr>
          <w:b/>
          <w:sz w:val="28"/>
        </w:rPr>
        <w:t xml:space="preserve">RESPECT, a. s. </w:t>
      </w:r>
    </w:p>
    <w:p w:rsidR="007043CB" w:rsidRDefault="004B5C2E">
      <w:pPr>
        <w:spacing w:after="0"/>
        <w:ind w:left="137" w:right="129" w:hanging="10"/>
        <w:jc w:val="left"/>
      </w:pPr>
      <w:r>
        <w:rPr>
          <w:b/>
          <w:sz w:val="24"/>
        </w:rPr>
        <w:t xml:space="preserve">se sídlem v Praze 4, Pod  Krčským lesem  2016 / 22 , Praha 4,  PSČ 142 00, Česká republika  IČO: 25146351 </w:t>
      </w:r>
    </w:p>
    <w:p w:rsidR="007043CB" w:rsidRDefault="004B5C2E">
      <w:pPr>
        <w:ind w:left="152" w:right="1" w:hanging="10"/>
      </w:pPr>
      <w:r>
        <w:rPr>
          <w:sz w:val="20"/>
        </w:rPr>
        <w:t xml:space="preserve">zapsaná v obchodním rejstříku u  Městského soudu v Praze sp. zn. B 4845 </w:t>
      </w:r>
    </w:p>
    <w:p w:rsidR="007043CB" w:rsidRDefault="004B5C2E">
      <w:pPr>
        <w:ind w:left="152" w:hanging="10"/>
        <w:jc w:val="left"/>
      </w:pPr>
      <w:r>
        <w:rPr>
          <w:sz w:val="20"/>
        </w:rPr>
        <w:t xml:space="preserve">(dále jen </w:t>
      </w:r>
      <w:r>
        <w:rPr>
          <w:b/>
          <w:sz w:val="20"/>
        </w:rPr>
        <w:t>„pojišťovací makléř”</w:t>
      </w:r>
      <w:r>
        <w:rPr>
          <w:sz w:val="20"/>
        </w:rPr>
        <w:t>)</w:t>
      </w:r>
      <w:r>
        <w:rPr>
          <w:b/>
          <w:sz w:val="20"/>
        </w:rPr>
        <w:t xml:space="preserve"> </w:t>
      </w:r>
    </w:p>
    <w:p w:rsidR="007043CB" w:rsidRDefault="004B5C2E">
      <w:pPr>
        <w:ind w:left="152" w:right="1" w:hanging="10"/>
      </w:pPr>
      <w:r>
        <w:rPr>
          <w:b/>
          <w:sz w:val="20"/>
        </w:rPr>
        <w:t xml:space="preserve">Korespondenční adresa pojišťovacího makléře: </w:t>
      </w:r>
      <w:r>
        <w:rPr>
          <w:sz w:val="20"/>
        </w:rPr>
        <w:t xml:space="preserve">Krymská 47, Karlovy Vary, PSČ 360 01, Česká republika  </w:t>
      </w:r>
    </w:p>
    <w:p w:rsidR="007043CB" w:rsidRDefault="004B5C2E">
      <w:pPr>
        <w:spacing w:after="0" w:line="259" w:lineRule="auto"/>
        <w:ind w:left="142" w:firstLine="0"/>
        <w:jc w:val="left"/>
      </w:pPr>
      <w:r>
        <w:rPr>
          <w:b/>
          <w:sz w:val="20"/>
        </w:rPr>
        <w:t xml:space="preserve"> </w:t>
      </w:r>
    </w:p>
    <w:p w:rsidR="007043CB" w:rsidRDefault="004B5C2E">
      <w:pPr>
        <w:spacing w:after="0" w:line="259" w:lineRule="auto"/>
        <w:ind w:left="142" w:firstLine="0"/>
        <w:jc w:val="left"/>
      </w:pPr>
      <w:r>
        <w:rPr>
          <w:b/>
          <w:sz w:val="20"/>
        </w:rPr>
        <w:t xml:space="preserve"> </w:t>
      </w:r>
    </w:p>
    <w:p w:rsidR="007043CB" w:rsidRDefault="004B5C2E">
      <w:pPr>
        <w:spacing w:after="0" w:line="259" w:lineRule="auto"/>
        <w:ind w:left="142" w:firstLine="0"/>
        <w:jc w:val="left"/>
      </w:pPr>
      <w:r>
        <w:rPr>
          <w:b/>
          <w:sz w:val="20"/>
        </w:rPr>
        <w:t xml:space="preserve"> </w:t>
      </w:r>
    </w:p>
    <w:p w:rsidR="007043CB" w:rsidRDefault="004B5C2E">
      <w:pPr>
        <w:spacing w:after="0" w:line="259" w:lineRule="auto"/>
        <w:ind w:left="142" w:firstLine="0"/>
        <w:jc w:val="left"/>
      </w:pPr>
      <w:r>
        <w:rPr>
          <w:b/>
          <w:sz w:val="20"/>
        </w:rPr>
        <w:t xml:space="preserve"> </w:t>
      </w:r>
    </w:p>
    <w:p w:rsidR="007043CB" w:rsidRDefault="004B5C2E">
      <w:pPr>
        <w:spacing w:after="0" w:line="259" w:lineRule="auto"/>
        <w:ind w:left="142" w:firstLine="0"/>
        <w:jc w:val="left"/>
      </w:pPr>
      <w:r>
        <w:rPr>
          <w:b/>
          <w:sz w:val="20"/>
        </w:rPr>
        <w:t xml:space="preserve"> </w:t>
      </w:r>
    </w:p>
    <w:p w:rsidR="007043CB" w:rsidRDefault="004B5C2E">
      <w:pPr>
        <w:spacing w:after="0" w:line="259" w:lineRule="auto"/>
        <w:ind w:left="142" w:firstLine="0"/>
        <w:jc w:val="left"/>
      </w:pPr>
      <w:r>
        <w:rPr>
          <w:b/>
          <w:sz w:val="20"/>
        </w:rPr>
        <w:t xml:space="preserve"> </w:t>
      </w:r>
    </w:p>
    <w:p w:rsidR="007043CB" w:rsidRDefault="004B5C2E">
      <w:pPr>
        <w:spacing w:after="0" w:line="259" w:lineRule="auto"/>
        <w:ind w:left="142" w:firstLine="0"/>
        <w:jc w:val="left"/>
      </w:pPr>
      <w:r>
        <w:rPr>
          <w:b/>
          <w:sz w:val="20"/>
        </w:rPr>
        <w:t xml:space="preserve"> </w:t>
      </w:r>
    </w:p>
    <w:p w:rsidR="007043CB" w:rsidRDefault="004B5C2E">
      <w:pPr>
        <w:spacing w:after="0" w:line="259" w:lineRule="auto"/>
        <w:ind w:left="142" w:firstLine="0"/>
        <w:jc w:val="left"/>
      </w:pPr>
      <w:r>
        <w:rPr>
          <w:b/>
          <w:sz w:val="20"/>
        </w:rPr>
        <w:t xml:space="preserve"> </w:t>
      </w:r>
    </w:p>
    <w:p w:rsidR="007043CB" w:rsidRDefault="004B5C2E">
      <w:pPr>
        <w:spacing w:after="4"/>
        <w:ind w:left="152" w:right="71" w:hanging="10"/>
        <w:jc w:val="left"/>
      </w:pPr>
      <w:r>
        <w:rPr>
          <w:b/>
          <w:sz w:val="19"/>
        </w:rPr>
        <w:lastRenderedPageBreak/>
        <w:t xml:space="preserve">Tento dodatek obsahuje aktuální znění pojistné smlouvy od  01.07.2016,  vč.  aktualizace hodnot, sloučení více předmětů se shodným rozsahem pojištění,  ukončení vybraných pojištění - dle požadavku pojišťovacího makléře. </w:t>
      </w:r>
    </w:p>
    <w:p w:rsidR="007043CB" w:rsidRDefault="004B5C2E">
      <w:pPr>
        <w:spacing w:after="97" w:line="259" w:lineRule="auto"/>
        <w:ind w:left="142" w:firstLine="0"/>
        <w:jc w:val="left"/>
      </w:pPr>
      <w:r>
        <w:rPr>
          <w:b/>
          <w:sz w:val="8"/>
        </w:rPr>
        <w:t xml:space="preserve"> </w:t>
      </w:r>
    </w:p>
    <w:p w:rsidR="007043CB" w:rsidRDefault="004B5C2E">
      <w:pPr>
        <w:spacing w:after="4"/>
        <w:ind w:left="152" w:right="71" w:hanging="10"/>
        <w:jc w:val="left"/>
      </w:pPr>
      <w:r>
        <w:rPr>
          <w:b/>
          <w:sz w:val="19"/>
        </w:rPr>
        <w:t xml:space="preserve">Ze strany pojistitele rozšiřující ujednání ve prospěch pojištěného, snížení ročního pojistného. </w:t>
      </w:r>
    </w:p>
    <w:p w:rsidR="007043CB" w:rsidRDefault="004B5C2E">
      <w:pPr>
        <w:spacing w:after="0" w:line="259" w:lineRule="auto"/>
        <w:ind w:left="0" w:right="412" w:firstLine="0"/>
        <w:jc w:val="center"/>
      </w:pPr>
      <w:r>
        <w:rPr>
          <w:b/>
          <w:sz w:val="20"/>
        </w:rPr>
        <w:t xml:space="preserve"> </w:t>
      </w:r>
    </w:p>
    <w:p w:rsidR="007043CB" w:rsidRDefault="004B5C2E">
      <w:pPr>
        <w:ind w:left="10" w:right="465" w:hanging="10"/>
        <w:jc w:val="center"/>
      </w:pPr>
      <w:r>
        <w:rPr>
          <w:b/>
          <w:sz w:val="20"/>
        </w:rPr>
        <w:t xml:space="preserve">Článek I. </w:t>
      </w:r>
    </w:p>
    <w:p w:rsidR="007043CB" w:rsidRDefault="004B5C2E">
      <w:pPr>
        <w:pStyle w:val="Nadpis2"/>
        <w:ind w:left="10" w:right="465"/>
      </w:pPr>
      <w:r>
        <w:t xml:space="preserve">Úvodní ustanovení </w:t>
      </w:r>
    </w:p>
    <w:p w:rsidR="007043CB" w:rsidRDefault="004B5C2E">
      <w:pPr>
        <w:spacing w:after="6" w:line="259" w:lineRule="auto"/>
        <w:ind w:left="142" w:firstLine="0"/>
        <w:jc w:val="left"/>
      </w:pPr>
      <w:r>
        <w:rPr>
          <w:sz w:val="20"/>
        </w:rPr>
        <w:t xml:space="preserve"> </w:t>
      </w:r>
    </w:p>
    <w:p w:rsidR="007043CB" w:rsidRDefault="004B5C2E">
      <w:pPr>
        <w:numPr>
          <w:ilvl w:val="0"/>
          <w:numId w:val="1"/>
        </w:numPr>
        <w:ind w:right="302" w:hanging="425"/>
      </w:pPr>
      <w:r>
        <w:rPr>
          <w:sz w:val="20"/>
        </w:rPr>
        <w:t xml:space="preserve">Pojistník sjednává tuto pojistnou smlouvu ve svůj prospěch, tzn. je zároveň pojištěným a dále ve prospěch těchto pojištěných : </w:t>
      </w:r>
    </w:p>
    <w:p w:rsidR="007043CB" w:rsidRDefault="004B5C2E">
      <w:pPr>
        <w:spacing w:after="121" w:line="259" w:lineRule="auto"/>
        <w:ind w:left="567" w:firstLine="0"/>
        <w:jc w:val="left"/>
      </w:pPr>
      <w:r>
        <w:rPr>
          <w:sz w:val="8"/>
        </w:rPr>
        <w:t xml:space="preserve"> </w:t>
      </w:r>
    </w:p>
    <w:p w:rsidR="007043CB" w:rsidRDefault="004B5C2E">
      <w:pPr>
        <w:numPr>
          <w:ilvl w:val="1"/>
          <w:numId w:val="1"/>
        </w:numPr>
        <w:ind w:hanging="355"/>
        <w:jc w:val="left"/>
      </w:pPr>
      <w:r>
        <w:rPr>
          <w:b/>
          <w:sz w:val="20"/>
        </w:rPr>
        <w:t xml:space="preserve">Mateřská škola Aš, Moravská 10, okres Cheb, IČO 70976431, Moravská 10,  PSČ 352 01, Aš, ČR - </w:t>
      </w:r>
      <w:r>
        <w:rPr>
          <w:b/>
          <w:sz w:val="20"/>
        </w:rPr>
        <w:tab/>
        <w:t xml:space="preserve">Mateřská škola Aš, Neumannova 2560, okres Cheb, p.o., IČO 70976457, Neumannova 2560,    PSČ 352 01, Aš, ČR </w:t>
      </w:r>
    </w:p>
    <w:p w:rsidR="007043CB" w:rsidRDefault="004B5C2E">
      <w:pPr>
        <w:numPr>
          <w:ilvl w:val="1"/>
          <w:numId w:val="1"/>
        </w:numPr>
        <w:ind w:hanging="355"/>
        <w:jc w:val="left"/>
      </w:pPr>
      <w:r>
        <w:rPr>
          <w:b/>
          <w:sz w:val="20"/>
        </w:rPr>
        <w:t xml:space="preserve">Mateřská škola Aš, Nohova 2201,  okres Cheb, IČO 47722801, Nohova 2201, PSČ 352 01, Aš, ČR </w:t>
      </w:r>
    </w:p>
    <w:p w:rsidR="007043CB" w:rsidRDefault="004B5C2E">
      <w:pPr>
        <w:numPr>
          <w:ilvl w:val="1"/>
          <w:numId w:val="1"/>
        </w:numPr>
        <w:ind w:hanging="355"/>
        <w:jc w:val="left"/>
      </w:pPr>
      <w:r>
        <w:rPr>
          <w:b/>
          <w:sz w:val="20"/>
        </w:rPr>
        <w:t xml:space="preserve">Základní škola Aš, Hlávkova 26, okres Cheb,   IČO 70976481, Hlávkova 26,   PSČ 352 01,  Aš, ČR </w:t>
      </w:r>
    </w:p>
    <w:p w:rsidR="007043CB" w:rsidRDefault="004B5C2E">
      <w:pPr>
        <w:numPr>
          <w:ilvl w:val="1"/>
          <w:numId w:val="1"/>
        </w:numPr>
        <w:ind w:hanging="355"/>
        <w:jc w:val="left"/>
      </w:pPr>
      <w:r>
        <w:rPr>
          <w:b/>
          <w:sz w:val="20"/>
        </w:rPr>
        <w:t xml:space="preserve">Základní škola Aš, Kamenná 152, okres Cheb, IČO 70976473, Kamenná 152, PSČ 352 01, Aš, ČR </w:t>
      </w:r>
    </w:p>
    <w:p w:rsidR="007043CB" w:rsidRDefault="004B5C2E">
      <w:pPr>
        <w:numPr>
          <w:ilvl w:val="1"/>
          <w:numId w:val="1"/>
        </w:numPr>
        <w:ind w:hanging="355"/>
        <w:jc w:val="left"/>
      </w:pPr>
      <w:r>
        <w:rPr>
          <w:b/>
          <w:sz w:val="20"/>
        </w:rPr>
        <w:t xml:space="preserve">Základní škola a mateřská škola Aš, Okružní 57, okres Cheb, p. o., IČO 70976490,  Okružní 57,     PSČ 352 01,  Aš, ČR  </w:t>
      </w:r>
    </w:p>
    <w:p w:rsidR="007043CB" w:rsidRDefault="004B5C2E">
      <w:pPr>
        <w:numPr>
          <w:ilvl w:val="1"/>
          <w:numId w:val="1"/>
        </w:numPr>
        <w:ind w:hanging="355"/>
        <w:jc w:val="left"/>
      </w:pPr>
      <w:r>
        <w:rPr>
          <w:b/>
          <w:sz w:val="20"/>
        </w:rPr>
        <w:t xml:space="preserve">Základní škola a Praktická škola Aš, IČO 68781580, Studentská 13, PSČ 352 01, Aš, ČR </w:t>
      </w:r>
    </w:p>
    <w:p w:rsidR="007043CB" w:rsidRDefault="004B5C2E">
      <w:pPr>
        <w:numPr>
          <w:ilvl w:val="1"/>
          <w:numId w:val="1"/>
        </w:numPr>
        <w:ind w:hanging="355"/>
        <w:jc w:val="left"/>
      </w:pPr>
      <w:r>
        <w:rPr>
          <w:b/>
          <w:sz w:val="20"/>
        </w:rPr>
        <w:t>Základní</w:t>
      </w:r>
      <w:r>
        <w:rPr>
          <w:b/>
          <w:sz w:val="8"/>
        </w:rPr>
        <w:t xml:space="preserve"> </w:t>
      </w:r>
      <w:r>
        <w:rPr>
          <w:b/>
          <w:sz w:val="20"/>
        </w:rPr>
        <w:t>umělecká škola Roberta Schumanna</w:t>
      </w:r>
      <w:r>
        <w:rPr>
          <w:b/>
          <w:sz w:val="12"/>
        </w:rPr>
        <w:t xml:space="preserve"> </w:t>
      </w:r>
      <w:r>
        <w:rPr>
          <w:b/>
          <w:sz w:val="20"/>
        </w:rPr>
        <w:t xml:space="preserve">Aš, IČO 47720964, Šaldova 2200/7, PSČ 352 01, Aš, ČR </w:t>
      </w:r>
    </w:p>
    <w:p w:rsidR="007043CB" w:rsidRDefault="004B5C2E">
      <w:pPr>
        <w:numPr>
          <w:ilvl w:val="1"/>
          <w:numId w:val="1"/>
        </w:numPr>
        <w:ind w:hanging="355"/>
        <w:jc w:val="left"/>
      </w:pPr>
      <w:r>
        <w:rPr>
          <w:b/>
          <w:sz w:val="20"/>
        </w:rPr>
        <w:t xml:space="preserve">Zařízení školního stravování Aš, p. o., IČO 70978239, Dlouhá 2618/3, PSČ 352 01, Aš, ČR </w:t>
      </w:r>
    </w:p>
    <w:p w:rsidR="007043CB" w:rsidRDefault="004B5C2E">
      <w:pPr>
        <w:numPr>
          <w:ilvl w:val="1"/>
          <w:numId w:val="1"/>
        </w:numPr>
        <w:ind w:hanging="355"/>
        <w:jc w:val="left"/>
      </w:pPr>
      <w:r>
        <w:rPr>
          <w:b/>
          <w:sz w:val="20"/>
        </w:rPr>
        <w:t>Knihovna, Muzeum</w:t>
      </w:r>
      <w:r>
        <w:rPr>
          <w:b/>
          <w:sz w:val="8"/>
        </w:rPr>
        <w:t xml:space="preserve"> </w:t>
      </w:r>
      <w:r>
        <w:rPr>
          <w:b/>
          <w:sz w:val="20"/>
        </w:rPr>
        <w:t>a</w:t>
      </w:r>
      <w:r>
        <w:rPr>
          <w:b/>
          <w:sz w:val="8"/>
        </w:rPr>
        <w:t xml:space="preserve"> </w:t>
      </w:r>
      <w:r>
        <w:rPr>
          <w:b/>
          <w:sz w:val="20"/>
        </w:rPr>
        <w:t>informační</w:t>
      </w:r>
      <w:r>
        <w:rPr>
          <w:b/>
          <w:sz w:val="10"/>
        </w:rPr>
        <w:t xml:space="preserve"> </w:t>
      </w:r>
      <w:r>
        <w:rPr>
          <w:b/>
          <w:sz w:val="20"/>
        </w:rPr>
        <w:t xml:space="preserve">centrum Aš, p. o., IČO 70940479, Hlavní 239/23, PSČ 352 01, Aš, ČR </w:t>
      </w:r>
    </w:p>
    <w:p w:rsidR="007043CB" w:rsidRDefault="004B5C2E">
      <w:pPr>
        <w:numPr>
          <w:ilvl w:val="1"/>
          <w:numId w:val="1"/>
        </w:numPr>
        <w:ind w:hanging="355"/>
        <w:jc w:val="left"/>
      </w:pPr>
      <w:r>
        <w:rPr>
          <w:b/>
          <w:sz w:val="20"/>
        </w:rPr>
        <w:t xml:space="preserve">Městský dům dětí a mládeže Sluníčko Aš, IČO 47722363,  Štefániková 2515,  PSČ 352 01, Aš, ČR </w:t>
      </w:r>
    </w:p>
    <w:p w:rsidR="007043CB" w:rsidRDefault="004B5C2E">
      <w:pPr>
        <w:numPr>
          <w:ilvl w:val="1"/>
          <w:numId w:val="1"/>
        </w:numPr>
        <w:ind w:hanging="355"/>
        <w:jc w:val="left"/>
      </w:pPr>
      <w:r>
        <w:rPr>
          <w:b/>
          <w:sz w:val="20"/>
        </w:rPr>
        <w:t xml:space="preserve">Sdružení Ašsko, IČO 69459401, Kamenná 473/52, PSČ 352 01,  Aš, ČR </w:t>
      </w:r>
    </w:p>
    <w:p w:rsidR="007043CB" w:rsidRDefault="004B5C2E">
      <w:pPr>
        <w:spacing w:after="0" w:line="259" w:lineRule="auto"/>
        <w:ind w:left="994" w:firstLine="0"/>
        <w:jc w:val="left"/>
      </w:pPr>
      <w:r>
        <w:rPr>
          <w:b/>
          <w:sz w:val="20"/>
        </w:rPr>
        <w:t xml:space="preserve"> </w:t>
      </w:r>
    </w:p>
    <w:p w:rsidR="007043CB" w:rsidRDefault="004B5C2E">
      <w:pPr>
        <w:spacing w:after="126" w:line="259" w:lineRule="auto"/>
        <w:ind w:left="569" w:firstLine="0"/>
        <w:jc w:val="left"/>
      </w:pPr>
      <w:r>
        <w:rPr>
          <w:b/>
          <w:sz w:val="20"/>
        </w:rPr>
        <w:t xml:space="preserve"> </w:t>
      </w:r>
    </w:p>
    <w:p w:rsidR="007043CB" w:rsidRDefault="004B5C2E">
      <w:pPr>
        <w:numPr>
          <w:ilvl w:val="0"/>
          <w:numId w:val="1"/>
        </w:numPr>
        <w:spacing w:after="142"/>
        <w:ind w:right="302" w:hanging="425"/>
      </w:pPr>
      <w:r>
        <w:rPr>
          <w:sz w:val="20"/>
        </w:rPr>
        <w:t xml:space="preserve">Předmět činnosti pojištěného ke dni uzavření této pojistné smlouvy je mimo jiné přenesený výkon státní správy a výkon samosprávy podle zákona o obcích č. 128/2000 Sb., ve znění pozdějších předpisů a dále </w:t>
      </w:r>
      <w:r>
        <w:rPr>
          <w:b/>
          <w:sz w:val="20"/>
        </w:rPr>
        <w:t>činnost pojištěného uvedená v přiloženém výpisu z rejstříku v ARES ke dni 30.06.2016.</w:t>
      </w:r>
      <w:r>
        <w:rPr>
          <w:sz w:val="20"/>
        </w:rPr>
        <w:t xml:space="preserve"> </w:t>
      </w:r>
    </w:p>
    <w:p w:rsidR="007043CB" w:rsidRDefault="004B5C2E">
      <w:pPr>
        <w:numPr>
          <w:ilvl w:val="0"/>
          <w:numId w:val="1"/>
        </w:numPr>
        <w:spacing w:after="99"/>
        <w:ind w:right="302" w:hanging="425"/>
      </w:pPr>
      <w:r>
        <w:rPr>
          <w:sz w:val="20"/>
        </w:rPr>
        <w:t xml:space="preserve">K tomuto pojištění se vztahují: Všeobecné pojistné podmínky pro pojištění majetku a odpovědnosti (dále jen VPP), Zvláštní pojistné podmínky (dále jen ZPP) a Dodatkové pojistné podmínky (dále jen DPP). </w:t>
      </w:r>
    </w:p>
    <w:p w:rsidR="007043CB" w:rsidRDefault="004B5C2E">
      <w:pPr>
        <w:spacing w:after="4"/>
        <w:ind w:left="564" w:right="71" w:hanging="10"/>
        <w:jc w:val="left"/>
      </w:pPr>
      <w:r>
        <w:rPr>
          <w:b/>
          <w:sz w:val="19"/>
        </w:rPr>
        <w:t xml:space="preserve">Všeobecné pojistné podmínky  </w:t>
      </w:r>
    </w:p>
    <w:p w:rsidR="007043CB" w:rsidRDefault="004B5C2E">
      <w:pPr>
        <w:ind w:left="562" w:right="403" w:hanging="10"/>
      </w:pPr>
      <w:r>
        <w:rPr>
          <w:sz w:val="19"/>
        </w:rPr>
        <w:t xml:space="preserve">VPP P - 100/09 – pro pojištění majetku a odpovědnosti </w:t>
      </w:r>
    </w:p>
    <w:p w:rsidR="007043CB" w:rsidRDefault="004B5C2E">
      <w:pPr>
        <w:spacing w:after="0" w:line="259" w:lineRule="auto"/>
        <w:ind w:left="567" w:firstLine="0"/>
        <w:jc w:val="left"/>
      </w:pPr>
      <w:r>
        <w:rPr>
          <w:sz w:val="19"/>
        </w:rPr>
        <w:t xml:space="preserve"> </w:t>
      </w:r>
    </w:p>
    <w:p w:rsidR="007043CB" w:rsidRDefault="004B5C2E">
      <w:pPr>
        <w:spacing w:after="4"/>
        <w:ind w:left="564" w:right="71" w:hanging="10"/>
        <w:jc w:val="left"/>
      </w:pPr>
      <w:r>
        <w:rPr>
          <w:b/>
          <w:sz w:val="19"/>
        </w:rPr>
        <w:t xml:space="preserve">Zvláštní pojistné podmínky </w:t>
      </w:r>
    </w:p>
    <w:p w:rsidR="007043CB" w:rsidRDefault="004B5C2E">
      <w:pPr>
        <w:ind w:left="562" w:right="403" w:hanging="10"/>
      </w:pPr>
      <w:r>
        <w:rPr>
          <w:sz w:val="19"/>
        </w:rPr>
        <w:t xml:space="preserve">ZPP P - 150/05 - pro živelní pojištění </w:t>
      </w:r>
    </w:p>
    <w:p w:rsidR="007043CB" w:rsidRDefault="004B5C2E">
      <w:pPr>
        <w:ind w:left="562" w:right="403" w:hanging="10"/>
      </w:pPr>
      <w:r>
        <w:rPr>
          <w:sz w:val="19"/>
        </w:rPr>
        <w:t xml:space="preserve">ZPP P - 200/05 - pro pojištění pro případ odcizení </w:t>
      </w:r>
    </w:p>
    <w:p w:rsidR="007043CB" w:rsidRDefault="004B5C2E">
      <w:pPr>
        <w:ind w:left="562" w:right="403" w:hanging="10"/>
      </w:pPr>
      <w:r>
        <w:rPr>
          <w:sz w:val="19"/>
        </w:rPr>
        <w:t xml:space="preserve">ZPP P - 250/05 - pro pojištění skla </w:t>
      </w:r>
    </w:p>
    <w:p w:rsidR="007043CB" w:rsidRDefault="004B5C2E">
      <w:pPr>
        <w:ind w:left="562" w:right="403" w:hanging="10"/>
      </w:pPr>
      <w:r>
        <w:rPr>
          <w:sz w:val="19"/>
        </w:rPr>
        <w:t xml:space="preserve">ZPP P - 300/05 - pro pojištění strojů </w:t>
      </w:r>
    </w:p>
    <w:p w:rsidR="007043CB" w:rsidRDefault="004B5C2E">
      <w:pPr>
        <w:ind w:left="562" w:right="403" w:hanging="10"/>
      </w:pPr>
      <w:r>
        <w:rPr>
          <w:sz w:val="19"/>
        </w:rPr>
        <w:t xml:space="preserve">ZPP P - 320/05 - pro pojištění elektronických zařízení </w:t>
      </w:r>
    </w:p>
    <w:p w:rsidR="007043CB" w:rsidRDefault="004B5C2E">
      <w:pPr>
        <w:ind w:left="562" w:right="403" w:hanging="10"/>
      </w:pPr>
      <w:r>
        <w:rPr>
          <w:sz w:val="19"/>
        </w:rPr>
        <w:t xml:space="preserve">ZPP P - 600/05 - pro pojištění odpovědnosti za škodu </w:t>
      </w:r>
    </w:p>
    <w:p w:rsidR="007043CB" w:rsidRDefault="004B5C2E">
      <w:pPr>
        <w:spacing w:after="0" w:line="259" w:lineRule="auto"/>
        <w:ind w:left="567" w:firstLine="0"/>
        <w:jc w:val="left"/>
      </w:pPr>
      <w:r>
        <w:rPr>
          <w:sz w:val="19"/>
        </w:rPr>
        <w:t xml:space="preserve"> </w:t>
      </w:r>
    </w:p>
    <w:p w:rsidR="007043CB" w:rsidRDefault="004B5C2E">
      <w:pPr>
        <w:spacing w:after="4"/>
        <w:ind w:left="564" w:right="3944" w:hanging="10"/>
        <w:jc w:val="left"/>
      </w:pPr>
      <w:r>
        <w:rPr>
          <w:b/>
          <w:sz w:val="19"/>
        </w:rPr>
        <w:t xml:space="preserve">Dodatkové pojistné podmínky pro pojištění hospodářských rizik  </w:t>
      </w:r>
      <w:r>
        <w:rPr>
          <w:sz w:val="19"/>
        </w:rPr>
        <w:t xml:space="preserve">DPP P - 520/05 sestávající se z následujících doložek: </w:t>
      </w:r>
    </w:p>
    <w:p w:rsidR="007043CB" w:rsidRDefault="004B5C2E">
      <w:pPr>
        <w:spacing w:after="97" w:line="259" w:lineRule="auto"/>
        <w:ind w:left="567" w:firstLine="0"/>
        <w:jc w:val="left"/>
      </w:pPr>
      <w:r>
        <w:rPr>
          <w:sz w:val="8"/>
        </w:rPr>
        <w:t xml:space="preserve"> </w:t>
      </w:r>
    </w:p>
    <w:p w:rsidR="007043CB" w:rsidRDefault="004B5C2E">
      <w:pPr>
        <w:spacing w:after="4"/>
        <w:ind w:left="564" w:right="71" w:hanging="10"/>
        <w:jc w:val="left"/>
      </w:pPr>
      <w:r>
        <w:rPr>
          <w:b/>
          <w:sz w:val="19"/>
        </w:rPr>
        <w:t xml:space="preserve">Živel </w:t>
      </w:r>
    </w:p>
    <w:p w:rsidR="007043CB" w:rsidRDefault="004B5C2E">
      <w:pPr>
        <w:ind w:left="562" w:right="403" w:hanging="10"/>
      </w:pPr>
      <w:r>
        <w:rPr>
          <w:sz w:val="19"/>
        </w:rPr>
        <w:t xml:space="preserve">DZ2 - Kouř - Rozšíření rozsahu pojištění (1201) </w:t>
      </w:r>
    </w:p>
    <w:p w:rsidR="007043CB" w:rsidRDefault="004B5C2E">
      <w:pPr>
        <w:ind w:left="562" w:right="403" w:hanging="10"/>
      </w:pPr>
      <w:r>
        <w:rPr>
          <w:sz w:val="19"/>
        </w:rPr>
        <w:t xml:space="preserve">DZ3 - Třesk - Rozšíření rozsahu pojištění (1201) </w:t>
      </w:r>
    </w:p>
    <w:p w:rsidR="007043CB" w:rsidRDefault="004B5C2E">
      <w:pPr>
        <w:ind w:left="562" w:right="1183" w:hanging="10"/>
      </w:pPr>
      <w:r>
        <w:rPr>
          <w:sz w:val="19"/>
        </w:rPr>
        <w:t xml:space="preserve">DZ12 - Příslušenství a stavební součásti budovy nebo stavby - vymezení předmětu pojištění (1201) DZ13 - Atmosférické srážky - Rozšíření rozsahu pojištění (1201) </w:t>
      </w:r>
    </w:p>
    <w:p w:rsidR="007043CB" w:rsidRDefault="004B5C2E">
      <w:pPr>
        <w:spacing w:after="97" w:line="259" w:lineRule="auto"/>
        <w:ind w:left="567" w:firstLine="0"/>
        <w:jc w:val="left"/>
      </w:pPr>
      <w:r>
        <w:rPr>
          <w:sz w:val="8"/>
        </w:rPr>
        <w:t xml:space="preserve"> </w:t>
      </w:r>
    </w:p>
    <w:p w:rsidR="007043CB" w:rsidRDefault="004B5C2E">
      <w:pPr>
        <w:spacing w:after="4"/>
        <w:ind w:left="564" w:right="71" w:hanging="10"/>
        <w:jc w:val="left"/>
      </w:pPr>
      <w:r>
        <w:rPr>
          <w:b/>
          <w:sz w:val="19"/>
        </w:rPr>
        <w:t xml:space="preserve">Zabezpečení </w:t>
      </w:r>
    </w:p>
    <w:p w:rsidR="007043CB" w:rsidRDefault="004B5C2E">
      <w:pPr>
        <w:ind w:left="562" w:right="403" w:hanging="10"/>
      </w:pPr>
      <w:r>
        <w:rPr>
          <w:sz w:val="19"/>
        </w:rPr>
        <w:t xml:space="preserve">DOZ1 - Předepsané způsoby zabezpečení movitých věcí a zásob - Upřesnění (1211) </w:t>
      </w:r>
    </w:p>
    <w:p w:rsidR="007043CB" w:rsidRDefault="004B5C2E">
      <w:pPr>
        <w:ind w:left="562" w:right="403" w:hanging="10"/>
      </w:pPr>
      <w:r>
        <w:rPr>
          <w:sz w:val="19"/>
        </w:rPr>
        <w:t xml:space="preserve">DOZ2 - Předepsané způsoby zabezpečení cenností a cenných věcí - Upřesnění (1211) </w:t>
      </w:r>
    </w:p>
    <w:p w:rsidR="007043CB" w:rsidRDefault="004B5C2E">
      <w:pPr>
        <w:ind w:left="562" w:right="403" w:hanging="10"/>
      </w:pPr>
      <w:r>
        <w:rPr>
          <w:sz w:val="19"/>
        </w:rPr>
        <w:t xml:space="preserve">DOZ5 - Předepsané způsoby zabezpečení - Výklad pojmů (1201) </w:t>
      </w:r>
    </w:p>
    <w:p w:rsidR="007043CB" w:rsidRDefault="004B5C2E">
      <w:pPr>
        <w:ind w:left="562" w:right="403" w:hanging="10"/>
      </w:pPr>
      <w:r>
        <w:rPr>
          <w:sz w:val="19"/>
        </w:rPr>
        <w:t xml:space="preserve">DOZ8 - Předepsané způsoby zabezpečení mobilních pracovních strojů – Upřesnění (1201)) </w:t>
      </w:r>
    </w:p>
    <w:p w:rsidR="007043CB" w:rsidRDefault="004B5C2E">
      <w:pPr>
        <w:spacing w:after="97" w:line="259" w:lineRule="auto"/>
        <w:ind w:left="567" w:firstLine="0"/>
        <w:jc w:val="left"/>
      </w:pPr>
      <w:r>
        <w:rPr>
          <w:sz w:val="8"/>
        </w:rPr>
        <w:t xml:space="preserve"> </w:t>
      </w:r>
    </w:p>
    <w:p w:rsidR="007043CB" w:rsidRDefault="004B5C2E">
      <w:pPr>
        <w:spacing w:after="4"/>
        <w:ind w:left="564" w:right="71" w:hanging="10"/>
        <w:jc w:val="left"/>
      </w:pPr>
      <w:r>
        <w:rPr>
          <w:b/>
          <w:sz w:val="19"/>
        </w:rPr>
        <w:t xml:space="preserve">Sklo </w:t>
      </w:r>
    </w:p>
    <w:p w:rsidR="007043CB" w:rsidRDefault="004B5C2E">
      <w:pPr>
        <w:ind w:left="562" w:right="403" w:hanging="10"/>
      </w:pPr>
      <w:r>
        <w:rPr>
          <w:sz w:val="19"/>
        </w:rPr>
        <w:t xml:space="preserve">DSK1 – Reklamy, instalace - Rozšíření předmětu pojištění (1201) </w:t>
      </w:r>
    </w:p>
    <w:p w:rsidR="007043CB" w:rsidRDefault="004B5C2E">
      <w:pPr>
        <w:spacing w:after="97" w:line="259" w:lineRule="auto"/>
        <w:ind w:left="567" w:firstLine="0"/>
        <w:jc w:val="left"/>
      </w:pPr>
      <w:r>
        <w:rPr>
          <w:sz w:val="8"/>
        </w:rPr>
        <w:t xml:space="preserve"> </w:t>
      </w:r>
    </w:p>
    <w:p w:rsidR="007043CB" w:rsidRDefault="004B5C2E">
      <w:pPr>
        <w:spacing w:after="4"/>
        <w:ind w:left="564" w:right="71" w:hanging="10"/>
        <w:jc w:val="left"/>
      </w:pPr>
      <w:r>
        <w:rPr>
          <w:b/>
          <w:sz w:val="19"/>
        </w:rPr>
        <w:lastRenderedPageBreak/>
        <w:t xml:space="preserve">Stroje </w:t>
      </w:r>
    </w:p>
    <w:p w:rsidR="007043CB" w:rsidRDefault="004B5C2E">
      <w:pPr>
        <w:ind w:left="562" w:right="403" w:hanging="10"/>
      </w:pPr>
      <w:r>
        <w:rPr>
          <w:sz w:val="19"/>
        </w:rPr>
        <w:t xml:space="preserve">DST2 – Požár  - Rozšíření rozsahu pojištění (1201) </w:t>
      </w:r>
    </w:p>
    <w:p w:rsidR="007043CB" w:rsidRDefault="004B5C2E">
      <w:pPr>
        <w:ind w:left="562" w:right="4958" w:hanging="10"/>
      </w:pPr>
      <w:r>
        <w:rPr>
          <w:sz w:val="19"/>
        </w:rPr>
        <w:t xml:space="preserve">DST3 – Povodeň - Rozšíření rozsahu pojištění (1201) DST4 – Vichřice - Rozšíření rozsahu pojištění (1201) </w:t>
      </w:r>
    </w:p>
    <w:p w:rsidR="007043CB" w:rsidRDefault="004B5C2E">
      <w:pPr>
        <w:ind w:left="562" w:right="5188" w:hanging="10"/>
      </w:pPr>
      <w:r>
        <w:rPr>
          <w:sz w:val="19"/>
        </w:rPr>
        <w:t xml:space="preserve">DST5 – Sesuv - Rozšíření rozsahu pojištění (1201) DST6 – Náraz - Rozšíření rozsahu pojištění (1201) </w:t>
      </w:r>
    </w:p>
    <w:p w:rsidR="007043CB" w:rsidRDefault="004B5C2E">
      <w:pPr>
        <w:ind w:left="562" w:right="403" w:hanging="10"/>
      </w:pPr>
      <w:r>
        <w:rPr>
          <w:sz w:val="19"/>
        </w:rPr>
        <w:t xml:space="preserve">DST8 – Odcizení - Rozšíření rozsahu pojištění (1201) </w:t>
      </w:r>
    </w:p>
    <w:p w:rsidR="007043CB" w:rsidRDefault="004B5C2E">
      <w:pPr>
        <w:ind w:left="562" w:right="403" w:hanging="10"/>
      </w:pPr>
      <w:r>
        <w:rPr>
          <w:sz w:val="19"/>
        </w:rPr>
        <w:t xml:space="preserve">DST11- Výměna agregátů, oprava vinutí – Vymezení pojistného plnění (1201) </w:t>
      </w:r>
    </w:p>
    <w:p w:rsidR="007043CB" w:rsidRDefault="004B5C2E">
      <w:pPr>
        <w:spacing w:after="217" w:line="259" w:lineRule="auto"/>
        <w:ind w:left="567" w:firstLine="0"/>
        <w:jc w:val="left"/>
      </w:pPr>
      <w:r>
        <w:rPr>
          <w:sz w:val="8"/>
        </w:rPr>
        <w:t xml:space="preserve"> </w:t>
      </w:r>
    </w:p>
    <w:p w:rsidR="007043CB" w:rsidRDefault="004B5C2E">
      <w:pPr>
        <w:spacing w:after="4"/>
        <w:ind w:left="564" w:right="71" w:hanging="10"/>
        <w:jc w:val="left"/>
      </w:pPr>
      <w:r>
        <w:rPr>
          <w:b/>
          <w:sz w:val="19"/>
        </w:rPr>
        <w:t xml:space="preserve">Elektronická zařízení  </w:t>
      </w:r>
    </w:p>
    <w:p w:rsidR="007043CB" w:rsidRDefault="004B5C2E">
      <w:pPr>
        <w:ind w:left="562" w:right="403" w:hanging="10"/>
      </w:pPr>
      <w:r>
        <w:rPr>
          <w:sz w:val="19"/>
        </w:rPr>
        <w:t xml:space="preserve">DEL7 – Sdružený živel - Výluka (1201) </w:t>
      </w:r>
    </w:p>
    <w:p w:rsidR="007043CB" w:rsidRDefault="004B5C2E">
      <w:pPr>
        <w:ind w:left="562" w:right="403" w:hanging="10"/>
      </w:pPr>
      <w:r>
        <w:rPr>
          <w:sz w:val="19"/>
        </w:rPr>
        <w:t xml:space="preserve">DEL8 – Odcizení - výluka (1201) </w:t>
      </w:r>
    </w:p>
    <w:p w:rsidR="007043CB" w:rsidRDefault="004B5C2E">
      <w:pPr>
        <w:spacing w:after="0" w:line="259" w:lineRule="auto"/>
        <w:ind w:left="567" w:firstLine="0"/>
        <w:jc w:val="left"/>
      </w:pPr>
      <w:r>
        <w:rPr>
          <w:sz w:val="19"/>
        </w:rPr>
        <w:t xml:space="preserve"> </w:t>
      </w:r>
    </w:p>
    <w:p w:rsidR="007043CB" w:rsidRDefault="004B5C2E">
      <w:pPr>
        <w:spacing w:after="4"/>
        <w:ind w:left="564" w:right="71" w:hanging="10"/>
        <w:jc w:val="left"/>
      </w:pPr>
      <w:r>
        <w:rPr>
          <w:b/>
          <w:sz w:val="19"/>
        </w:rPr>
        <w:t xml:space="preserve">Pojištění odpovědnosti </w:t>
      </w:r>
    </w:p>
    <w:p w:rsidR="007043CB" w:rsidRDefault="004B5C2E">
      <w:pPr>
        <w:ind w:left="562" w:right="403" w:hanging="10"/>
      </w:pPr>
      <w:r>
        <w:rPr>
          <w:sz w:val="19"/>
        </w:rPr>
        <w:t xml:space="preserve">DODP2 – Pojištění obecné odpovědnosti za škodu a za škodu způsobenou vadou výrobku - základní rozsah pojištění (1201) </w:t>
      </w:r>
    </w:p>
    <w:p w:rsidR="007043CB" w:rsidRDefault="004B5C2E">
      <w:pPr>
        <w:ind w:left="562" w:right="403" w:hanging="10"/>
      </w:pPr>
      <w:r>
        <w:rPr>
          <w:sz w:val="19"/>
        </w:rPr>
        <w:t xml:space="preserve">DODP3 – Cizí věci převzaté - rozšíření rozsahu pojištění (1201) </w:t>
      </w:r>
    </w:p>
    <w:p w:rsidR="007043CB" w:rsidRDefault="004B5C2E">
      <w:pPr>
        <w:ind w:left="562" w:right="403" w:hanging="10"/>
      </w:pPr>
      <w:r>
        <w:rPr>
          <w:sz w:val="19"/>
        </w:rPr>
        <w:t xml:space="preserve">DODP4 – Cizí věci užívané - rozšíření rozsahu pojištění (1201) </w:t>
      </w:r>
    </w:p>
    <w:p w:rsidR="007043CB" w:rsidRDefault="004B5C2E">
      <w:pPr>
        <w:ind w:left="562" w:right="403" w:hanging="10"/>
      </w:pPr>
      <w:r>
        <w:rPr>
          <w:sz w:val="19"/>
        </w:rPr>
        <w:t xml:space="preserve">DODP5 – Náklady zdravotní pojišťovny - rozšíření rozsahu pojištění (1201) </w:t>
      </w:r>
    </w:p>
    <w:p w:rsidR="007043CB" w:rsidRDefault="004B5C2E">
      <w:pPr>
        <w:ind w:left="562" w:right="403" w:hanging="10"/>
      </w:pPr>
      <w:r>
        <w:rPr>
          <w:sz w:val="19"/>
        </w:rPr>
        <w:t xml:space="preserve">DODP6 – Křížová odpovědnost - rozšíření rozsahu pojištění (1201) </w:t>
      </w:r>
    </w:p>
    <w:p w:rsidR="007043CB" w:rsidRDefault="004B5C2E">
      <w:pPr>
        <w:ind w:left="562" w:right="403" w:hanging="10"/>
      </w:pPr>
      <w:r>
        <w:rPr>
          <w:sz w:val="19"/>
        </w:rPr>
        <w:t xml:space="preserve">DODP8 – Regresy dávek nemocenského pojištění - rozšíření rozsahu pojištění (1201) </w:t>
      </w:r>
    </w:p>
    <w:p w:rsidR="007043CB" w:rsidRDefault="004B5C2E">
      <w:pPr>
        <w:ind w:left="562" w:right="626" w:hanging="10"/>
      </w:pPr>
      <w:r>
        <w:rPr>
          <w:sz w:val="19"/>
        </w:rPr>
        <w:t xml:space="preserve">DX1 -       Odpovědnost  za škodu způsobenou při výkonu veřejné moci rozhodnutím nebo nesprávným                    úředním postupem (1201) </w:t>
      </w:r>
    </w:p>
    <w:p w:rsidR="007043CB" w:rsidRDefault="004B5C2E">
      <w:pPr>
        <w:ind w:left="562" w:right="403" w:hanging="10"/>
      </w:pPr>
      <w:r>
        <w:rPr>
          <w:sz w:val="19"/>
        </w:rPr>
        <w:t xml:space="preserve">DX2   -     Odpovědnost obce za škodu vyplývající ze zákona o obecní policii (1201) </w:t>
      </w:r>
    </w:p>
    <w:p w:rsidR="007043CB" w:rsidRDefault="004B5C2E">
      <w:pPr>
        <w:ind w:left="562" w:right="403" w:hanging="10"/>
      </w:pPr>
      <w:r>
        <w:rPr>
          <w:sz w:val="19"/>
        </w:rPr>
        <w:t xml:space="preserve">Doložka-   Nemajetková újma - ochrana osobnosti (1201) </w:t>
      </w:r>
    </w:p>
    <w:p w:rsidR="007043CB" w:rsidRDefault="004B5C2E">
      <w:pPr>
        <w:ind w:left="562" w:right="403" w:hanging="10"/>
      </w:pPr>
      <w:r>
        <w:rPr>
          <w:sz w:val="19"/>
        </w:rPr>
        <w:t xml:space="preserve">Doložka-   Poskytování zdravotních služeb (1201) </w:t>
      </w:r>
    </w:p>
    <w:p w:rsidR="007043CB" w:rsidRDefault="004B5C2E">
      <w:pPr>
        <w:spacing w:after="107"/>
        <w:ind w:left="562" w:right="403" w:hanging="10"/>
      </w:pPr>
      <w:r>
        <w:rPr>
          <w:sz w:val="19"/>
        </w:rPr>
        <w:t xml:space="preserve">Připojištění odpovědnosti členů orgánů za jinou než čistou finanční újmu – rozšíření rozsahu pojištění </w:t>
      </w:r>
    </w:p>
    <w:p w:rsidR="007043CB" w:rsidRDefault="004B5C2E">
      <w:pPr>
        <w:spacing w:after="4"/>
        <w:ind w:left="564" w:right="71" w:hanging="10"/>
        <w:jc w:val="left"/>
      </w:pPr>
      <w:r>
        <w:rPr>
          <w:b/>
          <w:sz w:val="19"/>
        </w:rPr>
        <w:t xml:space="preserve">Obecné </w:t>
      </w:r>
    </w:p>
    <w:p w:rsidR="007043CB" w:rsidRDefault="004B5C2E">
      <w:pPr>
        <w:ind w:left="562" w:right="403" w:hanging="10"/>
      </w:pPr>
      <w:r>
        <w:rPr>
          <w:sz w:val="19"/>
        </w:rPr>
        <w:t xml:space="preserve">DOB1 – Elektronická rizika - Výluka </w:t>
      </w:r>
    </w:p>
    <w:p w:rsidR="007043CB" w:rsidRDefault="004B5C2E">
      <w:pPr>
        <w:ind w:left="562" w:right="403" w:hanging="10"/>
      </w:pPr>
      <w:r>
        <w:rPr>
          <w:sz w:val="19"/>
        </w:rPr>
        <w:t xml:space="preserve">DOB3 – Výklad pojmů pro účely pojistné smlouvy (1201) </w:t>
      </w:r>
    </w:p>
    <w:p w:rsidR="007043CB" w:rsidRDefault="004B5C2E">
      <w:pPr>
        <w:ind w:left="562" w:right="403" w:hanging="10"/>
      </w:pPr>
      <w:r>
        <w:rPr>
          <w:sz w:val="19"/>
        </w:rPr>
        <w:t xml:space="preserve">DOB5 – Tíha sněhu, námraza - Vymezení podmínek (1201) </w:t>
      </w:r>
    </w:p>
    <w:p w:rsidR="007043CB" w:rsidRDefault="004B5C2E">
      <w:pPr>
        <w:ind w:left="562" w:right="403" w:hanging="10"/>
      </w:pPr>
      <w:r>
        <w:rPr>
          <w:sz w:val="19"/>
        </w:rPr>
        <w:t xml:space="preserve">DOB6 – Bonifikace - Vymezení podmínek (1201) </w:t>
      </w:r>
    </w:p>
    <w:p w:rsidR="007043CB" w:rsidRDefault="004B5C2E">
      <w:pPr>
        <w:ind w:left="562" w:right="403" w:hanging="10"/>
      </w:pPr>
      <w:r>
        <w:rPr>
          <w:sz w:val="19"/>
        </w:rPr>
        <w:t xml:space="preserve">DOB7 – Definice jedné pojistné události pro pojistná nebezpečí povodeň, záplava, vichřice, krupobití (1201) </w:t>
      </w:r>
    </w:p>
    <w:p w:rsidR="007043CB" w:rsidRDefault="004B5C2E">
      <w:pPr>
        <w:spacing w:after="71" w:line="259" w:lineRule="auto"/>
        <w:ind w:left="142" w:firstLine="0"/>
        <w:jc w:val="left"/>
      </w:pPr>
      <w:r>
        <w:rPr>
          <w:b/>
          <w:sz w:val="10"/>
        </w:rPr>
        <w:t xml:space="preserve"> </w:t>
      </w:r>
    </w:p>
    <w:p w:rsidR="007043CB" w:rsidRDefault="004B5C2E">
      <w:pPr>
        <w:spacing w:after="4"/>
        <w:ind w:left="564" w:right="71" w:hanging="10"/>
        <w:jc w:val="left"/>
      </w:pPr>
      <w:r>
        <w:rPr>
          <w:b/>
          <w:sz w:val="19"/>
        </w:rPr>
        <w:t xml:space="preserve">Jiné </w:t>
      </w:r>
    </w:p>
    <w:p w:rsidR="007043CB" w:rsidRDefault="004B5C2E">
      <w:pPr>
        <w:ind w:left="562" w:right="403" w:hanging="10"/>
      </w:pPr>
      <w:r>
        <w:rPr>
          <w:sz w:val="19"/>
        </w:rPr>
        <w:t xml:space="preserve">DOD1  -  Pojištění okrasných dřevin - Rozšíření předmětu pojištění (1201) </w:t>
      </w:r>
    </w:p>
    <w:p w:rsidR="007043CB" w:rsidRDefault="004B5C2E">
      <w:pPr>
        <w:ind w:left="1829" w:right="538" w:hanging="1277"/>
      </w:pPr>
      <w:r>
        <w:rPr>
          <w:sz w:val="19"/>
        </w:rPr>
        <w:t>DODC1</w:t>
      </w:r>
      <w:r>
        <w:rPr>
          <w:b/>
          <w:sz w:val="19"/>
        </w:rPr>
        <w:t xml:space="preserve"> </w:t>
      </w:r>
      <w:r>
        <w:rPr>
          <w:sz w:val="19"/>
        </w:rPr>
        <w:t xml:space="preserve">- Poškození vnějšího kontaktního zateplovacího systému (zateplení fasády) ptactvem, hmyzem a hlodavci – rozšíření rozsahu pojištění (1201)) </w:t>
      </w:r>
    </w:p>
    <w:p w:rsidR="007043CB" w:rsidRDefault="004B5C2E">
      <w:pPr>
        <w:ind w:left="562" w:right="403" w:hanging="10"/>
      </w:pPr>
      <w:r>
        <w:rPr>
          <w:sz w:val="19"/>
        </w:rPr>
        <w:t>DODC2</w:t>
      </w:r>
      <w:r>
        <w:rPr>
          <w:b/>
          <w:sz w:val="19"/>
        </w:rPr>
        <w:t xml:space="preserve"> </w:t>
      </w:r>
      <w:r>
        <w:rPr>
          <w:sz w:val="19"/>
        </w:rPr>
        <w:t>- Malby, nástřiky nebo polepení</w:t>
      </w:r>
      <w:r>
        <w:rPr>
          <w:b/>
          <w:sz w:val="19"/>
        </w:rPr>
        <w:t xml:space="preserve"> </w:t>
      </w:r>
      <w:r>
        <w:rPr>
          <w:sz w:val="19"/>
        </w:rPr>
        <w:t>- Rozšíření rozsahu pojištění (1301))</w:t>
      </w:r>
      <w:r>
        <w:rPr>
          <w:b/>
          <w:sz w:val="19"/>
        </w:rPr>
        <w:t xml:space="preserve"> </w:t>
      </w:r>
    </w:p>
    <w:p w:rsidR="007043CB" w:rsidRDefault="004B5C2E">
      <w:pPr>
        <w:spacing w:after="0" w:line="259" w:lineRule="auto"/>
        <w:ind w:left="0" w:right="412" w:firstLine="0"/>
        <w:jc w:val="center"/>
      </w:pPr>
      <w:r>
        <w:rPr>
          <w:b/>
          <w:sz w:val="20"/>
        </w:rPr>
        <w:t xml:space="preserve"> </w:t>
      </w:r>
    </w:p>
    <w:p w:rsidR="007043CB" w:rsidRDefault="004B5C2E">
      <w:pPr>
        <w:spacing w:after="0" w:line="259" w:lineRule="auto"/>
        <w:ind w:left="142" w:firstLine="0"/>
        <w:jc w:val="left"/>
      </w:pPr>
      <w:r>
        <w:rPr>
          <w:rFonts w:ascii="Times New Roman" w:eastAsia="Times New Roman" w:hAnsi="Times New Roman" w:cs="Times New Roman"/>
          <w:sz w:val="20"/>
        </w:rPr>
        <w:t xml:space="preserve"> </w:t>
      </w:r>
    </w:p>
    <w:p w:rsidR="007043CB" w:rsidRDefault="004B5C2E">
      <w:pPr>
        <w:spacing w:after="0" w:line="259" w:lineRule="auto"/>
        <w:ind w:left="142" w:firstLine="0"/>
        <w:jc w:val="left"/>
      </w:pPr>
      <w:r>
        <w:rPr>
          <w:rFonts w:ascii="Times New Roman" w:eastAsia="Times New Roman" w:hAnsi="Times New Roman" w:cs="Times New Roman"/>
          <w:sz w:val="20"/>
        </w:rPr>
        <w:t xml:space="preserve"> </w:t>
      </w:r>
    </w:p>
    <w:p w:rsidR="007043CB" w:rsidRDefault="004B5C2E">
      <w:pPr>
        <w:ind w:left="10" w:right="465" w:hanging="10"/>
        <w:jc w:val="center"/>
      </w:pPr>
      <w:r>
        <w:rPr>
          <w:b/>
          <w:sz w:val="20"/>
        </w:rPr>
        <w:t xml:space="preserve">Článek II. </w:t>
      </w:r>
    </w:p>
    <w:p w:rsidR="007043CB" w:rsidRDefault="004B5C2E">
      <w:pPr>
        <w:pStyle w:val="Nadpis2"/>
        <w:ind w:left="10" w:right="469"/>
      </w:pPr>
      <w:r>
        <w:t xml:space="preserve">Druhy a způsoby pojištění, předměty pojištění </w:t>
      </w:r>
    </w:p>
    <w:p w:rsidR="007043CB" w:rsidRDefault="004B5C2E">
      <w:pPr>
        <w:spacing w:after="24" w:line="259" w:lineRule="auto"/>
        <w:ind w:left="142" w:firstLine="0"/>
        <w:jc w:val="left"/>
      </w:pPr>
      <w:r>
        <w:rPr>
          <w:rFonts w:ascii="Times New Roman" w:eastAsia="Times New Roman" w:hAnsi="Times New Roman" w:cs="Times New Roman"/>
          <w:sz w:val="20"/>
        </w:rPr>
        <w:t xml:space="preserve"> </w:t>
      </w:r>
    </w:p>
    <w:p w:rsidR="007043CB" w:rsidRDefault="004B5C2E">
      <w:pPr>
        <w:numPr>
          <w:ilvl w:val="0"/>
          <w:numId w:val="2"/>
        </w:numPr>
        <w:spacing w:after="139"/>
        <w:ind w:left="534" w:hanging="392"/>
        <w:jc w:val="left"/>
      </w:pPr>
      <w:r>
        <w:rPr>
          <w:b/>
          <w:sz w:val="20"/>
        </w:rPr>
        <w:t xml:space="preserve">Obecná ujednání pro pojištění majetku </w:t>
      </w:r>
    </w:p>
    <w:p w:rsidR="007043CB" w:rsidRDefault="004B5C2E">
      <w:pPr>
        <w:numPr>
          <w:ilvl w:val="1"/>
          <w:numId w:val="2"/>
        </w:numPr>
        <w:spacing w:after="140"/>
        <w:ind w:right="1" w:hanging="360"/>
      </w:pPr>
      <w:r>
        <w:rPr>
          <w:sz w:val="20"/>
        </w:rPr>
        <w:t>Pojištění majetku se sjednává na novou cenu, není-li v dalších ustanoveních této pojistné smlouvy uvedeno jinak.</w:t>
      </w:r>
      <w:r>
        <w:rPr>
          <w:b/>
          <w:sz w:val="20"/>
        </w:rPr>
        <w:t xml:space="preserve"> </w:t>
      </w:r>
    </w:p>
    <w:p w:rsidR="007043CB" w:rsidRDefault="004B5C2E">
      <w:pPr>
        <w:numPr>
          <w:ilvl w:val="1"/>
          <w:numId w:val="2"/>
        </w:numPr>
        <w:spacing w:after="140"/>
        <w:ind w:right="1" w:hanging="360"/>
      </w:pPr>
      <w:r>
        <w:rPr>
          <w:sz w:val="20"/>
        </w:rPr>
        <w:t>Pojištění majetku se sjednává pro jednu a každou pojistnou událost, není-li v dalších ustanoveních této pojistné smlouvy uvedeno jinak.</w:t>
      </w:r>
      <w:r>
        <w:rPr>
          <w:b/>
          <w:sz w:val="20"/>
        </w:rPr>
        <w:t xml:space="preserve">  </w:t>
      </w:r>
    </w:p>
    <w:p w:rsidR="007043CB" w:rsidRDefault="004B5C2E">
      <w:pPr>
        <w:numPr>
          <w:ilvl w:val="1"/>
          <w:numId w:val="2"/>
        </w:numPr>
        <w:spacing w:after="107"/>
        <w:ind w:right="1" w:hanging="360"/>
      </w:pPr>
      <w:r>
        <w:rPr>
          <w:sz w:val="20"/>
        </w:rPr>
        <w:t xml:space="preserve">Pro pojištění majetku je místem pojištění  </w:t>
      </w:r>
    </w:p>
    <w:p w:rsidR="007043CB" w:rsidRDefault="004B5C2E">
      <w:pPr>
        <w:spacing w:after="108"/>
        <w:ind w:left="564" w:hanging="10"/>
        <w:jc w:val="left"/>
      </w:pPr>
      <w:r>
        <w:rPr>
          <w:b/>
          <w:sz w:val="20"/>
        </w:rPr>
        <w:t>A01) Sídlo pojistníka: Kamenná 473/52, 352 01,  Aš, ČR</w:t>
      </w:r>
      <w:r>
        <w:rPr>
          <w:sz w:val="20"/>
        </w:rPr>
        <w:t xml:space="preserve"> </w:t>
      </w:r>
    </w:p>
    <w:p w:rsidR="007043CB" w:rsidRDefault="004B5C2E">
      <w:pPr>
        <w:spacing w:after="108"/>
        <w:ind w:left="564" w:hanging="10"/>
        <w:jc w:val="left"/>
      </w:pPr>
      <w:r>
        <w:rPr>
          <w:b/>
          <w:sz w:val="20"/>
        </w:rPr>
        <w:t>A02) Katastrální území spravované městem Aš, 352 01, ČR</w:t>
      </w:r>
      <w:r>
        <w:rPr>
          <w:sz w:val="20"/>
        </w:rPr>
        <w:t xml:space="preserve"> </w:t>
      </w:r>
    </w:p>
    <w:p w:rsidR="007043CB" w:rsidRDefault="004B5C2E">
      <w:pPr>
        <w:spacing w:after="109"/>
        <w:ind w:left="564" w:hanging="10"/>
        <w:jc w:val="left"/>
      </w:pPr>
      <w:r>
        <w:rPr>
          <w:b/>
          <w:sz w:val="20"/>
        </w:rPr>
        <w:t>A03) k.ú. spravované Městem Aš - park Sady Míru, 352 01, ČR</w:t>
      </w:r>
      <w:r>
        <w:rPr>
          <w:sz w:val="20"/>
        </w:rPr>
        <w:t xml:space="preserve"> </w:t>
      </w:r>
    </w:p>
    <w:p w:rsidR="007043CB" w:rsidRDefault="004B5C2E">
      <w:pPr>
        <w:spacing w:after="108"/>
        <w:ind w:left="564" w:hanging="10"/>
        <w:jc w:val="left"/>
      </w:pPr>
      <w:r>
        <w:rPr>
          <w:b/>
          <w:sz w:val="4"/>
        </w:rPr>
        <w:t xml:space="preserve"> </w:t>
      </w:r>
      <w:r>
        <w:rPr>
          <w:b/>
          <w:sz w:val="20"/>
        </w:rPr>
        <w:t>A04) k.ú. spravované Městem Aš - vrch Háj, 352 01, ČR</w:t>
      </w:r>
      <w:r>
        <w:rPr>
          <w:sz w:val="20"/>
        </w:rPr>
        <w:t xml:space="preserve"> </w:t>
      </w:r>
    </w:p>
    <w:p w:rsidR="007043CB" w:rsidRDefault="004B5C2E">
      <w:pPr>
        <w:spacing w:after="111"/>
        <w:ind w:left="979" w:right="552" w:hanging="425"/>
        <w:jc w:val="left"/>
      </w:pPr>
      <w:r>
        <w:rPr>
          <w:b/>
          <w:sz w:val="20"/>
        </w:rPr>
        <w:t xml:space="preserve">A05) Katastrální území spravované městem AŠ - Cyklostezka s příslušenstvím vybudovaná dle dotačního projektu č. 175 - Operační program Přeshraniční spolupráce Cíl 3 Česká republika - Svobodný stát Bavorsko 2007 – 2013 </w:t>
      </w:r>
    </w:p>
    <w:p w:rsidR="007043CB" w:rsidRDefault="004B5C2E">
      <w:pPr>
        <w:ind w:left="579" w:right="1" w:hanging="10"/>
      </w:pPr>
      <w:r>
        <w:rPr>
          <w:sz w:val="20"/>
        </w:rPr>
        <w:lastRenderedPageBreak/>
        <w:t xml:space="preserve">        *není-li dále uvedeno jinak. </w:t>
      </w:r>
    </w:p>
    <w:p w:rsidR="007043CB" w:rsidRDefault="004B5C2E">
      <w:pPr>
        <w:spacing w:after="0" w:line="259" w:lineRule="auto"/>
        <w:ind w:left="142" w:firstLine="0"/>
        <w:jc w:val="left"/>
      </w:pPr>
      <w:r>
        <w:rPr>
          <w:sz w:val="20"/>
        </w:rPr>
        <w:t xml:space="preserve"> </w:t>
      </w:r>
    </w:p>
    <w:p w:rsidR="007043CB" w:rsidRDefault="004B5C2E">
      <w:pPr>
        <w:spacing w:after="0" w:line="259" w:lineRule="auto"/>
        <w:ind w:left="142" w:firstLine="0"/>
        <w:jc w:val="left"/>
      </w:pPr>
      <w:r>
        <w:rPr>
          <w:b/>
          <w:sz w:val="20"/>
        </w:rPr>
        <w:t xml:space="preserve"> </w:t>
      </w:r>
    </w:p>
    <w:p w:rsidR="007043CB" w:rsidRDefault="004B5C2E">
      <w:pPr>
        <w:spacing w:after="7" w:line="259" w:lineRule="auto"/>
        <w:ind w:left="142" w:firstLine="0"/>
        <w:jc w:val="left"/>
      </w:pPr>
      <w:r>
        <w:rPr>
          <w:b/>
          <w:sz w:val="20"/>
        </w:rPr>
        <w:t xml:space="preserve"> </w:t>
      </w:r>
    </w:p>
    <w:p w:rsidR="007043CB" w:rsidRDefault="004B5C2E">
      <w:pPr>
        <w:numPr>
          <w:ilvl w:val="0"/>
          <w:numId w:val="2"/>
        </w:numPr>
        <w:ind w:left="534" w:hanging="392"/>
        <w:jc w:val="left"/>
      </w:pPr>
      <w:r>
        <w:rPr>
          <w:b/>
          <w:sz w:val="20"/>
        </w:rPr>
        <w:t xml:space="preserve">Přehled sjednaných pojištění po realizaci dodatku pojistné smlouvy </w:t>
      </w:r>
    </w:p>
    <w:p w:rsidR="007043CB" w:rsidRDefault="004B5C2E">
      <w:pPr>
        <w:ind w:left="577" w:right="1" w:hanging="10"/>
      </w:pPr>
      <w:r>
        <w:rPr>
          <w:sz w:val="20"/>
        </w:rPr>
        <w:t xml:space="preserve">Pojištění se sjednává pro předměty pojištění v rozsahu a na místech pojištění uvedených v následujících tabulkách: </w:t>
      </w:r>
    </w:p>
    <w:p w:rsidR="007043CB" w:rsidRDefault="004B5C2E">
      <w:pPr>
        <w:spacing w:after="0" w:line="259" w:lineRule="auto"/>
        <w:ind w:left="142" w:firstLine="0"/>
        <w:jc w:val="left"/>
      </w:pPr>
      <w:r>
        <w:rPr>
          <w:sz w:val="20"/>
        </w:rPr>
        <w:t xml:space="preserve"> </w:t>
      </w:r>
    </w:p>
    <w:p w:rsidR="007043CB" w:rsidRDefault="004B5C2E">
      <w:pPr>
        <w:spacing w:after="0" w:line="259" w:lineRule="auto"/>
        <w:ind w:left="137" w:hanging="10"/>
        <w:jc w:val="left"/>
      </w:pPr>
      <w:r>
        <w:rPr>
          <w:b/>
          <w:sz w:val="20"/>
        </w:rPr>
        <w:t xml:space="preserve">2.1.1.  Živelní pojištění </w:t>
      </w:r>
      <w:r>
        <w:rPr>
          <w:i/>
          <w:sz w:val="19"/>
        </w:rPr>
        <w:t>– upravuje se, včetně ujednání poznámky</w:t>
      </w:r>
      <w:r>
        <w:rPr>
          <w:b/>
          <w:sz w:val="20"/>
        </w:rPr>
        <w:t xml:space="preserve">  </w:t>
      </w:r>
    </w:p>
    <w:tbl>
      <w:tblPr>
        <w:tblStyle w:val="TableGrid"/>
        <w:tblW w:w="10300" w:type="dxa"/>
        <w:tblInd w:w="34" w:type="dxa"/>
        <w:tblCellMar>
          <w:top w:w="10" w:type="dxa"/>
          <w:left w:w="108" w:type="dxa"/>
        </w:tblCellMar>
        <w:tblLook w:val="04A0" w:firstRow="1" w:lastRow="0" w:firstColumn="1" w:lastColumn="0" w:noHBand="0" w:noVBand="1"/>
      </w:tblPr>
      <w:tblGrid>
        <w:gridCol w:w="809"/>
        <w:gridCol w:w="2561"/>
        <w:gridCol w:w="1558"/>
        <w:gridCol w:w="1277"/>
        <w:gridCol w:w="1298"/>
        <w:gridCol w:w="1424"/>
        <w:gridCol w:w="1373"/>
      </w:tblGrid>
      <w:tr w:rsidR="007043CB">
        <w:trPr>
          <w:trHeight w:val="238"/>
        </w:trPr>
        <w:tc>
          <w:tcPr>
            <w:tcW w:w="10300"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left"/>
            </w:pPr>
            <w:r>
              <w:rPr>
                <w:b/>
                <w:sz w:val="19"/>
              </w:rPr>
              <w:t xml:space="preserve">Místo pojištění: </w:t>
            </w:r>
            <w:r>
              <w:rPr>
                <w:sz w:val="19"/>
              </w:rPr>
              <w:t>Katastrální území spravované městem Aš, 352 01, ČR</w:t>
            </w:r>
            <w:r>
              <w:rPr>
                <w:b/>
                <w:sz w:val="19"/>
              </w:rPr>
              <w:t xml:space="preserve"> </w:t>
            </w:r>
          </w:p>
        </w:tc>
      </w:tr>
      <w:tr w:rsidR="007043CB">
        <w:trPr>
          <w:trHeight w:val="240"/>
        </w:trPr>
        <w:tc>
          <w:tcPr>
            <w:tcW w:w="10300"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left"/>
            </w:pPr>
            <w:r>
              <w:rPr>
                <w:b/>
                <w:sz w:val="19"/>
              </w:rPr>
              <w:t xml:space="preserve">Rozsah pojištění: </w:t>
            </w:r>
            <w:r>
              <w:rPr>
                <w:sz w:val="19"/>
              </w:rPr>
              <w:t xml:space="preserve">"sdružený živel", “kouř”, “třesk”, “atmosférické srážky” </w:t>
            </w:r>
          </w:p>
        </w:tc>
      </w:tr>
      <w:tr w:rsidR="007043CB">
        <w:trPr>
          <w:trHeight w:val="240"/>
        </w:trPr>
        <w:tc>
          <w:tcPr>
            <w:tcW w:w="10300"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left"/>
            </w:pPr>
            <w:r>
              <w:rPr>
                <w:b/>
                <w:sz w:val="19"/>
              </w:rPr>
              <w:t xml:space="preserve">Pojištění se řídí: </w:t>
            </w:r>
            <w:r>
              <w:rPr>
                <w:sz w:val="19"/>
              </w:rPr>
              <w:t xml:space="preserve">VPP P-100/09, ZPP P-150/05 a doložkami DOB1, DOB3, DOB6, DOB7, DZ2, DZ3, DZ12, DZ13 </w:t>
            </w:r>
          </w:p>
        </w:tc>
      </w:tr>
      <w:tr w:rsidR="007043CB">
        <w:trPr>
          <w:trHeight w:val="1150"/>
        </w:trPr>
        <w:tc>
          <w:tcPr>
            <w:tcW w:w="809"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center"/>
            </w:pPr>
            <w:r>
              <w:rPr>
                <w:b/>
                <w:sz w:val="19"/>
              </w:rPr>
              <w:t xml:space="preserve">Poř. číslo </w:t>
            </w:r>
          </w:p>
        </w:tc>
        <w:tc>
          <w:tcPr>
            <w:tcW w:w="2561"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109" w:firstLine="0"/>
              <w:jc w:val="center"/>
            </w:pPr>
            <w:r>
              <w:rPr>
                <w:b/>
                <w:sz w:val="19"/>
              </w:rPr>
              <w:t xml:space="preserve">Předmět pojištění </w:t>
            </w:r>
          </w:p>
        </w:tc>
        <w:tc>
          <w:tcPr>
            <w:tcW w:w="1558"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37" w:lineRule="auto"/>
              <w:ind w:left="0" w:firstLine="0"/>
              <w:jc w:val="center"/>
            </w:pPr>
            <w:r>
              <w:rPr>
                <w:b/>
                <w:sz w:val="19"/>
              </w:rPr>
              <w:t xml:space="preserve">Agregovaná/ celková/  </w:t>
            </w:r>
          </w:p>
          <w:p w:rsidR="007043CB" w:rsidRDefault="004B5C2E">
            <w:pPr>
              <w:spacing w:after="0" w:line="259" w:lineRule="auto"/>
              <w:ind w:left="34" w:firstLine="0"/>
              <w:jc w:val="left"/>
            </w:pPr>
            <w:r>
              <w:rPr>
                <w:b/>
                <w:sz w:val="19"/>
              </w:rPr>
              <w:t xml:space="preserve">pojistná částka </w:t>
            </w:r>
          </w:p>
        </w:tc>
        <w:tc>
          <w:tcPr>
            <w:tcW w:w="1277"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19" w:firstLine="0"/>
              <w:jc w:val="left"/>
            </w:pPr>
            <w:r>
              <w:rPr>
                <w:b/>
                <w:sz w:val="19"/>
              </w:rPr>
              <w:t>Spoluúčast</w:t>
            </w:r>
            <w:r>
              <w:rPr>
                <w:sz w:val="17"/>
                <w:vertAlign w:val="superscript"/>
              </w:rPr>
              <w:t>5)</w:t>
            </w:r>
            <w:r>
              <w:rPr>
                <w:b/>
                <w:sz w:val="19"/>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center"/>
            </w:pPr>
            <w:r>
              <w:rPr>
                <w:b/>
                <w:sz w:val="19"/>
              </w:rPr>
              <w:t>Pojištění se sjednává*</w:t>
            </w:r>
            <w:r>
              <w:rPr>
                <w:b/>
                <w:sz w:val="17"/>
                <w:vertAlign w:val="superscript"/>
              </w:rPr>
              <w:t>1)2)</w:t>
            </w:r>
            <w:r>
              <w:rPr>
                <w:b/>
                <w:sz w:val="19"/>
              </w:rPr>
              <w:t xml:space="preserve"> </w:t>
            </w:r>
          </w:p>
        </w:tc>
        <w:tc>
          <w:tcPr>
            <w:tcW w:w="1424"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center"/>
            </w:pPr>
            <w:r>
              <w:rPr>
                <w:b/>
                <w:sz w:val="19"/>
              </w:rPr>
              <w:t>Maximální roční limit pojistného plnění</w:t>
            </w:r>
            <w:r>
              <w:rPr>
                <w:b/>
                <w:sz w:val="17"/>
                <w:vertAlign w:val="superscript"/>
              </w:rPr>
              <w:t>3)</w:t>
            </w:r>
            <w:r>
              <w:rPr>
                <w:b/>
                <w:sz w:val="19"/>
              </w:rPr>
              <w:t xml:space="preserve"> </w:t>
            </w:r>
          </w:p>
        </w:tc>
        <w:tc>
          <w:tcPr>
            <w:tcW w:w="1373"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59"/>
              <w:jc w:val="center"/>
            </w:pPr>
            <w:r>
              <w:rPr>
                <w:b/>
                <w:sz w:val="19"/>
              </w:rPr>
              <w:t>Limit pojistného plnění pro jednu poj. událost</w:t>
            </w:r>
            <w:r>
              <w:rPr>
                <w:b/>
                <w:sz w:val="17"/>
                <w:vertAlign w:val="superscript"/>
              </w:rPr>
              <w:t>4)</w:t>
            </w:r>
            <w:r>
              <w:rPr>
                <w:b/>
                <w:sz w:val="19"/>
              </w:rPr>
              <w:t xml:space="preserve"> </w:t>
            </w:r>
          </w:p>
        </w:tc>
      </w:tr>
      <w:tr w:rsidR="007043CB">
        <w:trPr>
          <w:trHeight w:val="1378"/>
        </w:trPr>
        <w:tc>
          <w:tcPr>
            <w:tcW w:w="809"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60" w:firstLine="0"/>
              <w:jc w:val="center"/>
            </w:pPr>
            <w:r>
              <w:rPr>
                <w:sz w:val="19"/>
              </w:rPr>
              <w:t xml:space="preserve"> </w:t>
            </w:r>
          </w:p>
          <w:p w:rsidR="007043CB" w:rsidRDefault="004B5C2E">
            <w:pPr>
              <w:spacing w:after="0" w:line="259" w:lineRule="auto"/>
              <w:ind w:left="0" w:right="110" w:firstLine="0"/>
              <w:jc w:val="center"/>
            </w:pPr>
            <w:r>
              <w:rPr>
                <w:sz w:val="19"/>
              </w:rPr>
              <w:t xml:space="preserve">1 </w:t>
            </w:r>
          </w:p>
          <w:p w:rsidR="007043CB" w:rsidRDefault="004B5C2E">
            <w:pPr>
              <w:spacing w:after="0" w:line="259" w:lineRule="auto"/>
              <w:ind w:left="0" w:right="60" w:firstLine="0"/>
              <w:jc w:val="center"/>
            </w:pPr>
            <w:r>
              <w:rPr>
                <w:sz w:val="19"/>
              </w:rPr>
              <w:t xml:space="preserve"> </w:t>
            </w:r>
          </w:p>
        </w:tc>
        <w:tc>
          <w:tcPr>
            <w:tcW w:w="2561"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121" w:firstLine="0"/>
            </w:pPr>
            <w:r>
              <w:rPr>
                <w:sz w:val="19"/>
              </w:rPr>
              <w:t>Soubor nemovitostí včetně technologií, přípojek, rozvodů kabelové televize,</w:t>
            </w:r>
            <w:r>
              <w:rPr>
                <w:sz w:val="8"/>
              </w:rPr>
              <w:t xml:space="preserve"> </w:t>
            </w:r>
            <w:r>
              <w:rPr>
                <w:sz w:val="19"/>
              </w:rPr>
              <w:t>dalšího trvale</w:t>
            </w:r>
            <w:r>
              <w:rPr>
                <w:sz w:val="8"/>
              </w:rPr>
              <w:t xml:space="preserve"> </w:t>
            </w:r>
            <w:r>
              <w:rPr>
                <w:sz w:val="19"/>
              </w:rPr>
              <w:t>instalovaného</w:t>
            </w:r>
            <w:r>
              <w:rPr>
                <w:sz w:val="8"/>
              </w:rPr>
              <w:t xml:space="preserve"> </w:t>
            </w:r>
            <w:r>
              <w:rPr>
                <w:sz w:val="19"/>
              </w:rPr>
              <w:t xml:space="preserve">zařízení - evidované pojištěným           v nemovitém majetku. </w:t>
            </w:r>
          </w:p>
        </w:tc>
        <w:tc>
          <w:tcPr>
            <w:tcW w:w="1558"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28" w:firstLine="0"/>
              <w:jc w:val="center"/>
            </w:pPr>
            <w:r>
              <w:rPr>
                <w:sz w:val="19"/>
              </w:rPr>
              <w:t xml:space="preserve">3 850 000 000 Kč </w:t>
            </w:r>
          </w:p>
        </w:tc>
        <w:tc>
          <w:tcPr>
            <w:tcW w:w="1277"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82" w:right="137" w:firstLine="0"/>
              <w:jc w:val="center"/>
            </w:pPr>
            <w:r>
              <w:rPr>
                <w:sz w:val="19"/>
              </w:rPr>
              <w:t xml:space="preserve">1 000 Kč ** </w:t>
            </w:r>
          </w:p>
        </w:tc>
        <w:tc>
          <w:tcPr>
            <w:tcW w:w="1298"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09" w:firstLine="0"/>
              <w:jc w:val="center"/>
            </w:pPr>
            <w:r>
              <w:rPr>
                <w:sz w:val="19"/>
              </w:rPr>
              <w:t xml:space="preserve">nová cena </w:t>
            </w:r>
          </w:p>
        </w:tc>
        <w:tc>
          <w:tcPr>
            <w:tcW w:w="142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43" w:firstLine="0"/>
              <w:jc w:val="left"/>
            </w:pPr>
            <w:r>
              <w:rPr>
                <w:sz w:val="19"/>
              </w:rPr>
              <w:t xml:space="preserve">nesjednává se </w:t>
            </w:r>
          </w:p>
        </w:tc>
        <w:tc>
          <w:tcPr>
            <w:tcW w:w="1373"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17" w:firstLine="0"/>
              <w:jc w:val="left"/>
            </w:pPr>
            <w:r>
              <w:rPr>
                <w:sz w:val="19"/>
              </w:rPr>
              <w:t xml:space="preserve">nesjednává se </w:t>
            </w:r>
          </w:p>
        </w:tc>
      </w:tr>
      <w:tr w:rsidR="007043CB">
        <w:trPr>
          <w:trHeight w:val="516"/>
        </w:trPr>
        <w:tc>
          <w:tcPr>
            <w:tcW w:w="809" w:type="dxa"/>
            <w:tcBorders>
              <w:top w:val="single" w:sz="4" w:space="0" w:color="000000"/>
              <w:left w:val="single" w:sz="4" w:space="0" w:color="000000"/>
              <w:bottom w:val="single" w:sz="4" w:space="0" w:color="000000"/>
              <w:right w:val="single" w:sz="4" w:space="0" w:color="000000"/>
            </w:tcBorders>
          </w:tcPr>
          <w:p w:rsidR="007043CB" w:rsidRDefault="004B5C2E">
            <w:pPr>
              <w:spacing w:after="97" w:line="259" w:lineRule="auto"/>
              <w:ind w:left="0" w:right="89" w:firstLine="0"/>
              <w:jc w:val="center"/>
            </w:pPr>
            <w:r>
              <w:rPr>
                <w:sz w:val="8"/>
              </w:rPr>
              <w:t xml:space="preserve"> </w:t>
            </w:r>
          </w:p>
          <w:p w:rsidR="007043CB" w:rsidRDefault="004B5C2E">
            <w:pPr>
              <w:spacing w:after="0" w:line="259" w:lineRule="auto"/>
              <w:ind w:left="0" w:right="110" w:firstLine="0"/>
              <w:jc w:val="center"/>
            </w:pPr>
            <w:r>
              <w:rPr>
                <w:sz w:val="19"/>
              </w:rPr>
              <w:t xml:space="preserve">2 </w:t>
            </w:r>
          </w:p>
        </w:tc>
        <w:tc>
          <w:tcPr>
            <w:tcW w:w="2561"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firstLine="0"/>
              <w:jc w:val="left"/>
            </w:pPr>
            <w:r>
              <w:rPr>
                <w:sz w:val="19"/>
              </w:rPr>
              <w:t xml:space="preserve">Soubor zásob. </w:t>
            </w:r>
          </w:p>
        </w:tc>
        <w:tc>
          <w:tcPr>
            <w:tcW w:w="1558"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10" w:firstLine="0"/>
              <w:jc w:val="center"/>
            </w:pPr>
            <w:r>
              <w:rPr>
                <w:sz w:val="19"/>
              </w:rPr>
              <w:t xml:space="preserve">nesjednává se </w:t>
            </w:r>
          </w:p>
        </w:tc>
        <w:tc>
          <w:tcPr>
            <w:tcW w:w="1277" w:type="dxa"/>
            <w:tcBorders>
              <w:top w:val="single" w:sz="4" w:space="0" w:color="000000"/>
              <w:left w:val="single" w:sz="4" w:space="0" w:color="000000"/>
              <w:bottom w:val="single" w:sz="4" w:space="0" w:color="000000"/>
              <w:right w:val="single" w:sz="4" w:space="0" w:color="000000"/>
            </w:tcBorders>
          </w:tcPr>
          <w:p w:rsidR="007043CB" w:rsidRDefault="004B5C2E">
            <w:pPr>
              <w:spacing w:after="141" w:line="259" w:lineRule="auto"/>
              <w:ind w:left="0" w:right="93" w:firstLine="0"/>
              <w:jc w:val="center"/>
            </w:pPr>
            <w:r>
              <w:rPr>
                <w:sz w:val="4"/>
              </w:rPr>
              <w:t xml:space="preserve"> </w:t>
            </w:r>
          </w:p>
          <w:p w:rsidR="007043CB" w:rsidRDefault="004B5C2E">
            <w:pPr>
              <w:spacing w:after="0" w:line="259" w:lineRule="auto"/>
              <w:ind w:left="0" w:right="106" w:firstLine="0"/>
              <w:jc w:val="center"/>
            </w:pPr>
            <w:r>
              <w:rPr>
                <w:sz w:val="19"/>
              </w:rPr>
              <w:t xml:space="preserve">1 000 Kč </w:t>
            </w:r>
          </w:p>
          <w:p w:rsidR="007043CB" w:rsidRDefault="004B5C2E">
            <w:pPr>
              <w:spacing w:after="0" w:line="259" w:lineRule="auto"/>
              <w:ind w:left="0" w:right="104" w:firstLine="0"/>
              <w:jc w:val="center"/>
            </w:pPr>
            <w:r>
              <w:rPr>
                <w:sz w:val="19"/>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60" w:firstLine="0"/>
              <w:jc w:val="center"/>
            </w:pPr>
            <w:r>
              <w:rPr>
                <w:sz w:val="19"/>
              </w:rPr>
              <w:t xml:space="preserve"> </w:t>
            </w:r>
          </w:p>
          <w:p w:rsidR="007043CB" w:rsidRDefault="004B5C2E">
            <w:pPr>
              <w:spacing w:after="0" w:line="259" w:lineRule="auto"/>
              <w:ind w:left="0" w:right="113" w:firstLine="0"/>
              <w:jc w:val="center"/>
            </w:pPr>
            <w:r>
              <w:rPr>
                <w:sz w:val="19"/>
              </w:rPr>
              <w:t xml:space="preserve">první riziko </w:t>
            </w:r>
          </w:p>
        </w:tc>
        <w:tc>
          <w:tcPr>
            <w:tcW w:w="142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60" w:firstLine="0"/>
              <w:jc w:val="left"/>
            </w:pPr>
            <w:r>
              <w:rPr>
                <w:sz w:val="19"/>
              </w:rPr>
              <w:t xml:space="preserve">1 000 000 Kč </w:t>
            </w:r>
          </w:p>
        </w:tc>
        <w:tc>
          <w:tcPr>
            <w:tcW w:w="1373"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17" w:firstLine="0"/>
              <w:jc w:val="left"/>
            </w:pPr>
            <w:r>
              <w:rPr>
                <w:sz w:val="19"/>
              </w:rPr>
              <w:t xml:space="preserve">nesjednává se </w:t>
            </w:r>
          </w:p>
        </w:tc>
      </w:tr>
      <w:tr w:rsidR="007043CB">
        <w:trPr>
          <w:trHeight w:val="742"/>
        </w:trPr>
        <w:tc>
          <w:tcPr>
            <w:tcW w:w="809"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60" w:firstLine="0"/>
              <w:jc w:val="center"/>
            </w:pPr>
            <w:r>
              <w:rPr>
                <w:sz w:val="19"/>
              </w:rPr>
              <w:t xml:space="preserve"> </w:t>
            </w:r>
          </w:p>
          <w:p w:rsidR="007043CB" w:rsidRDefault="004B5C2E">
            <w:pPr>
              <w:spacing w:after="0" w:line="259" w:lineRule="auto"/>
              <w:ind w:left="0" w:right="110" w:firstLine="0"/>
              <w:jc w:val="center"/>
            </w:pPr>
            <w:r>
              <w:rPr>
                <w:sz w:val="19"/>
              </w:rPr>
              <w:t xml:space="preserve">3 </w:t>
            </w:r>
          </w:p>
        </w:tc>
        <w:tc>
          <w:tcPr>
            <w:tcW w:w="2561" w:type="dxa"/>
            <w:tcBorders>
              <w:top w:val="single" w:sz="4" w:space="0" w:color="000000"/>
              <w:left w:val="single" w:sz="4" w:space="0" w:color="000000"/>
              <w:bottom w:val="single" w:sz="4" w:space="0" w:color="000000"/>
              <w:right w:val="single" w:sz="4" w:space="0" w:color="000000"/>
            </w:tcBorders>
          </w:tcPr>
          <w:p w:rsidR="007043CB" w:rsidRDefault="004B5C2E">
            <w:pPr>
              <w:spacing w:after="143" w:line="259" w:lineRule="auto"/>
              <w:ind w:left="0" w:firstLine="0"/>
              <w:jc w:val="left"/>
            </w:pPr>
            <w:r>
              <w:rPr>
                <w:sz w:val="4"/>
              </w:rPr>
              <w:t xml:space="preserve"> </w:t>
            </w:r>
          </w:p>
          <w:p w:rsidR="007043CB" w:rsidRDefault="004B5C2E">
            <w:pPr>
              <w:spacing w:after="0" w:line="259" w:lineRule="auto"/>
              <w:ind w:left="0" w:right="89" w:firstLine="0"/>
            </w:pPr>
            <w:r>
              <w:rPr>
                <w:sz w:val="19"/>
              </w:rPr>
              <w:t>Soubor</w:t>
            </w:r>
            <w:r>
              <w:rPr>
                <w:sz w:val="8"/>
              </w:rPr>
              <w:t xml:space="preserve"> </w:t>
            </w:r>
            <w:r>
              <w:rPr>
                <w:sz w:val="19"/>
              </w:rPr>
              <w:t>movitých</w:t>
            </w:r>
            <w:r>
              <w:rPr>
                <w:sz w:val="8"/>
              </w:rPr>
              <w:t xml:space="preserve"> </w:t>
            </w:r>
            <w:r>
              <w:rPr>
                <w:sz w:val="19"/>
              </w:rPr>
              <w:t>věcí</w:t>
            </w:r>
            <w:r>
              <w:rPr>
                <w:sz w:val="8"/>
              </w:rPr>
              <w:t xml:space="preserve"> </w:t>
            </w:r>
            <w:r>
              <w:rPr>
                <w:sz w:val="19"/>
              </w:rPr>
              <w:t xml:space="preserve">vlastní/ </w:t>
            </w:r>
            <w:r>
              <w:rPr>
                <w:sz w:val="8"/>
              </w:rPr>
              <w:t xml:space="preserve"> </w:t>
            </w:r>
            <w:r>
              <w:rPr>
                <w:sz w:val="19"/>
              </w:rPr>
              <w:t xml:space="preserve">cizí </w:t>
            </w:r>
            <w:r>
              <w:rPr>
                <w:sz w:val="8"/>
              </w:rPr>
              <w:t xml:space="preserve"> </w:t>
            </w:r>
            <w:r>
              <w:rPr>
                <w:sz w:val="19"/>
              </w:rPr>
              <w:t xml:space="preserve">převzaté či užívané,  vč. strojů a elektroniky. </w:t>
            </w:r>
          </w:p>
        </w:tc>
        <w:tc>
          <w:tcPr>
            <w:tcW w:w="1558"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06" w:firstLine="0"/>
              <w:jc w:val="center"/>
            </w:pPr>
            <w:r>
              <w:rPr>
                <w:sz w:val="19"/>
              </w:rPr>
              <w:t xml:space="preserve">92 400 000 Kč </w:t>
            </w:r>
          </w:p>
        </w:tc>
        <w:tc>
          <w:tcPr>
            <w:tcW w:w="1277"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54" w:firstLine="0"/>
              <w:jc w:val="center"/>
            </w:pPr>
            <w:r>
              <w:rPr>
                <w:sz w:val="19"/>
              </w:rPr>
              <w:t xml:space="preserve"> </w:t>
            </w:r>
          </w:p>
          <w:p w:rsidR="007043CB" w:rsidRDefault="004B5C2E">
            <w:pPr>
              <w:spacing w:after="0" w:line="259" w:lineRule="auto"/>
              <w:ind w:left="0" w:right="106" w:firstLine="0"/>
              <w:jc w:val="center"/>
            </w:pPr>
            <w:r>
              <w:rPr>
                <w:sz w:val="19"/>
              </w:rPr>
              <w:t xml:space="preserve">1 000 Kč </w:t>
            </w:r>
          </w:p>
          <w:p w:rsidR="007043CB" w:rsidRDefault="004B5C2E">
            <w:pPr>
              <w:spacing w:after="0" w:line="259" w:lineRule="auto"/>
              <w:ind w:left="0" w:right="104" w:firstLine="0"/>
              <w:jc w:val="center"/>
            </w:pPr>
            <w:r>
              <w:rPr>
                <w:sz w:val="19"/>
              </w:rPr>
              <w:t xml:space="preserve">** </w:t>
            </w:r>
          </w:p>
        </w:tc>
        <w:tc>
          <w:tcPr>
            <w:tcW w:w="1298"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10" w:firstLine="0"/>
              <w:jc w:val="center"/>
            </w:pPr>
            <w:r>
              <w:rPr>
                <w:sz w:val="19"/>
              </w:rPr>
              <w:t xml:space="preserve">nová cena </w:t>
            </w:r>
          </w:p>
        </w:tc>
        <w:tc>
          <w:tcPr>
            <w:tcW w:w="142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43" w:firstLine="0"/>
              <w:jc w:val="left"/>
            </w:pPr>
            <w:r>
              <w:rPr>
                <w:sz w:val="19"/>
              </w:rPr>
              <w:t xml:space="preserve">nesjednává se </w:t>
            </w:r>
          </w:p>
        </w:tc>
        <w:tc>
          <w:tcPr>
            <w:tcW w:w="1373"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17" w:firstLine="0"/>
              <w:jc w:val="left"/>
            </w:pPr>
            <w:r>
              <w:rPr>
                <w:sz w:val="19"/>
              </w:rPr>
              <w:t xml:space="preserve">nesjednává se </w:t>
            </w:r>
          </w:p>
        </w:tc>
      </w:tr>
      <w:tr w:rsidR="007043CB">
        <w:trPr>
          <w:trHeight w:val="745"/>
        </w:trPr>
        <w:tc>
          <w:tcPr>
            <w:tcW w:w="809"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08" w:firstLine="0"/>
              <w:jc w:val="center"/>
            </w:pPr>
            <w:r>
              <w:rPr>
                <w:sz w:val="19"/>
              </w:rPr>
              <w:t xml:space="preserve">4. </w:t>
            </w:r>
          </w:p>
        </w:tc>
        <w:tc>
          <w:tcPr>
            <w:tcW w:w="2561" w:type="dxa"/>
            <w:tcBorders>
              <w:top w:val="single" w:sz="4" w:space="0" w:color="000000"/>
              <w:left w:val="single" w:sz="4" w:space="0" w:color="000000"/>
              <w:bottom w:val="single" w:sz="4" w:space="0" w:color="000000"/>
              <w:right w:val="single" w:sz="4" w:space="0" w:color="000000"/>
            </w:tcBorders>
          </w:tcPr>
          <w:p w:rsidR="007043CB" w:rsidRDefault="004B5C2E">
            <w:pPr>
              <w:spacing w:after="141" w:line="259" w:lineRule="auto"/>
              <w:ind w:left="0" w:firstLine="0"/>
              <w:jc w:val="left"/>
            </w:pPr>
            <w:r>
              <w:rPr>
                <w:sz w:val="4"/>
              </w:rPr>
              <w:t xml:space="preserve"> </w:t>
            </w:r>
          </w:p>
          <w:p w:rsidR="007043CB" w:rsidRDefault="004B5C2E">
            <w:pPr>
              <w:spacing w:after="0" w:line="259" w:lineRule="auto"/>
              <w:ind w:left="0" w:right="66" w:firstLine="0"/>
              <w:jc w:val="left"/>
            </w:pPr>
            <w:r>
              <w:rPr>
                <w:sz w:val="19"/>
              </w:rPr>
              <w:t>Soubor věcí zvláštní hodnoty</w:t>
            </w:r>
            <w:r>
              <w:rPr>
                <w:rFonts w:ascii="Times New Roman" w:eastAsia="Times New Roman" w:hAnsi="Times New Roman" w:cs="Times New Roman"/>
                <w:sz w:val="20"/>
              </w:rPr>
              <w:t xml:space="preserve"> - </w:t>
            </w:r>
            <w:r>
              <w:rPr>
                <w:sz w:val="19"/>
              </w:rPr>
              <w:t xml:space="preserve">vlastní i cizí převzaté či užívané. </w:t>
            </w:r>
          </w:p>
        </w:tc>
        <w:tc>
          <w:tcPr>
            <w:tcW w:w="1558"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10" w:firstLine="0"/>
              <w:jc w:val="center"/>
            </w:pPr>
            <w:r>
              <w:rPr>
                <w:sz w:val="19"/>
              </w:rPr>
              <w:t xml:space="preserve">nesjednává se </w:t>
            </w:r>
          </w:p>
        </w:tc>
        <w:tc>
          <w:tcPr>
            <w:tcW w:w="1277"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54" w:firstLine="0"/>
              <w:jc w:val="center"/>
            </w:pPr>
            <w:r>
              <w:rPr>
                <w:sz w:val="19"/>
              </w:rPr>
              <w:t xml:space="preserve"> </w:t>
            </w:r>
          </w:p>
          <w:p w:rsidR="007043CB" w:rsidRDefault="004B5C2E">
            <w:pPr>
              <w:spacing w:after="0" w:line="259" w:lineRule="auto"/>
              <w:ind w:left="0" w:right="106" w:firstLine="0"/>
              <w:jc w:val="center"/>
            </w:pPr>
            <w:r>
              <w:rPr>
                <w:sz w:val="19"/>
              </w:rPr>
              <w:t xml:space="preserve">1 000 Kč </w:t>
            </w:r>
          </w:p>
          <w:p w:rsidR="007043CB" w:rsidRDefault="004B5C2E">
            <w:pPr>
              <w:spacing w:after="0" w:line="259" w:lineRule="auto"/>
              <w:ind w:left="0" w:right="104" w:firstLine="0"/>
              <w:jc w:val="center"/>
            </w:pPr>
            <w:r>
              <w:rPr>
                <w:sz w:val="19"/>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60" w:firstLine="0"/>
              <w:jc w:val="center"/>
            </w:pPr>
            <w:r>
              <w:rPr>
                <w:sz w:val="19"/>
              </w:rPr>
              <w:t xml:space="preserve"> </w:t>
            </w:r>
          </w:p>
          <w:p w:rsidR="007043CB" w:rsidRDefault="004B5C2E">
            <w:pPr>
              <w:spacing w:after="0" w:line="259" w:lineRule="auto"/>
              <w:ind w:left="0" w:firstLine="0"/>
              <w:jc w:val="center"/>
            </w:pPr>
            <w:r>
              <w:rPr>
                <w:sz w:val="19"/>
              </w:rPr>
              <w:t xml:space="preserve">první riziko obvyklá cena </w:t>
            </w:r>
          </w:p>
        </w:tc>
        <w:tc>
          <w:tcPr>
            <w:tcW w:w="142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60" w:firstLine="0"/>
              <w:jc w:val="left"/>
            </w:pPr>
            <w:r>
              <w:rPr>
                <w:sz w:val="19"/>
              </w:rPr>
              <w:t xml:space="preserve">1 500 000 Kč </w:t>
            </w:r>
          </w:p>
        </w:tc>
        <w:tc>
          <w:tcPr>
            <w:tcW w:w="1373"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17" w:firstLine="0"/>
              <w:jc w:val="left"/>
            </w:pPr>
            <w:r>
              <w:rPr>
                <w:sz w:val="19"/>
              </w:rPr>
              <w:t xml:space="preserve">nesjednává se </w:t>
            </w:r>
          </w:p>
        </w:tc>
      </w:tr>
      <w:tr w:rsidR="007043CB">
        <w:trPr>
          <w:trHeight w:val="970"/>
        </w:trPr>
        <w:tc>
          <w:tcPr>
            <w:tcW w:w="809"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60" w:firstLine="0"/>
              <w:jc w:val="center"/>
            </w:pPr>
            <w:r>
              <w:rPr>
                <w:sz w:val="19"/>
              </w:rPr>
              <w:t xml:space="preserve"> </w:t>
            </w:r>
          </w:p>
          <w:p w:rsidR="007043CB" w:rsidRDefault="004B5C2E">
            <w:pPr>
              <w:spacing w:after="0" w:line="259" w:lineRule="auto"/>
              <w:ind w:left="0" w:right="60" w:firstLine="0"/>
              <w:jc w:val="center"/>
            </w:pPr>
            <w:r>
              <w:rPr>
                <w:sz w:val="19"/>
              </w:rPr>
              <w:t xml:space="preserve"> </w:t>
            </w:r>
          </w:p>
          <w:p w:rsidR="007043CB" w:rsidRDefault="004B5C2E">
            <w:pPr>
              <w:spacing w:after="0" w:line="259" w:lineRule="auto"/>
              <w:ind w:left="0" w:right="110" w:firstLine="0"/>
              <w:jc w:val="center"/>
            </w:pPr>
            <w:r>
              <w:rPr>
                <w:sz w:val="19"/>
              </w:rPr>
              <w:t xml:space="preserve">5 </w:t>
            </w:r>
          </w:p>
          <w:p w:rsidR="007043CB" w:rsidRDefault="004B5C2E">
            <w:pPr>
              <w:spacing w:after="0" w:line="259" w:lineRule="auto"/>
              <w:ind w:left="0" w:firstLine="0"/>
              <w:jc w:val="left"/>
            </w:pPr>
            <w:r>
              <w:rPr>
                <w:sz w:val="19"/>
              </w:rPr>
              <w:t xml:space="preserve"> </w:t>
            </w:r>
          </w:p>
        </w:tc>
        <w:tc>
          <w:tcPr>
            <w:tcW w:w="2561" w:type="dxa"/>
            <w:tcBorders>
              <w:top w:val="single" w:sz="4" w:space="0" w:color="000000"/>
              <w:left w:val="single" w:sz="4" w:space="0" w:color="000000"/>
              <w:bottom w:val="single" w:sz="4" w:space="0" w:color="000000"/>
              <w:right w:val="single" w:sz="4" w:space="0" w:color="000000"/>
            </w:tcBorders>
          </w:tcPr>
          <w:p w:rsidR="007043CB" w:rsidRDefault="004B5C2E">
            <w:pPr>
              <w:spacing w:after="141" w:line="259" w:lineRule="auto"/>
              <w:ind w:left="0" w:firstLine="0"/>
              <w:jc w:val="left"/>
            </w:pPr>
            <w:r>
              <w:rPr>
                <w:sz w:val="4"/>
              </w:rPr>
              <w:t xml:space="preserve"> </w:t>
            </w:r>
          </w:p>
          <w:p w:rsidR="007043CB" w:rsidRDefault="004B5C2E">
            <w:pPr>
              <w:spacing w:after="0" w:line="236" w:lineRule="auto"/>
              <w:ind w:left="0" w:firstLine="0"/>
              <w:jc w:val="left"/>
            </w:pPr>
            <w:r>
              <w:rPr>
                <w:sz w:val="19"/>
              </w:rPr>
              <w:t xml:space="preserve">Zvýšené náklady na opravu  věci zvláštní hodnoty, nad rámec ujednání odst.(8)   čl. </w:t>
            </w:r>
          </w:p>
          <w:p w:rsidR="007043CB" w:rsidRDefault="004B5C2E">
            <w:pPr>
              <w:spacing w:after="0" w:line="259" w:lineRule="auto"/>
              <w:ind w:left="0" w:firstLine="0"/>
              <w:jc w:val="left"/>
            </w:pPr>
            <w:r>
              <w:rPr>
                <w:sz w:val="19"/>
              </w:rPr>
              <w:t xml:space="preserve">VIII.   ZPP P-150/05 . </w:t>
            </w:r>
          </w:p>
        </w:tc>
        <w:tc>
          <w:tcPr>
            <w:tcW w:w="1558"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10" w:firstLine="0"/>
              <w:jc w:val="center"/>
            </w:pPr>
            <w:r>
              <w:rPr>
                <w:sz w:val="19"/>
              </w:rPr>
              <w:t xml:space="preserve">nesjednává se </w:t>
            </w:r>
          </w:p>
        </w:tc>
        <w:tc>
          <w:tcPr>
            <w:tcW w:w="1277" w:type="dxa"/>
            <w:tcBorders>
              <w:top w:val="single" w:sz="4" w:space="0" w:color="000000"/>
              <w:left w:val="single" w:sz="4" w:space="0" w:color="000000"/>
              <w:bottom w:val="single" w:sz="4" w:space="0" w:color="000000"/>
              <w:right w:val="single" w:sz="4" w:space="0" w:color="000000"/>
            </w:tcBorders>
          </w:tcPr>
          <w:p w:rsidR="007043CB" w:rsidRDefault="004B5C2E">
            <w:pPr>
              <w:spacing w:after="74" w:line="259" w:lineRule="auto"/>
              <w:ind w:left="0" w:right="77" w:firstLine="0"/>
              <w:jc w:val="center"/>
            </w:pPr>
            <w:r>
              <w:rPr>
                <w:sz w:val="10"/>
              </w:rPr>
              <w:t xml:space="preserve"> </w:t>
            </w:r>
          </w:p>
          <w:p w:rsidR="007043CB" w:rsidRDefault="004B5C2E">
            <w:pPr>
              <w:spacing w:after="0" w:line="259" w:lineRule="auto"/>
              <w:ind w:left="0" w:right="54" w:firstLine="0"/>
              <w:jc w:val="center"/>
            </w:pPr>
            <w:r>
              <w:rPr>
                <w:sz w:val="19"/>
              </w:rPr>
              <w:t xml:space="preserve"> </w:t>
            </w:r>
          </w:p>
          <w:p w:rsidR="007043CB" w:rsidRDefault="004B5C2E">
            <w:pPr>
              <w:spacing w:after="0" w:line="259" w:lineRule="auto"/>
              <w:ind w:left="29" w:right="85" w:firstLine="0"/>
              <w:jc w:val="center"/>
            </w:pPr>
            <w:r>
              <w:rPr>
                <w:sz w:val="19"/>
              </w:rPr>
              <w:t xml:space="preserve">20 000 Kč ** </w:t>
            </w:r>
          </w:p>
        </w:tc>
        <w:tc>
          <w:tcPr>
            <w:tcW w:w="1298"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60" w:firstLine="0"/>
              <w:jc w:val="center"/>
            </w:pPr>
            <w:r>
              <w:rPr>
                <w:sz w:val="19"/>
              </w:rPr>
              <w:t xml:space="preserve"> </w:t>
            </w:r>
          </w:p>
          <w:p w:rsidR="007043CB" w:rsidRDefault="004B5C2E">
            <w:pPr>
              <w:spacing w:after="10" w:line="259" w:lineRule="auto"/>
              <w:ind w:left="0" w:right="60" w:firstLine="0"/>
              <w:jc w:val="center"/>
            </w:pPr>
            <w:r>
              <w:rPr>
                <w:sz w:val="19"/>
              </w:rPr>
              <w:t xml:space="preserve"> </w:t>
            </w:r>
          </w:p>
          <w:p w:rsidR="007043CB" w:rsidRDefault="004B5C2E">
            <w:pPr>
              <w:spacing w:after="0" w:line="259" w:lineRule="auto"/>
              <w:ind w:left="0" w:right="170" w:firstLine="0"/>
              <w:jc w:val="right"/>
            </w:pPr>
            <w:r>
              <w:rPr>
                <w:sz w:val="19"/>
              </w:rPr>
              <w:t>první riziko</w:t>
            </w:r>
            <w:r>
              <w:rPr>
                <w:rFonts w:ascii="Times New Roman" w:eastAsia="Times New Roman" w:hAnsi="Times New Roman" w:cs="Times New Roman"/>
                <w:sz w:val="20"/>
              </w:rPr>
              <w:t xml:space="preserve"> </w:t>
            </w:r>
            <w:r>
              <w:rPr>
                <w:sz w:val="19"/>
              </w:rPr>
              <w:t xml:space="preserve"> </w:t>
            </w:r>
          </w:p>
        </w:tc>
        <w:tc>
          <w:tcPr>
            <w:tcW w:w="1424"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61" w:firstLine="0"/>
              <w:jc w:val="center"/>
            </w:pPr>
            <w:r>
              <w:rPr>
                <w:sz w:val="19"/>
              </w:rPr>
              <w:t xml:space="preserve"> </w:t>
            </w:r>
          </w:p>
          <w:p w:rsidR="007043CB" w:rsidRDefault="004B5C2E">
            <w:pPr>
              <w:spacing w:after="0" w:line="259" w:lineRule="auto"/>
              <w:ind w:left="0" w:right="61" w:firstLine="0"/>
              <w:jc w:val="center"/>
            </w:pPr>
            <w:r>
              <w:rPr>
                <w:sz w:val="19"/>
              </w:rPr>
              <w:t xml:space="preserve"> </w:t>
            </w:r>
          </w:p>
          <w:p w:rsidR="007043CB" w:rsidRDefault="004B5C2E">
            <w:pPr>
              <w:spacing w:after="0" w:line="259" w:lineRule="auto"/>
              <w:ind w:left="7" w:firstLine="0"/>
              <w:jc w:val="left"/>
            </w:pPr>
            <w:r>
              <w:rPr>
                <w:sz w:val="19"/>
              </w:rPr>
              <w:t xml:space="preserve">10 000 000 Kč </w:t>
            </w:r>
          </w:p>
        </w:tc>
        <w:tc>
          <w:tcPr>
            <w:tcW w:w="1373"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17" w:firstLine="562"/>
              <w:jc w:val="left"/>
            </w:pPr>
            <w:r>
              <w:rPr>
                <w:sz w:val="8"/>
              </w:rPr>
              <w:t xml:space="preserve"> </w:t>
            </w:r>
            <w:r>
              <w:rPr>
                <w:sz w:val="19"/>
              </w:rPr>
              <w:t xml:space="preserve">nesjednává se </w:t>
            </w:r>
          </w:p>
        </w:tc>
      </w:tr>
      <w:tr w:rsidR="007043CB">
        <w:trPr>
          <w:trHeight w:val="470"/>
        </w:trPr>
        <w:tc>
          <w:tcPr>
            <w:tcW w:w="809"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60" w:firstLine="0"/>
              <w:jc w:val="center"/>
            </w:pPr>
            <w:r>
              <w:rPr>
                <w:sz w:val="19"/>
              </w:rPr>
              <w:t xml:space="preserve"> </w:t>
            </w:r>
          </w:p>
          <w:p w:rsidR="007043CB" w:rsidRDefault="004B5C2E">
            <w:pPr>
              <w:spacing w:after="0" w:line="259" w:lineRule="auto"/>
              <w:ind w:left="0" w:right="110" w:firstLine="0"/>
              <w:jc w:val="center"/>
            </w:pPr>
            <w:r>
              <w:rPr>
                <w:sz w:val="19"/>
              </w:rPr>
              <w:t xml:space="preserve">6 </w:t>
            </w:r>
          </w:p>
        </w:tc>
        <w:tc>
          <w:tcPr>
            <w:tcW w:w="2561"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pPr>
            <w:r>
              <w:rPr>
                <w:sz w:val="19"/>
              </w:rPr>
              <w:t xml:space="preserve">Soubor  cenností </w:t>
            </w:r>
            <w:r>
              <w:rPr>
                <w:rFonts w:ascii="Times New Roman" w:eastAsia="Times New Roman" w:hAnsi="Times New Roman" w:cs="Times New Roman"/>
                <w:sz w:val="20"/>
              </w:rPr>
              <w:t xml:space="preserve">- </w:t>
            </w:r>
            <w:r>
              <w:rPr>
                <w:sz w:val="19"/>
              </w:rPr>
              <w:t xml:space="preserve">vlastní i cizí převzaté či užívané. </w:t>
            </w:r>
          </w:p>
        </w:tc>
        <w:tc>
          <w:tcPr>
            <w:tcW w:w="1558"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11" w:firstLine="0"/>
              <w:jc w:val="center"/>
            </w:pPr>
            <w:r>
              <w:rPr>
                <w:sz w:val="19"/>
              </w:rPr>
              <w:t xml:space="preserve">nesjednává se </w:t>
            </w:r>
          </w:p>
        </w:tc>
        <w:tc>
          <w:tcPr>
            <w:tcW w:w="1277"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82" w:right="137" w:firstLine="0"/>
              <w:jc w:val="center"/>
            </w:pPr>
            <w:r>
              <w:rPr>
                <w:sz w:val="19"/>
              </w:rPr>
              <w:t xml:space="preserve">1 000 Kč ** </w:t>
            </w:r>
          </w:p>
        </w:tc>
        <w:tc>
          <w:tcPr>
            <w:tcW w:w="1298"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13" w:firstLine="0"/>
              <w:jc w:val="center"/>
            </w:pPr>
            <w:r>
              <w:rPr>
                <w:sz w:val="19"/>
              </w:rPr>
              <w:t xml:space="preserve">první riziko </w:t>
            </w:r>
          </w:p>
        </w:tc>
        <w:tc>
          <w:tcPr>
            <w:tcW w:w="142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60" w:firstLine="0"/>
              <w:jc w:val="left"/>
            </w:pPr>
            <w:r>
              <w:rPr>
                <w:sz w:val="19"/>
              </w:rPr>
              <w:t xml:space="preserve">1 000 000 Kč </w:t>
            </w:r>
          </w:p>
        </w:tc>
        <w:tc>
          <w:tcPr>
            <w:tcW w:w="1373"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17" w:firstLine="0"/>
              <w:jc w:val="left"/>
            </w:pPr>
            <w:r>
              <w:rPr>
                <w:sz w:val="19"/>
              </w:rPr>
              <w:t xml:space="preserve">nesjednává se </w:t>
            </w:r>
          </w:p>
        </w:tc>
      </w:tr>
      <w:tr w:rsidR="007043CB">
        <w:trPr>
          <w:trHeight w:val="509"/>
        </w:trPr>
        <w:tc>
          <w:tcPr>
            <w:tcW w:w="809"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60" w:firstLine="0"/>
              <w:jc w:val="center"/>
            </w:pPr>
            <w:r>
              <w:rPr>
                <w:sz w:val="19"/>
              </w:rPr>
              <w:t xml:space="preserve"> </w:t>
            </w:r>
          </w:p>
          <w:p w:rsidR="007043CB" w:rsidRDefault="004B5C2E">
            <w:pPr>
              <w:spacing w:after="0" w:line="259" w:lineRule="auto"/>
              <w:ind w:left="0" w:right="110" w:firstLine="0"/>
              <w:jc w:val="center"/>
            </w:pPr>
            <w:r>
              <w:rPr>
                <w:sz w:val="19"/>
              </w:rPr>
              <w:t xml:space="preserve">7 </w:t>
            </w:r>
          </w:p>
        </w:tc>
        <w:tc>
          <w:tcPr>
            <w:tcW w:w="2561"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56" w:firstLine="0"/>
              <w:jc w:val="left"/>
            </w:pPr>
            <w:r>
              <w:rPr>
                <w:sz w:val="19"/>
              </w:rPr>
              <w:t xml:space="preserve">Soubor písemností </w:t>
            </w:r>
            <w:r>
              <w:rPr>
                <w:rFonts w:ascii="Times New Roman" w:eastAsia="Times New Roman" w:hAnsi="Times New Roman" w:cs="Times New Roman"/>
                <w:sz w:val="20"/>
              </w:rPr>
              <w:t xml:space="preserve">- </w:t>
            </w:r>
            <w:r>
              <w:rPr>
                <w:sz w:val="19"/>
              </w:rPr>
              <w:t xml:space="preserve">vlastní i cizí převzaté či užívané. </w:t>
            </w:r>
          </w:p>
        </w:tc>
        <w:tc>
          <w:tcPr>
            <w:tcW w:w="1558"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11" w:firstLine="0"/>
              <w:jc w:val="center"/>
            </w:pPr>
            <w:r>
              <w:rPr>
                <w:sz w:val="19"/>
              </w:rPr>
              <w:t xml:space="preserve">nesjednává se </w:t>
            </w:r>
          </w:p>
        </w:tc>
        <w:tc>
          <w:tcPr>
            <w:tcW w:w="1277"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82" w:right="137" w:firstLine="0"/>
              <w:jc w:val="center"/>
            </w:pPr>
            <w:r>
              <w:rPr>
                <w:sz w:val="19"/>
              </w:rPr>
              <w:t xml:space="preserve">1 000 Kč ** </w:t>
            </w:r>
          </w:p>
        </w:tc>
        <w:tc>
          <w:tcPr>
            <w:tcW w:w="1298"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13" w:firstLine="0"/>
              <w:jc w:val="center"/>
            </w:pPr>
            <w:r>
              <w:rPr>
                <w:sz w:val="19"/>
              </w:rPr>
              <w:t xml:space="preserve">první riziko </w:t>
            </w:r>
          </w:p>
        </w:tc>
        <w:tc>
          <w:tcPr>
            <w:tcW w:w="142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09" w:firstLine="0"/>
              <w:jc w:val="center"/>
            </w:pPr>
            <w:r>
              <w:rPr>
                <w:sz w:val="19"/>
              </w:rPr>
              <w:t xml:space="preserve">500 000 Kč </w:t>
            </w:r>
          </w:p>
        </w:tc>
        <w:tc>
          <w:tcPr>
            <w:tcW w:w="1373"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17" w:firstLine="0"/>
              <w:jc w:val="left"/>
            </w:pPr>
            <w:r>
              <w:rPr>
                <w:sz w:val="19"/>
              </w:rPr>
              <w:t xml:space="preserve">nesjednává se </w:t>
            </w:r>
          </w:p>
        </w:tc>
      </w:tr>
      <w:tr w:rsidR="007043CB">
        <w:trPr>
          <w:trHeight w:val="7787"/>
        </w:trPr>
        <w:tc>
          <w:tcPr>
            <w:tcW w:w="10300"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0" w:line="239" w:lineRule="auto"/>
              <w:ind w:left="0" w:firstLine="0"/>
            </w:pPr>
            <w:r>
              <w:rPr>
                <w:b/>
                <w:sz w:val="19"/>
              </w:rPr>
              <w:lastRenderedPageBreak/>
              <w:t xml:space="preserve">Poznámky:  ** </w:t>
            </w:r>
            <w:r>
              <w:rPr>
                <w:sz w:val="20"/>
              </w:rPr>
              <w:t>Pro pojištěné předměty pojištění v místě pojištění uvedeném v záhlaví této tabulky se sjednává spoluúčast</w:t>
            </w:r>
            <w:r>
              <w:rPr>
                <w:sz w:val="20"/>
                <w:vertAlign w:val="superscript"/>
              </w:rPr>
              <w:t>5)</w:t>
            </w:r>
            <w:r>
              <w:rPr>
                <w:sz w:val="20"/>
              </w:rPr>
              <w:t xml:space="preserve"> pro pojistné nebezpečí </w:t>
            </w:r>
            <w:r>
              <w:rPr>
                <w:b/>
                <w:sz w:val="20"/>
              </w:rPr>
              <w:t>„povodeň“ ve výši 10% min. 20 tis. Kč.</w:t>
            </w:r>
            <w:r>
              <w:rPr>
                <w:b/>
                <w:sz w:val="19"/>
              </w:rPr>
              <w:t xml:space="preserve"> </w:t>
            </w:r>
          </w:p>
          <w:p w:rsidR="007043CB" w:rsidRDefault="004B5C2E">
            <w:pPr>
              <w:spacing w:after="0" w:line="259" w:lineRule="auto"/>
              <w:ind w:left="0" w:firstLine="0"/>
              <w:jc w:val="left"/>
            </w:pPr>
            <w:r>
              <w:rPr>
                <w:b/>
                <w:sz w:val="19"/>
              </w:rPr>
              <w:t xml:space="preserve"> </w:t>
            </w:r>
          </w:p>
          <w:p w:rsidR="007043CB" w:rsidRDefault="004B5C2E">
            <w:pPr>
              <w:spacing w:after="0" w:line="259" w:lineRule="auto"/>
              <w:ind w:left="0" w:firstLine="0"/>
              <w:jc w:val="left"/>
            </w:pPr>
            <w:r>
              <w:rPr>
                <w:b/>
                <w:sz w:val="19"/>
              </w:rPr>
              <w:t xml:space="preserve"> </w:t>
            </w:r>
          </w:p>
          <w:p w:rsidR="007043CB" w:rsidRDefault="004B5C2E">
            <w:pPr>
              <w:spacing w:after="0" w:line="259" w:lineRule="auto"/>
              <w:ind w:left="0" w:firstLine="0"/>
              <w:jc w:val="left"/>
            </w:pPr>
            <w:r>
              <w:rPr>
                <w:b/>
                <w:sz w:val="19"/>
              </w:rPr>
              <w:t xml:space="preserve"> Ujednává se k pojištění souboru nemovitostí : </w:t>
            </w:r>
          </w:p>
          <w:p w:rsidR="007043CB" w:rsidRDefault="004B5C2E">
            <w:pPr>
              <w:spacing w:after="162" w:line="259" w:lineRule="auto"/>
              <w:ind w:left="0" w:firstLine="0"/>
              <w:jc w:val="left"/>
            </w:pPr>
            <w:r>
              <w:rPr>
                <w:b/>
                <w:sz w:val="2"/>
              </w:rPr>
              <w:t xml:space="preserve"> </w:t>
            </w:r>
          </w:p>
          <w:p w:rsidR="007043CB" w:rsidRDefault="004B5C2E">
            <w:pPr>
              <w:numPr>
                <w:ilvl w:val="0"/>
                <w:numId w:val="45"/>
              </w:numPr>
              <w:spacing w:after="0" w:line="236" w:lineRule="auto"/>
              <w:ind w:hanging="142"/>
              <w:jc w:val="left"/>
            </w:pPr>
            <w:r>
              <w:rPr>
                <w:sz w:val="19"/>
              </w:rPr>
              <w:t xml:space="preserve">Pojištění se vztahuje též na vlastní části nemovitosti (včetně vlastního podílu na společných částech domu), nacházející   se v postupně odprodávané  budově a to až do doby úplného prodeje,  jedná se především o bytové domy  prodávané po     ne/bytových jednotkách. </w:t>
            </w:r>
          </w:p>
          <w:p w:rsidR="007043CB" w:rsidRDefault="004B5C2E">
            <w:pPr>
              <w:numPr>
                <w:ilvl w:val="0"/>
                <w:numId w:val="45"/>
              </w:numPr>
              <w:spacing w:after="0" w:line="236" w:lineRule="auto"/>
              <w:ind w:hanging="142"/>
              <w:jc w:val="left"/>
            </w:pPr>
            <w:r>
              <w:rPr>
                <w:sz w:val="19"/>
              </w:rPr>
              <w:t xml:space="preserve">Pojištění se  vztahuje též na veřejné osvětlení/ rozhlas  vč. sloupů/ patek/ elektroinstalace / konstrukčního upevnění         a dále  trvale instalované ozvučení/ osvětlení nemovitostí, systémy klima/ zabezpečení/ EZS - EPS;    </w:t>
            </w:r>
          </w:p>
          <w:p w:rsidR="007043CB" w:rsidRDefault="004B5C2E">
            <w:pPr>
              <w:spacing w:after="141" w:line="259" w:lineRule="auto"/>
              <w:ind w:left="0" w:firstLine="0"/>
              <w:jc w:val="left"/>
            </w:pPr>
            <w:r>
              <w:rPr>
                <w:sz w:val="4"/>
              </w:rPr>
              <w:t xml:space="preserve"> </w:t>
            </w:r>
          </w:p>
          <w:p w:rsidR="007043CB" w:rsidRDefault="004B5C2E">
            <w:pPr>
              <w:numPr>
                <w:ilvl w:val="0"/>
                <w:numId w:val="45"/>
              </w:numPr>
              <w:spacing w:after="4" w:line="236" w:lineRule="auto"/>
              <w:ind w:hanging="142"/>
              <w:jc w:val="left"/>
            </w:pPr>
            <w:r>
              <w:rPr>
                <w:sz w:val="19"/>
              </w:rPr>
              <w:t xml:space="preserve">Pojištění se  vztahuje též na drobné stavby a stavební součásti - především zastávky BUS, vybavení dětských areálů / odpočinkových zón,  infozařízení/ značení,  kašny / pomníky / památníky,   zábradlí /  litinové sloupky s řetězy a ozdobné kovové koše, litinové mříže kolem stromů,  vždy však pevně spojené se zemí/budovou/stavbou.                                              </w:t>
            </w:r>
          </w:p>
          <w:p w:rsidR="007043CB" w:rsidRDefault="004B5C2E">
            <w:pPr>
              <w:numPr>
                <w:ilvl w:val="0"/>
                <w:numId w:val="45"/>
              </w:numPr>
              <w:spacing w:after="0" w:line="251" w:lineRule="auto"/>
              <w:ind w:hanging="142"/>
              <w:jc w:val="left"/>
            </w:pPr>
            <w:r>
              <w:rPr>
                <w:sz w:val="19"/>
              </w:rPr>
              <w:t>Kašny / pomníky / památníky, sousoší a věci historické či umělecké hodnoty  jsou  pojištěny na obvyklou cenu</w:t>
            </w:r>
            <w:r>
              <w:rPr>
                <w:sz w:val="17"/>
                <w:vertAlign w:val="superscript"/>
              </w:rPr>
              <w:t>1)</w:t>
            </w:r>
            <w:r>
              <w:rPr>
                <w:sz w:val="19"/>
              </w:rPr>
              <w:t xml:space="preserve">,   </w:t>
            </w:r>
            <w:r>
              <w:rPr>
                <w:sz w:val="19"/>
                <w:u w:val="single" w:color="000000"/>
              </w:rPr>
              <w:t>vstupní</w:t>
            </w:r>
            <w:r>
              <w:rPr>
                <w:sz w:val="19"/>
              </w:rPr>
              <w:t xml:space="preserve"> </w:t>
            </w:r>
            <w:r>
              <w:rPr>
                <w:b/>
                <w:sz w:val="19"/>
                <w:u w:val="single" w:color="000000"/>
              </w:rPr>
              <w:t>obvyklá</w:t>
            </w:r>
            <w:r>
              <w:rPr>
                <w:sz w:val="19"/>
                <w:u w:val="single" w:color="000000"/>
              </w:rPr>
              <w:t xml:space="preserve"> </w:t>
            </w:r>
            <w:r>
              <w:rPr>
                <w:b/>
                <w:sz w:val="19"/>
                <w:u w:val="single" w:color="000000"/>
              </w:rPr>
              <w:t>cena  pro vybrané objekty</w:t>
            </w:r>
            <w:r>
              <w:rPr>
                <w:sz w:val="19"/>
                <w:u w:val="single" w:color="000000"/>
              </w:rPr>
              <w:t xml:space="preserve"> </w:t>
            </w:r>
            <w:r>
              <w:rPr>
                <w:sz w:val="17"/>
                <w:vertAlign w:val="superscript"/>
              </w:rPr>
              <w:t xml:space="preserve"> </w:t>
            </w:r>
            <w:r>
              <w:rPr>
                <w:sz w:val="19"/>
                <w:u w:val="single" w:color="000000"/>
              </w:rPr>
              <w:t>uvedena pojistníkem k  6/2016 na příloze č. 2 dodatku č.6 této pojistné smlouvy</w:t>
            </w:r>
            <w:r>
              <w:rPr>
                <w:sz w:val="19"/>
              </w:rPr>
              <w:t xml:space="preserve"> ;  </w:t>
            </w:r>
          </w:p>
          <w:p w:rsidR="007043CB" w:rsidRDefault="004B5C2E">
            <w:pPr>
              <w:spacing w:after="141" w:line="259" w:lineRule="auto"/>
              <w:ind w:left="0" w:firstLine="0"/>
              <w:jc w:val="left"/>
            </w:pPr>
            <w:r>
              <w:rPr>
                <w:sz w:val="4"/>
              </w:rPr>
              <w:t xml:space="preserve"> </w:t>
            </w:r>
          </w:p>
          <w:p w:rsidR="007043CB" w:rsidRDefault="004B5C2E">
            <w:pPr>
              <w:numPr>
                <w:ilvl w:val="0"/>
                <w:numId w:val="45"/>
              </w:numPr>
              <w:spacing w:after="0" w:line="237" w:lineRule="auto"/>
              <w:ind w:hanging="142"/>
              <w:jc w:val="left"/>
            </w:pPr>
            <w:r>
              <w:rPr>
                <w:sz w:val="19"/>
              </w:rPr>
              <w:t xml:space="preserve">Pojistitel poskytne též plnění za účelně vynaložené náklady na náhradní ubytování členů domácností, které se nacházejí v pojištěné  nemovitosti, byla-li tato postižena pojistnou událostí v důsledku působení některého z živelních pojistných nebezpečí. Limit  pojistného plnění činí </w:t>
            </w:r>
            <w:r>
              <w:rPr>
                <w:b/>
                <w:sz w:val="19"/>
              </w:rPr>
              <w:t>30.000,-Kč</w:t>
            </w:r>
            <w:r>
              <w:rPr>
                <w:sz w:val="19"/>
              </w:rPr>
              <w:t xml:space="preserve"> pro každou pojištěnou domácnost, maximálně však </w:t>
            </w:r>
            <w:r>
              <w:rPr>
                <w:b/>
                <w:sz w:val="19"/>
              </w:rPr>
              <w:t>300.000,-Kč</w:t>
            </w:r>
            <w:r>
              <w:rPr>
                <w:sz w:val="19"/>
              </w:rPr>
              <w:t xml:space="preserve"> za všechny domácnosti; </w:t>
            </w:r>
          </w:p>
          <w:p w:rsidR="007043CB" w:rsidRDefault="004B5C2E">
            <w:pPr>
              <w:spacing w:after="143" w:line="259" w:lineRule="auto"/>
              <w:ind w:left="0" w:firstLine="0"/>
              <w:jc w:val="left"/>
            </w:pPr>
            <w:r>
              <w:rPr>
                <w:sz w:val="4"/>
              </w:rPr>
              <w:t xml:space="preserve"> </w:t>
            </w:r>
          </w:p>
          <w:p w:rsidR="007043CB" w:rsidRDefault="004B5C2E">
            <w:pPr>
              <w:numPr>
                <w:ilvl w:val="0"/>
                <w:numId w:val="45"/>
              </w:numPr>
              <w:spacing w:after="0" w:line="237" w:lineRule="auto"/>
              <w:ind w:hanging="142"/>
              <w:jc w:val="left"/>
            </w:pPr>
            <w:r>
              <w:rPr>
                <w:sz w:val="19"/>
              </w:rPr>
              <w:t xml:space="preserve">Pojištění  </w:t>
            </w:r>
            <w:r>
              <w:rPr>
                <w:b/>
                <w:sz w:val="19"/>
              </w:rPr>
              <w:t>se nevztahuje</w:t>
            </w:r>
            <w:r>
              <w:rPr>
                <w:sz w:val="19"/>
              </w:rPr>
              <w:t xml:space="preserve"> na budovy / stavby / stavební součásti  s uloženým senem, slámou, trávou,  dále na plátěné / textilní /  nafukovací haly a  dále na věci v nich uložené  (</w:t>
            </w:r>
            <w:r>
              <w:rPr>
                <w:sz w:val="19"/>
                <w:u w:val="single" w:color="000000"/>
              </w:rPr>
              <w:t>lze sjednat po specifikaci a  dohodě obou smluvních stran);</w:t>
            </w:r>
            <w:r>
              <w:rPr>
                <w:sz w:val="19"/>
              </w:rPr>
              <w:t xml:space="preserve"> Výluka se však nevztahuje na vánoční / velikonoční výzdobu (především betlém a pod).. </w:t>
            </w:r>
          </w:p>
          <w:p w:rsidR="007043CB" w:rsidRDefault="004B5C2E">
            <w:pPr>
              <w:spacing w:after="143" w:line="259" w:lineRule="auto"/>
              <w:ind w:left="0" w:firstLine="0"/>
              <w:jc w:val="left"/>
            </w:pPr>
            <w:r>
              <w:rPr>
                <w:sz w:val="4"/>
              </w:rPr>
              <w:t xml:space="preserve"> </w:t>
            </w:r>
          </w:p>
          <w:p w:rsidR="007043CB" w:rsidRDefault="004B5C2E">
            <w:pPr>
              <w:numPr>
                <w:ilvl w:val="0"/>
                <w:numId w:val="45"/>
              </w:numPr>
              <w:spacing w:after="0" w:line="259" w:lineRule="auto"/>
              <w:ind w:hanging="142"/>
              <w:jc w:val="left"/>
            </w:pPr>
            <w:r>
              <w:rPr>
                <w:sz w:val="19"/>
              </w:rPr>
              <w:t xml:space="preserve">Pojištění  </w:t>
            </w:r>
            <w:r>
              <w:rPr>
                <w:b/>
                <w:sz w:val="19"/>
              </w:rPr>
              <w:t>se nevztahuje</w:t>
            </w:r>
            <w:r>
              <w:rPr>
                <w:sz w:val="19"/>
              </w:rPr>
              <w:t xml:space="preserve"> na budovy/ stavby a stavební součásti, které jsou  samostatně pojištěny dále touto smlouvou. </w:t>
            </w:r>
          </w:p>
          <w:p w:rsidR="007043CB" w:rsidRDefault="004B5C2E">
            <w:pPr>
              <w:spacing w:after="0" w:line="259" w:lineRule="auto"/>
              <w:ind w:left="0" w:firstLine="0"/>
              <w:jc w:val="left"/>
            </w:pPr>
            <w:r>
              <w:rPr>
                <w:b/>
                <w:sz w:val="19"/>
              </w:rPr>
              <w:t xml:space="preserve"> </w:t>
            </w:r>
          </w:p>
          <w:p w:rsidR="007043CB" w:rsidRDefault="004B5C2E">
            <w:pPr>
              <w:spacing w:after="0" w:line="259" w:lineRule="auto"/>
              <w:ind w:left="0" w:firstLine="0"/>
              <w:jc w:val="left"/>
            </w:pPr>
            <w:r>
              <w:rPr>
                <w:b/>
                <w:sz w:val="19"/>
              </w:rPr>
              <w:t xml:space="preserve"> </w:t>
            </w:r>
          </w:p>
          <w:p w:rsidR="007043CB" w:rsidRDefault="004B5C2E">
            <w:pPr>
              <w:spacing w:after="0" w:line="238" w:lineRule="auto"/>
              <w:ind w:left="0" w:right="113" w:firstLine="0"/>
            </w:pPr>
            <w:r>
              <w:rPr>
                <w:sz w:val="19"/>
              </w:rPr>
              <w:t xml:space="preserve">Ujednává se, že odchylně od ZPP P-150/05 se pojištění vztahuje i na poškození nebo zničení elektrických a elektronických strojů, přístrojů a zařízení (včetně elektroinstalace na budovách nebo ostatních stavbách) přepětím, zkratem nebo indukcí v příčinné souvislosti s úderem blesku, při bouřkách, při spínání v napájecích sítích nebo při výboji statické elektřiny. Pojištění se sjednává se spoluúčastí </w:t>
            </w:r>
            <w:r>
              <w:rPr>
                <w:b/>
                <w:sz w:val="19"/>
              </w:rPr>
              <w:t>10 % min. 2 000,- Kč</w:t>
            </w:r>
            <w:r>
              <w:rPr>
                <w:sz w:val="19"/>
              </w:rPr>
              <w:t xml:space="preserve"> a maximálním ročním limitem pojistného plnění ve výši </w:t>
            </w:r>
            <w:r>
              <w:rPr>
                <w:b/>
                <w:sz w:val="19"/>
              </w:rPr>
              <w:t>100.000,-Kč</w:t>
            </w:r>
            <w:r>
              <w:rPr>
                <w:sz w:val="19"/>
              </w:rPr>
              <w:t xml:space="preserve"> pro všechny pojistné události vzniklé v jednom pojistném roce. </w:t>
            </w:r>
          </w:p>
          <w:p w:rsidR="007043CB" w:rsidRDefault="004B5C2E">
            <w:pPr>
              <w:spacing w:after="0" w:line="259" w:lineRule="auto"/>
              <w:ind w:left="0" w:firstLine="0"/>
              <w:jc w:val="left"/>
            </w:pPr>
            <w:r>
              <w:rPr>
                <w:sz w:val="19"/>
              </w:rPr>
              <w:t xml:space="preserve"> </w:t>
            </w:r>
          </w:p>
          <w:p w:rsidR="007043CB" w:rsidRDefault="004B5C2E">
            <w:pPr>
              <w:spacing w:after="0" w:line="259" w:lineRule="auto"/>
              <w:ind w:left="0" w:firstLine="0"/>
              <w:jc w:val="left"/>
            </w:pPr>
            <w:r>
              <w:rPr>
                <w:sz w:val="19"/>
              </w:rPr>
              <w:t xml:space="preserve"> </w:t>
            </w:r>
          </w:p>
          <w:p w:rsidR="007043CB" w:rsidRDefault="004B5C2E">
            <w:pPr>
              <w:spacing w:after="0" w:line="259" w:lineRule="auto"/>
              <w:ind w:left="0" w:firstLine="0"/>
              <w:jc w:val="left"/>
            </w:pPr>
            <w:r>
              <w:rPr>
                <w:sz w:val="19"/>
              </w:rPr>
              <w:t>Další ujednání v článku II. odst. 3. Limity plnění  a dále v článku V. Zvláštní ujednání  této pojistné smlouvy .</w:t>
            </w:r>
            <w:r>
              <w:rPr>
                <w:b/>
              </w:rPr>
              <w:t xml:space="preserve"> </w:t>
            </w:r>
          </w:p>
        </w:tc>
      </w:tr>
    </w:tbl>
    <w:p w:rsidR="007043CB" w:rsidRDefault="004B5C2E">
      <w:pPr>
        <w:numPr>
          <w:ilvl w:val="0"/>
          <w:numId w:val="3"/>
        </w:numPr>
        <w:ind w:hanging="142"/>
      </w:pPr>
      <w:r>
        <w:t xml:space="preserve">není-li uvedeno, platí ustanovení čl. II. odst. 1.1. </w:t>
      </w:r>
    </w:p>
    <w:p w:rsidR="007043CB" w:rsidRDefault="004B5C2E">
      <w:pPr>
        <w:spacing w:after="0" w:line="259" w:lineRule="auto"/>
        <w:ind w:left="142" w:firstLine="0"/>
        <w:jc w:val="left"/>
      </w:pPr>
      <w:r>
        <w:t xml:space="preserve"> </w:t>
      </w:r>
    </w:p>
    <w:p w:rsidR="007043CB" w:rsidRDefault="004B5C2E">
      <w:pPr>
        <w:spacing w:after="0" w:line="259" w:lineRule="auto"/>
        <w:ind w:left="137" w:hanging="10"/>
        <w:jc w:val="left"/>
      </w:pPr>
      <w:r>
        <w:rPr>
          <w:b/>
          <w:sz w:val="20"/>
        </w:rPr>
        <w:t xml:space="preserve">2.1.2.  Živelní pojištění </w:t>
      </w:r>
      <w:r>
        <w:rPr>
          <w:i/>
          <w:sz w:val="19"/>
        </w:rPr>
        <w:t>– sloučení  11 tab. v 1, upravuje se, včetně ujednání poznámky</w:t>
      </w:r>
      <w:r>
        <w:rPr>
          <w:b/>
          <w:sz w:val="20"/>
        </w:rPr>
        <w:t xml:space="preserve"> </w:t>
      </w:r>
    </w:p>
    <w:tbl>
      <w:tblPr>
        <w:tblStyle w:val="TableGrid"/>
        <w:tblW w:w="10293" w:type="dxa"/>
        <w:tblInd w:w="34" w:type="dxa"/>
        <w:tblCellMar>
          <w:top w:w="40" w:type="dxa"/>
          <w:bottom w:w="4" w:type="dxa"/>
        </w:tblCellMar>
        <w:tblLook w:val="04A0" w:firstRow="1" w:lastRow="0" w:firstColumn="1" w:lastColumn="0" w:noHBand="0" w:noVBand="1"/>
      </w:tblPr>
      <w:tblGrid>
        <w:gridCol w:w="824"/>
        <w:gridCol w:w="2119"/>
        <w:gridCol w:w="1702"/>
        <w:gridCol w:w="1409"/>
        <w:gridCol w:w="1414"/>
        <w:gridCol w:w="1431"/>
        <w:gridCol w:w="1394"/>
      </w:tblGrid>
      <w:tr w:rsidR="007043CB">
        <w:trPr>
          <w:trHeight w:val="238"/>
        </w:trPr>
        <w:tc>
          <w:tcPr>
            <w:tcW w:w="10293"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108" w:firstLine="0"/>
              <w:jc w:val="left"/>
            </w:pPr>
            <w:r>
              <w:rPr>
                <w:b/>
                <w:sz w:val="19"/>
              </w:rPr>
              <w:t xml:space="preserve">Místo pojištění: </w:t>
            </w:r>
            <w:r>
              <w:rPr>
                <w:sz w:val="19"/>
              </w:rPr>
              <w:t>Katastrální území spravované městem Aš, 352 01, ČR</w:t>
            </w:r>
            <w:r>
              <w:rPr>
                <w:b/>
                <w:sz w:val="19"/>
              </w:rPr>
              <w:t xml:space="preserve"> </w:t>
            </w:r>
          </w:p>
        </w:tc>
      </w:tr>
      <w:tr w:rsidR="007043CB">
        <w:trPr>
          <w:trHeight w:val="240"/>
        </w:trPr>
        <w:tc>
          <w:tcPr>
            <w:tcW w:w="10293"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108" w:firstLine="0"/>
              <w:jc w:val="left"/>
            </w:pPr>
            <w:r>
              <w:rPr>
                <w:b/>
                <w:sz w:val="19"/>
              </w:rPr>
              <w:t xml:space="preserve">Rozsah pojištění: </w:t>
            </w:r>
            <w:r>
              <w:rPr>
                <w:sz w:val="19"/>
              </w:rPr>
              <w:t xml:space="preserve">"sdružený živel" </w:t>
            </w:r>
          </w:p>
        </w:tc>
      </w:tr>
      <w:tr w:rsidR="007043CB">
        <w:trPr>
          <w:trHeight w:val="240"/>
        </w:trPr>
        <w:tc>
          <w:tcPr>
            <w:tcW w:w="10293"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108" w:firstLine="0"/>
              <w:jc w:val="left"/>
            </w:pPr>
            <w:r>
              <w:rPr>
                <w:b/>
                <w:sz w:val="19"/>
              </w:rPr>
              <w:t xml:space="preserve">Pojištění se řídí: </w:t>
            </w:r>
            <w:r>
              <w:rPr>
                <w:sz w:val="19"/>
              </w:rPr>
              <w:t xml:space="preserve">VPP P-100/09, ZPP P-150/05 a doložkami DOB1, DOB3, DOB6, DOB7, DZ2, DZ3, DZ12, DZ13, DOD1. </w:t>
            </w:r>
          </w:p>
        </w:tc>
      </w:tr>
      <w:tr w:rsidR="007043CB">
        <w:trPr>
          <w:trHeight w:val="1090"/>
        </w:trPr>
        <w:tc>
          <w:tcPr>
            <w:tcW w:w="824"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63" w:right="22" w:firstLine="0"/>
              <w:jc w:val="center"/>
            </w:pPr>
            <w:r>
              <w:rPr>
                <w:b/>
              </w:rPr>
              <w:t xml:space="preserve">Poř. číslo </w:t>
            </w:r>
          </w:p>
        </w:tc>
        <w:tc>
          <w:tcPr>
            <w:tcW w:w="2119"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1" w:firstLine="0"/>
              <w:jc w:val="center"/>
            </w:pPr>
            <w:r>
              <w:rPr>
                <w:b/>
              </w:rPr>
              <w:t xml:space="preserve">Předmět pojištění </w:t>
            </w:r>
          </w:p>
        </w:tc>
        <w:tc>
          <w:tcPr>
            <w:tcW w:w="1702"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3" w:firstLine="0"/>
              <w:jc w:val="center"/>
            </w:pPr>
            <w:r>
              <w:rPr>
                <w:b/>
              </w:rPr>
              <w:t xml:space="preserve">Agregovaná/  </w:t>
            </w:r>
          </w:p>
          <w:p w:rsidR="007043CB" w:rsidRDefault="004B5C2E">
            <w:pPr>
              <w:spacing w:after="0" w:line="259" w:lineRule="auto"/>
              <w:ind w:left="193" w:firstLine="0"/>
              <w:jc w:val="center"/>
            </w:pPr>
            <w:r>
              <w:rPr>
                <w:b/>
              </w:rPr>
              <w:t xml:space="preserve">celková/            pojistná částka </w:t>
            </w:r>
          </w:p>
        </w:tc>
        <w:tc>
          <w:tcPr>
            <w:tcW w:w="1409"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4" w:firstLine="0"/>
              <w:jc w:val="center"/>
            </w:pPr>
            <w:r>
              <w:rPr>
                <w:b/>
              </w:rPr>
              <w:t>Spoluúčast</w:t>
            </w:r>
            <w:r>
              <w:rPr>
                <w:vertAlign w:val="superscript"/>
              </w:rPr>
              <w:t>5)</w:t>
            </w:r>
            <w:r>
              <w:rPr>
                <w:b/>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center"/>
            </w:pPr>
            <w:r>
              <w:rPr>
                <w:b/>
              </w:rPr>
              <w:t>Pojištění se sjednává*</w:t>
            </w:r>
            <w:r>
              <w:rPr>
                <w:b/>
                <w:vertAlign w:val="superscript"/>
              </w:rPr>
              <w:t>1)2)</w:t>
            </w:r>
            <w:r>
              <w:rPr>
                <w:b/>
              </w:rPr>
              <w:t xml:space="preserve"> </w:t>
            </w:r>
          </w:p>
        </w:tc>
        <w:tc>
          <w:tcPr>
            <w:tcW w:w="1431"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78" w:right="38" w:firstLine="0"/>
              <w:jc w:val="center"/>
            </w:pPr>
            <w:r>
              <w:rPr>
                <w:b/>
              </w:rPr>
              <w:t>Maximální roční limit pojistného plnění</w:t>
            </w:r>
            <w:r>
              <w:rPr>
                <w:b/>
                <w:vertAlign w:val="superscript"/>
              </w:rPr>
              <w:t>3)</w:t>
            </w:r>
            <w:r>
              <w:rPr>
                <w:b/>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64" w:right="18" w:firstLine="56"/>
              <w:jc w:val="center"/>
            </w:pPr>
            <w:r>
              <w:rPr>
                <w:b/>
              </w:rPr>
              <w:t>Limit pojistného plnění pro jednu poj. událost</w:t>
            </w:r>
            <w:r>
              <w:rPr>
                <w:b/>
                <w:vertAlign w:val="superscript"/>
              </w:rPr>
              <w:t>4)</w:t>
            </w:r>
            <w:r>
              <w:rPr>
                <w:b/>
              </w:rPr>
              <w:t xml:space="preserve"> </w:t>
            </w:r>
          </w:p>
        </w:tc>
      </w:tr>
      <w:tr w:rsidR="007043CB">
        <w:trPr>
          <w:trHeight w:val="1150"/>
        </w:trPr>
        <w:tc>
          <w:tcPr>
            <w:tcW w:w="82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48" w:firstLine="0"/>
              <w:jc w:val="center"/>
            </w:pPr>
            <w:r>
              <w:rPr>
                <w:sz w:val="19"/>
              </w:rPr>
              <w:t xml:space="preserve"> </w:t>
            </w:r>
          </w:p>
          <w:p w:rsidR="007043CB" w:rsidRDefault="004B5C2E">
            <w:pPr>
              <w:spacing w:after="0" w:line="259" w:lineRule="auto"/>
              <w:ind w:left="0" w:right="2" w:firstLine="0"/>
              <w:jc w:val="center"/>
            </w:pPr>
            <w:r>
              <w:rPr>
                <w:sz w:val="19"/>
              </w:rPr>
              <w:t xml:space="preserve">1 </w:t>
            </w:r>
          </w:p>
          <w:p w:rsidR="007043CB" w:rsidRDefault="004B5C2E">
            <w:pPr>
              <w:spacing w:after="0" w:line="259" w:lineRule="auto"/>
              <w:ind w:left="48" w:firstLine="0"/>
              <w:jc w:val="center"/>
            </w:pPr>
            <w:r>
              <w:rPr>
                <w:sz w:val="19"/>
              </w:rPr>
              <w:t xml:space="preserve"> </w:t>
            </w:r>
          </w:p>
        </w:tc>
        <w:tc>
          <w:tcPr>
            <w:tcW w:w="2119"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110" w:firstLine="0"/>
              <w:jc w:val="left"/>
            </w:pPr>
            <w:r>
              <w:rPr>
                <w:sz w:val="19"/>
              </w:rPr>
              <w:t xml:space="preserve">Soubor nemovitostí a věcí movitých vlastní: „Vyjmenované dotace“ evidované pojištěným    v majetku města Aš. </w:t>
            </w:r>
          </w:p>
        </w:tc>
        <w:tc>
          <w:tcPr>
            <w:tcW w:w="1702" w:type="dxa"/>
            <w:tcBorders>
              <w:top w:val="single" w:sz="4" w:space="0" w:color="000000"/>
              <w:left w:val="single" w:sz="4" w:space="0" w:color="000000"/>
              <w:bottom w:val="single" w:sz="4" w:space="0" w:color="000000"/>
              <w:right w:val="single" w:sz="4" w:space="0" w:color="000000"/>
            </w:tcBorders>
            <w:vAlign w:val="bottom"/>
          </w:tcPr>
          <w:p w:rsidR="007043CB" w:rsidRDefault="004B5C2E">
            <w:pPr>
              <w:spacing w:after="0" w:line="259" w:lineRule="auto"/>
              <w:ind w:left="3" w:firstLine="0"/>
              <w:jc w:val="center"/>
            </w:pPr>
            <w:r>
              <w:rPr>
                <w:sz w:val="19"/>
              </w:rPr>
              <w:t xml:space="preserve">183 053 782 Kč </w:t>
            </w:r>
          </w:p>
          <w:p w:rsidR="007043CB" w:rsidRDefault="004B5C2E">
            <w:pPr>
              <w:spacing w:after="0" w:line="259" w:lineRule="auto"/>
              <w:ind w:left="-8" w:firstLine="0"/>
              <w:jc w:val="left"/>
            </w:pPr>
            <w:r>
              <w:rPr>
                <w:sz w:val="19"/>
              </w:rPr>
              <w:t xml:space="preserve"> </w:t>
            </w:r>
          </w:p>
        </w:tc>
        <w:tc>
          <w:tcPr>
            <w:tcW w:w="1409"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 w:firstLine="0"/>
              <w:jc w:val="center"/>
            </w:pPr>
            <w:r>
              <w:rPr>
                <w:sz w:val="19"/>
              </w:rPr>
              <w:t xml:space="preserve">1 000 Kč </w:t>
            </w:r>
          </w:p>
        </w:tc>
        <w:tc>
          <w:tcPr>
            <w:tcW w:w="141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3" w:firstLine="0"/>
              <w:jc w:val="center"/>
            </w:pPr>
            <w:r>
              <w:rPr>
                <w:sz w:val="19"/>
              </w:rPr>
              <w:t xml:space="preserve">nová cena </w:t>
            </w:r>
          </w:p>
        </w:tc>
        <w:tc>
          <w:tcPr>
            <w:tcW w:w="1431"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154" w:firstLine="0"/>
              <w:jc w:val="left"/>
            </w:pPr>
            <w:r>
              <w:rPr>
                <w:sz w:val="19"/>
              </w:rPr>
              <w:t xml:space="preserve">nesjednává se </w:t>
            </w:r>
          </w:p>
        </w:tc>
        <w:tc>
          <w:tcPr>
            <w:tcW w:w="139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137" w:firstLine="0"/>
              <w:jc w:val="left"/>
            </w:pPr>
            <w:r>
              <w:rPr>
                <w:sz w:val="19"/>
              </w:rPr>
              <w:t xml:space="preserve">nesjednává se </w:t>
            </w:r>
          </w:p>
        </w:tc>
      </w:tr>
      <w:tr w:rsidR="007043CB">
        <w:trPr>
          <w:trHeight w:val="12244"/>
        </w:trPr>
        <w:tc>
          <w:tcPr>
            <w:tcW w:w="10293"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4" w:line="235" w:lineRule="auto"/>
              <w:ind w:left="108" w:firstLine="0"/>
            </w:pPr>
            <w:r>
              <w:rPr>
                <w:b/>
                <w:sz w:val="19"/>
              </w:rPr>
              <w:lastRenderedPageBreak/>
              <w:t xml:space="preserve">Poznámky:  </w:t>
            </w:r>
            <w:r>
              <w:rPr>
                <w:sz w:val="20"/>
              </w:rPr>
              <w:t>Pro pojištěné předměty pojištění v místě pojištění uvedeném v záhlaví této tabulky se sjednává spoluúčast</w:t>
            </w:r>
            <w:r>
              <w:rPr>
                <w:sz w:val="20"/>
                <w:vertAlign w:val="superscript"/>
              </w:rPr>
              <w:t>5)</w:t>
            </w:r>
            <w:r>
              <w:rPr>
                <w:sz w:val="20"/>
              </w:rPr>
              <w:t xml:space="preserve"> pro pojistné nebezpečí </w:t>
            </w:r>
            <w:r>
              <w:rPr>
                <w:b/>
                <w:sz w:val="20"/>
              </w:rPr>
              <w:t>„povodeň“ ve výši 10% min. 20 tis. Kč.</w:t>
            </w:r>
            <w:r>
              <w:rPr>
                <w:b/>
                <w:sz w:val="19"/>
              </w:rPr>
              <w:t xml:space="preserve"> </w:t>
            </w:r>
          </w:p>
          <w:p w:rsidR="007043CB" w:rsidRDefault="004B5C2E">
            <w:pPr>
              <w:spacing w:after="0" w:line="259" w:lineRule="auto"/>
              <w:ind w:left="108" w:firstLine="0"/>
              <w:jc w:val="left"/>
            </w:pPr>
            <w:r>
              <w:rPr>
                <w:b/>
                <w:sz w:val="19"/>
              </w:rPr>
              <w:t xml:space="preserve"> </w:t>
            </w:r>
          </w:p>
          <w:p w:rsidR="007043CB" w:rsidRDefault="004B5C2E">
            <w:pPr>
              <w:spacing w:after="0" w:line="259" w:lineRule="auto"/>
              <w:ind w:left="108" w:firstLine="0"/>
              <w:jc w:val="left"/>
            </w:pPr>
            <w:r>
              <w:rPr>
                <w:sz w:val="19"/>
                <w:u w:val="single" w:color="000000"/>
              </w:rPr>
              <w:t>Seznam pojištěných dotací, vč. uvedení nové ceny a min. doby trvání dle podmínek dané dotace:</w:t>
            </w:r>
            <w:r>
              <w:rPr>
                <w:sz w:val="19"/>
              </w:rPr>
              <w:t xml:space="preserve"> </w:t>
            </w:r>
          </w:p>
          <w:p w:rsidR="007043CB" w:rsidRDefault="004B5C2E">
            <w:pPr>
              <w:spacing w:after="178" w:line="259" w:lineRule="auto"/>
              <w:ind w:left="108" w:firstLine="0"/>
              <w:jc w:val="left"/>
            </w:pPr>
            <w:r>
              <w:rPr>
                <w:b/>
                <w:sz w:val="4"/>
              </w:rPr>
              <w:t xml:space="preserve"> </w:t>
            </w:r>
          </w:p>
          <w:p w:rsidR="007043CB" w:rsidRDefault="004B5C2E">
            <w:pPr>
              <w:numPr>
                <w:ilvl w:val="0"/>
                <w:numId w:val="46"/>
              </w:numPr>
              <w:spacing w:after="2" w:line="235" w:lineRule="auto"/>
              <w:ind w:hanging="142"/>
              <w:jc w:val="left"/>
            </w:pPr>
            <w:r>
              <w:rPr>
                <w:sz w:val="19"/>
              </w:rPr>
              <w:t xml:space="preserve">"Multifunkční, informační, vzdělávací a společenské centrum - Městská knihovna v Aši"  - nemovitost vč. přilehlých komunikací, parkovacích ploch, osvětlení, kanalizace, č. proj. CZ.1.09/1.2.00/20.00554 -  Program: Regionální operační program regionu soudržnost Severozápad - ** 31.12.2017 - podmínka dotace, nová cena……………..………….47 600 000 Kč </w:t>
            </w:r>
          </w:p>
          <w:p w:rsidR="007043CB" w:rsidRDefault="004B5C2E">
            <w:pPr>
              <w:spacing w:after="15" w:line="259" w:lineRule="auto"/>
              <w:ind w:left="108" w:firstLine="0"/>
              <w:jc w:val="left"/>
            </w:pPr>
            <w:r>
              <w:rPr>
                <w:sz w:val="19"/>
              </w:rPr>
              <w:t xml:space="preserve"> </w:t>
            </w:r>
          </w:p>
          <w:p w:rsidR="007043CB" w:rsidRDefault="004B5C2E">
            <w:pPr>
              <w:numPr>
                <w:ilvl w:val="0"/>
                <w:numId w:val="46"/>
              </w:numPr>
              <w:spacing w:after="0" w:line="259" w:lineRule="auto"/>
              <w:ind w:hanging="142"/>
              <w:jc w:val="left"/>
            </w:pPr>
            <w:r>
              <w:rPr>
                <w:sz w:val="19"/>
              </w:rPr>
              <w:t xml:space="preserve">"Revitalizace centra města Aš - rekonstrukce Masarykova náměstí"  , č. proj. CZ.1.09/1.2.00/20.00556   Program: </w:t>
            </w:r>
          </w:p>
          <w:p w:rsidR="007043CB" w:rsidRDefault="004B5C2E">
            <w:pPr>
              <w:spacing w:after="0" w:line="259" w:lineRule="auto"/>
              <w:ind w:left="250" w:firstLine="0"/>
              <w:jc w:val="left"/>
            </w:pPr>
            <w:r>
              <w:rPr>
                <w:sz w:val="19"/>
              </w:rPr>
              <w:t xml:space="preserve">Regionální operační program NUTS2 Severozápad, ** 31.12.2017 - podmínka dotace,  nová cena…….…….…23 192 400 Kč </w:t>
            </w:r>
          </w:p>
          <w:p w:rsidR="007043CB" w:rsidRDefault="004B5C2E">
            <w:pPr>
              <w:spacing w:after="15" w:line="259" w:lineRule="auto"/>
              <w:ind w:left="108" w:firstLine="0"/>
              <w:jc w:val="left"/>
            </w:pPr>
            <w:r>
              <w:rPr>
                <w:sz w:val="19"/>
              </w:rPr>
              <w:t xml:space="preserve"> </w:t>
            </w:r>
          </w:p>
          <w:p w:rsidR="007043CB" w:rsidRDefault="004B5C2E">
            <w:pPr>
              <w:numPr>
                <w:ilvl w:val="0"/>
                <w:numId w:val="46"/>
              </w:numPr>
              <w:spacing w:after="0" w:line="229" w:lineRule="auto"/>
              <w:ind w:hanging="142"/>
              <w:jc w:val="left"/>
            </w:pPr>
            <w:r>
              <w:rPr>
                <w:sz w:val="19"/>
              </w:rPr>
              <w:t xml:space="preserve">„Cyklostezka s příslušenstvím“  vybudovaná dle dotačního projektu č. 175 - Operační program Přeshraniční spolupráce Cíl 3 Česká republika - Svobodný stát Bavorsko 2007 – 2013, stavba vč. infotabulí v NC: 70.000 Kč, 20 ks okrasných dřevin „stromů – jeřabin“ v NC: 75.880 Kč a ostatního mobiliáře v NC: 100.000 Kč, </w:t>
            </w:r>
            <w:r>
              <w:rPr>
                <w:sz w:val="22"/>
              </w:rPr>
              <w:t xml:space="preserve"> </w:t>
            </w:r>
            <w:r>
              <w:rPr>
                <w:sz w:val="19"/>
              </w:rPr>
              <w:t>**</w:t>
            </w:r>
            <w:r>
              <w:rPr>
                <w:sz w:val="22"/>
              </w:rPr>
              <w:t xml:space="preserve"> </w:t>
            </w:r>
            <w:r>
              <w:rPr>
                <w:sz w:val="19"/>
              </w:rPr>
              <w:t>31.3.2018 - podmínka dotace, (</w:t>
            </w:r>
            <w:r>
              <w:rPr>
                <w:i/>
                <w:sz w:val="19"/>
              </w:rPr>
              <w:t>definice okrasné dřeviny a plnění pojistitele dle znění doložky DOD1  v  DPP P-520/05</w:t>
            </w:r>
            <w:r>
              <w:rPr>
                <w:sz w:val="19"/>
              </w:rPr>
              <w:t>),</w:t>
            </w:r>
            <w:r>
              <w:rPr>
                <w:sz w:val="22"/>
              </w:rPr>
              <w:t xml:space="preserve"> </w:t>
            </w:r>
            <w:r>
              <w:rPr>
                <w:sz w:val="19"/>
              </w:rPr>
              <w:t>nová cena:…………...</w:t>
            </w:r>
            <w:r>
              <w:rPr>
                <w:sz w:val="22"/>
              </w:rPr>
              <w:t xml:space="preserve"> </w:t>
            </w:r>
            <w:r>
              <w:rPr>
                <w:sz w:val="19"/>
              </w:rPr>
              <w:t xml:space="preserve">16 639 686 Kč </w:t>
            </w:r>
          </w:p>
          <w:p w:rsidR="007043CB" w:rsidRDefault="004B5C2E">
            <w:pPr>
              <w:spacing w:after="28" w:line="259" w:lineRule="auto"/>
              <w:ind w:left="108" w:firstLine="0"/>
              <w:jc w:val="left"/>
            </w:pPr>
            <w:r>
              <w:rPr>
                <w:rFonts w:ascii="Times New Roman" w:eastAsia="Times New Roman" w:hAnsi="Times New Roman" w:cs="Times New Roman"/>
                <w:sz w:val="19"/>
              </w:rPr>
              <w:t xml:space="preserve"> </w:t>
            </w:r>
          </w:p>
          <w:p w:rsidR="007043CB" w:rsidRDefault="004B5C2E">
            <w:pPr>
              <w:numPr>
                <w:ilvl w:val="0"/>
                <w:numId w:val="46"/>
              </w:numPr>
              <w:spacing w:after="0" w:line="222" w:lineRule="auto"/>
              <w:ind w:hanging="142"/>
              <w:jc w:val="left"/>
            </w:pPr>
            <w:r>
              <w:rPr>
                <w:sz w:val="19"/>
              </w:rPr>
              <w:t>„AKTIVNÍ ŽIVOT PRO AŠ, Sportoviště Hlávkova ulice“ - soubor  budov a staveb, č. proj. CZ.1.09/1.2.00/63.01012 - detail přílohou č.1 dodatku č.2 této pojistné smlouvy, ** 31.12.2019 - podmínka dotace  ,</w:t>
            </w:r>
            <w:r>
              <w:rPr>
                <w:sz w:val="22"/>
              </w:rPr>
              <w:t xml:space="preserve"> </w:t>
            </w:r>
            <w:r>
              <w:rPr>
                <w:sz w:val="19"/>
              </w:rPr>
              <w:t>nová cena:……………...</w:t>
            </w:r>
            <w:r>
              <w:rPr>
                <w:sz w:val="22"/>
              </w:rPr>
              <w:t xml:space="preserve"> </w:t>
            </w:r>
            <w:r>
              <w:rPr>
                <w:sz w:val="19"/>
              </w:rPr>
              <w:t xml:space="preserve">10 176 996  Kč </w:t>
            </w:r>
          </w:p>
          <w:p w:rsidR="007043CB" w:rsidRDefault="004B5C2E">
            <w:pPr>
              <w:spacing w:after="15" w:line="259" w:lineRule="auto"/>
              <w:ind w:left="250" w:firstLine="0"/>
              <w:jc w:val="left"/>
            </w:pPr>
            <w:r>
              <w:rPr>
                <w:sz w:val="19"/>
              </w:rPr>
              <w:t xml:space="preserve"> </w:t>
            </w:r>
          </w:p>
          <w:p w:rsidR="007043CB" w:rsidRDefault="004B5C2E">
            <w:pPr>
              <w:numPr>
                <w:ilvl w:val="0"/>
                <w:numId w:val="46"/>
              </w:numPr>
              <w:spacing w:after="0" w:line="259" w:lineRule="auto"/>
              <w:ind w:hanging="142"/>
              <w:jc w:val="left"/>
            </w:pPr>
            <w:r>
              <w:rPr>
                <w:sz w:val="19"/>
              </w:rPr>
              <w:t xml:space="preserve">„AKTIVNÍ ŽIVOT PRO AŠ, Sportoviště Okružní ulice  1. etapa“ - soubor  budov a staveb, č. proj. CZ.1.09/1.2.00/63.01010  </w:t>
            </w:r>
          </w:p>
          <w:p w:rsidR="007043CB" w:rsidRDefault="004B5C2E">
            <w:pPr>
              <w:spacing w:after="0" w:line="259" w:lineRule="auto"/>
              <w:ind w:left="250" w:firstLine="0"/>
              <w:jc w:val="left"/>
            </w:pPr>
            <w:r>
              <w:rPr>
                <w:sz w:val="19"/>
              </w:rPr>
              <w:t>- detail přílohou č.2 dodatku č.2 této pojistné smlouvy, ** 31.12.2019 - podmínka dotace ,</w:t>
            </w:r>
            <w:r>
              <w:rPr>
                <w:sz w:val="22"/>
              </w:rPr>
              <w:t xml:space="preserve"> </w:t>
            </w:r>
            <w:r>
              <w:rPr>
                <w:sz w:val="19"/>
              </w:rPr>
              <w:t>nová cena:…….</w:t>
            </w:r>
            <w:r>
              <w:rPr>
                <w:sz w:val="22"/>
              </w:rPr>
              <w:t xml:space="preserve"> </w:t>
            </w:r>
            <w:r>
              <w:rPr>
                <w:sz w:val="19"/>
              </w:rPr>
              <w:t xml:space="preserve">20 636 517 Kč </w:t>
            </w:r>
          </w:p>
          <w:p w:rsidR="007043CB" w:rsidRDefault="004B5C2E">
            <w:pPr>
              <w:spacing w:after="15" w:line="259" w:lineRule="auto"/>
              <w:ind w:left="250" w:firstLine="0"/>
              <w:jc w:val="left"/>
            </w:pPr>
            <w:r>
              <w:rPr>
                <w:sz w:val="19"/>
              </w:rPr>
              <w:t xml:space="preserve"> </w:t>
            </w:r>
          </w:p>
          <w:p w:rsidR="007043CB" w:rsidRDefault="004B5C2E">
            <w:pPr>
              <w:numPr>
                <w:ilvl w:val="0"/>
                <w:numId w:val="47"/>
              </w:numPr>
              <w:spacing w:after="0" w:line="239" w:lineRule="auto"/>
              <w:ind w:hanging="142"/>
              <w:jc w:val="left"/>
            </w:pPr>
            <w:r>
              <w:rPr>
                <w:sz w:val="19"/>
              </w:rPr>
              <w:t>„Revitalizace Goethova náměstí v Aši“ - soubor  budov a staveb, č. proj.</w:t>
            </w:r>
            <w:r>
              <w:rPr>
                <w:sz w:val="22"/>
              </w:rPr>
              <w:t xml:space="preserve"> </w:t>
            </w:r>
            <w:r>
              <w:rPr>
                <w:sz w:val="19"/>
              </w:rPr>
              <w:t>CZ.1.09/1.2.00 /63 .01011 – detail přílohou č.3 dodatku č.2 této pojistné smlouvy,  vč. okrasných dřevin - 36 stromů, 160 keřů v NC: 131.951Kč,  (</w:t>
            </w:r>
            <w:r>
              <w:rPr>
                <w:i/>
                <w:sz w:val="19"/>
              </w:rPr>
              <w:t>definice okrasné dřeviny a plnění pojistitele dle znění doložky DOD1 v DPP P-520/05</w:t>
            </w:r>
            <w:r>
              <w:rPr>
                <w:sz w:val="19"/>
              </w:rPr>
              <w:t xml:space="preserve">), ** 31.12.2019 -podmínka dotace, nová cena:.....15 395 141 Kč </w:t>
            </w:r>
          </w:p>
          <w:p w:rsidR="007043CB" w:rsidRDefault="004B5C2E">
            <w:pPr>
              <w:spacing w:after="15" w:line="259" w:lineRule="auto"/>
              <w:ind w:left="828" w:firstLine="0"/>
              <w:jc w:val="left"/>
            </w:pPr>
            <w:r>
              <w:rPr>
                <w:sz w:val="19"/>
              </w:rPr>
              <w:t xml:space="preserve"> </w:t>
            </w:r>
          </w:p>
          <w:p w:rsidR="007043CB" w:rsidRDefault="004B5C2E">
            <w:pPr>
              <w:numPr>
                <w:ilvl w:val="0"/>
                <w:numId w:val="47"/>
              </w:numPr>
              <w:spacing w:after="4" w:line="242" w:lineRule="auto"/>
              <w:ind w:hanging="142"/>
              <w:jc w:val="left"/>
            </w:pPr>
            <w:r>
              <w:rPr>
                <w:sz w:val="19"/>
              </w:rPr>
              <w:t>„Lesní cesta na vrch Háj, Aš“ – stavba,  č. proj.</w:t>
            </w:r>
            <w:r>
              <w:rPr>
                <w:sz w:val="22"/>
              </w:rPr>
              <w:t xml:space="preserve"> </w:t>
            </w:r>
            <w:r>
              <w:rPr>
                <w:sz w:val="19"/>
              </w:rPr>
              <w:t xml:space="preserve">CZ.1.09/1.2.00/77.01204,  </w:t>
            </w:r>
            <w:r>
              <w:rPr>
                <w:i/>
                <w:sz w:val="19"/>
              </w:rPr>
              <w:t>*</w:t>
            </w:r>
            <w:r>
              <w:rPr>
                <w:sz w:val="19"/>
              </w:rPr>
              <w:t>* 31.10.2020 - podmínka dotace,</w:t>
            </w:r>
            <w:r>
              <w:rPr>
                <w:i/>
                <w:sz w:val="19"/>
              </w:rPr>
              <w:t xml:space="preserve"> (odchylně od výše uvedeného se ujednává spoluúčast </w:t>
            </w:r>
            <w:r>
              <w:rPr>
                <w:i/>
                <w:sz w:val="17"/>
                <w:vertAlign w:val="superscript"/>
              </w:rPr>
              <w:t>5)</w:t>
            </w:r>
            <w:r>
              <w:rPr>
                <w:i/>
                <w:sz w:val="19"/>
              </w:rPr>
              <w:t xml:space="preserve">  pojištěného ve výši "povodeň" 10%-20 000Kč,  ostatní pojistná nebezpečí 5 000Kč), </w:t>
            </w:r>
          </w:p>
          <w:p w:rsidR="007043CB" w:rsidRDefault="004B5C2E">
            <w:pPr>
              <w:spacing w:after="0" w:line="259" w:lineRule="auto"/>
              <w:ind w:left="250" w:firstLine="0"/>
              <w:jc w:val="left"/>
            </w:pPr>
            <w:r>
              <w:rPr>
                <w:sz w:val="19"/>
              </w:rPr>
              <w:t xml:space="preserve">nová cena:  ……………………………………………………………………………………………………………………………………4 974 325 Kč </w:t>
            </w:r>
          </w:p>
          <w:p w:rsidR="007043CB" w:rsidRDefault="004B5C2E">
            <w:pPr>
              <w:spacing w:after="15" w:line="259" w:lineRule="auto"/>
              <w:ind w:left="828" w:firstLine="0"/>
              <w:jc w:val="left"/>
            </w:pPr>
            <w:r>
              <w:rPr>
                <w:sz w:val="19"/>
              </w:rPr>
              <w:t xml:space="preserve"> </w:t>
            </w:r>
          </w:p>
          <w:p w:rsidR="007043CB" w:rsidRDefault="004B5C2E">
            <w:pPr>
              <w:numPr>
                <w:ilvl w:val="0"/>
                <w:numId w:val="47"/>
              </w:numPr>
              <w:spacing w:after="0" w:line="242" w:lineRule="auto"/>
              <w:ind w:hanging="142"/>
              <w:jc w:val="left"/>
            </w:pPr>
            <w:r>
              <w:rPr>
                <w:sz w:val="19"/>
              </w:rPr>
              <w:t>„Stavební úpravy a přístavba tělocvičny, Aš“ - budova, č. proj.</w:t>
            </w:r>
            <w:r>
              <w:rPr>
                <w:sz w:val="22"/>
              </w:rPr>
              <w:t xml:space="preserve"> </w:t>
            </w:r>
            <w:r>
              <w:rPr>
                <w:sz w:val="19"/>
              </w:rPr>
              <w:t xml:space="preserve">CZ.1.09/1.2 00/77.01206, </w:t>
            </w:r>
            <w:r>
              <w:rPr>
                <w:i/>
                <w:sz w:val="19"/>
              </w:rPr>
              <w:t>*</w:t>
            </w:r>
            <w:r>
              <w:rPr>
                <w:sz w:val="19"/>
              </w:rPr>
              <w:t xml:space="preserve">* 31.10.2020- podmínka dotace,  nová cena:  ……………………………………….……………………………………………………………………………………….… 6 467 157 Kč </w:t>
            </w:r>
          </w:p>
          <w:p w:rsidR="007043CB" w:rsidRDefault="004B5C2E">
            <w:pPr>
              <w:spacing w:after="15" w:line="259" w:lineRule="auto"/>
              <w:ind w:left="828" w:firstLine="0"/>
              <w:jc w:val="left"/>
            </w:pPr>
            <w:r>
              <w:rPr>
                <w:sz w:val="19"/>
              </w:rPr>
              <w:t xml:space="preserve"> </w:t>
            </w:r>
          </w:p>
          <w:p w:rsidR="007043CB" w:rsidRDefault="004B5C2E">
            <w:pPr>
              <w:numPr>
                <w:ilvl w:val="0"/>
                <w:numId w:val="47"/>
              </w:numPr>
              <w:spacing w:after="0" w:line="247" w:lineRule="auto"/>
              <w:ind w:hanging="142"/>
              <w:jc w:val="left"/>
            </w:pPr>
            <w:r>
              <w:rPr>
                <w:sz w:val="19"/>
              </w:rPr>
              <w:t>„Rekonstrukce komunikace Jižní ulice, Aš“ - stavba,  č. proj.</w:t>
            </w:r>
            <w:r>
              <w:rPr>
                <w:sz w:val="22"/>
              </w:rPr>
              <w:t xml:space="preserve"> </w:t>
            </w:r>
            <w:r>
              <w:rPr>
                <w:sz w:val="19"/>
              </w:rPr>
              <w:t xml:space="preserve">CZ.1.09/ 1.2.00/88.01355, </w:t>
            </w:r>
            <w:r>
              <w:rPr>
                <w:i/>
                <w:sz w:val="19"/>
              </w:rPr>
              <w:t xml:space="preserve">(odchylně od výše uvedeného se ujednává spoluúčast </w:t>
            </w:r>
            <w:r>
              <w:rPr>
                <w:i/>
                <w:sz w:val="17"/>
                <w:vertAlign w:val="superscript"/>
              </w:rPr>
              <w:t>5)</w:t>
            </w:r>
            <w:r>
              <w:rPr>
                <w:i/>
                <w:sz w:val="19"/>
              </w:rPr>
              <w:t xml:space="preserve">  pojištěného ve výši "povodeň" 10%-20 000Kč,  ostatní pojistná nebezpečí 5 000Kč), </w:t>
            </w:r>
            <w:r>
              <w:rPr>
                <w:sz w:val="19"/>
              </w:rPr>
              <w:t xml:space="preserve">  </w:t>
            </w:r>
            <w:r>
              <w:rPr>
                <w:i/>
                <w:sz w:val="19"/>
              </w:rPr>
              <w:t>*</w:t>
            </w:r>
            <w:r>
              <w:rPr>
                <w:sz w:val="19"/>
              </w:rPr>
              <w:t xml:space="preserve">* 31.10.2020 - </w:t>
            </w:r>
          </w:p>
          <w:p w:rsidR="007043CB" w:rsidRDefault="004B5C2E">
            <w:pPr>
              <w:spacing w:after="0" w:line="259" w:lineRule="auto"/>
              <w:ind w:left="250" w:firstLine="0"/>
              <w:jc w:val="left"/>
            </w:pPr>
            <w:r>
              <w:rPr>
                <w:sz w:val="19"/>
              </w:rPr>
              <w:t xml:space="preserve">podmínka dotace,  nová cena:  ……………………………………………………………………………………………………..….4 754 658 Kč </w:t>
            </w:r>
          </w:p>
          <w:p w:rsidR="007043CB" w:rsidRDefault="004B5C2E">
            <w:pPr>
              <w:spacing w:after="15" w:line="259" w:lineRule="auto"/>
              <w:ind w:left="828" w:firstLine="0"/>
              <w:jc w:val="left"/>
            </w:pPr>
            <w:r>
              <w:rPr>
                <w:sz w:val="19"/>
              </w:rPr>
              <w:t xml:space="preserve"> </w:t>
            </w:r>
          </w:p>
          <w:p w:rsidR="007043CB" w:rsidRDefault="004B5C2E">
            <w:pPr>
              <w:numPr>
                <w:ilvl w:val="0"/>
                <w:numId w:val="47"/>
              </w:numPr>
              <w:spacing w:after="0" w:line="246" w:lineRule="auto"/>
              <w:ind w:hanging="142"/>
              <w:jc w:val="left"/>
            </w:pPr>
            <w:r>
              <w:rPr>
                <w:sz w:val="19"/>
              </w:rPr>
              <w:t>„Rekonstrukce kanalizace a komunikace Poděbradova ulice, Aš“ - stavba,  č. proj.</w:t>
            </w:r>
            <w:r>
              <w:rPr>
                <w:sz w:val="22"/>
              </w:rPr>
              <w:t xml:space="preserve"> </w:t>
            </w:r>
            <w:r>
              <w:rPr>
                <w:sz w:val="19"/>
              </w:rPr>
              <w:t xml:space="preserve">CZ.1.09/ 1.2.00/88.01354,  </w:t>
            </w:r>
            <w:r>
              <w:rPr>
                <w:i/>
                <w:sz w:val="19"/>
              </w:rPr>
              <w:t xml:space="preserve">(odchylně od výše uvedeného se ujednává spoluúčast </w:t>
            </w:r>
            <w:r>
              <w:rPr>
                <w:i/>
                <w:sz w:val="17"/>
                <w:vertAlign w:val="superscript"/>
              </w:rPr>
              <w:t>5)</w:t>
            </w:r>
            <w:r>
              <w:rPr>
                <w:i/>
                <w:sz w:val="19"/>
              </w:rPr>
              <w:t xml:space="preserve">  pojištěného ve výši "povodeň" 10%-20 000Kč,  ostatní pojistná nebezpečí 5 000Kč), </w:t>
            </w:r>
            <w:r>
              <w:rPr>
                <w:sz w:val="19"/>
              </w:rPr>
              <w:t xml:space="preserve">  </w:t>
            </w:r>
          </w:p>
          <w:p w:rsidR="007043CB" w:rsidRDefault="004B5C2E">
            <w:pPr>
              <w:spacing w:after="0" w:line="259" w:lineRule="auto"/>
              <w:ind w:left="250" w:firstLine="0"/>
              <w:jc w:val="left"/>
            </w:pPr>
            <w:r>
              <w:rPr>
                <w:i/>
                <w:sz w:val="19"/>
              </w:rPr>
              <w:t>*</w:t>
            </w:r>
            <w:r>
              <w:rPr>
                <w:sz w:val="19"/>
              </w:rPr>
              <w:t xml:space="preserve">* 31.10.2020 - podmínka dotace,  nová cena:  ………………………………………………………………………………..….6 017 601 Kč </w:t>
            </w:r>
          </w:p>
          <w:p w:rsidR="007043CB" w:rsidRDefault="004B5C2E">
            <w:pPr>
              <w:spacing w:after="15" w:line="259" w:lineRule="auto"/>
              <w:ind w:left="828" w:firstLine="0"/>
              <w:jc w:val="left"/>
            </w:pPr>
            <w:r>
              <w:rPr>
                <w:sz w:val="19"/>
              </w:rPr>
              <w:t xml:space="preserve"> </w:t>
            </w:r>
          </w:p>
          <w:p w:rsidR="007043CB" w:rsidRDefault="004B5C2E">
            <w:pPr>
              <w:spacing w:after="2" w:line="243" w:lineRule="auto"/>
              <w:ind w:left="250" w:hanging="142"/>
              <w:jc w:val="left"/>
            </w:pPr>
            <w:r>
              <w:rPr>
                <w:rFonts w:ascii="Segoe UI Symbol" w:eastAsia="Segoe UI Symbol" w:hAnsi="Segoe UI Symbol" w:cs="Segoe UI Symbol"/>
                <w:sz w:val="19"/>
              </w:rPr>
              <w:t></w:t>
            </w:r>
            <w:r>
              <w:rPr>
                <w:rFonts w:ascii="Arial" w:eastAsia="Arial" w:hAnsi="Arial" w:cs="Arial"/>
                <w:sz w:val="19"/>
              </w:rPr>
              <w:t xml:space="preserve"> </w:t>
            </w:r>
            <w:r>
              <w:rPr>
                <w:sz w:val="19"/>
              </w:rPr>
              <w:t>„Revitalizace vnitrobloku Karlova a Moravská ulice, Aš“ - stavba,  č. proj.</w:t>
            </w:r>
            <w:r>
              <w:rPr>
                <w:sz w:val="22"/>
              </w:rPr>
              <w:t xml:space="preserve"> </w:t>
            </w:r>
            <w:r>
              <w:rPr>
                <w:sz w:val="19"/>
              </w:rPr>
              <w:t xml:space="preserve">CZ.1.09/ 1.2.00/77.01205,  </w:t>
            </w:r>
            <w:r>
              <w:rPr>
                <w:i/>
                <w:sz w:val="19"/>
              </w:rPr>
              <w:t xml:space="preserve">(odchylně od výše uvedeného se ujednává spoluúčast </w:t>
            </w:r>
            <w:r>
              <w:rPr>
                <w:i/>
                <w:sz w:val="17"/>
                <w:vertAlign w:val="superscript"/>
              </w:rPr>
              <w:t>5)</w:t>
            </w:r>
            <w:r>
              <w:rPr>
                <w:i/>
                <w:sz w:val="19"/>
              </w:rPr>
              <w:t xml:space="preserve">  pojištěného ve výši "povodeň" 10%-20 000Kč,  ostatní pojistná nebezpečí 5 000Kč), </w:t>
            </w:r>
            <w:r>
              <w:rPr>
                <w:sz w:val="19"/>
              </w:rPr>
              <w:t xml:space="preserve">      </w:t>
            </w:r>
          </w:p>
          <w:p w:rsidR="007043CB" w:rsidRDefault="004B5C2E">
            <w:pPr>
              <w:spacing w:after="0" w:line="259" w:lineRule="auto"/>
              <w:ind w:left="250" w:firstLine="0"/>
              <w:jc w:val="left"/>
            </w:pPr>
            <w:r>
              <w:rPr>
                <w:i/>
                <w:sz w:val="19"/>
              </w:rPr>
              <w:t>*</w:t>
            </w:r>
            <w:r>
              <w:rPr>
                <w:sz w:val="19"/>
              </w:rPr>
              <w:t xml:space="preserve">* 31.11.2020 - podmínka dotace,  nová cena:  ……………………………………………………………………………..….27 199 301 Kč </w:t>
            </w:r>
          </w:p>
          <w:p w:rsidR="007043CB" w:rsidRDefault="004B5C2E">
            <w:pPr>
              <w:spacing w:after="0" w:line="259" w:lineRule="auto"/>
              <w:ind w:left="108" w:firstLine="0"/>
              <w:jc w:val="left"/>
            </w:pPr>
            <w:r>
              <w:rPr>
                <w:sz w:val="19"/>
              </w:rPr>
              <w:t xml:space="preserve"> </w:t>
            </w:r>
          </w:p>
          <w:p w:rsidR="007043CB" w:rsidRDefault="004B5C2E">
            <w:pPr>
              <w:spacing w:after="0" w:line="259" w:lineRule="auto"/>
              <w:ind w:left="108" w:firstLine="0"/>
              <w:jc w:val="left"/>
            </w:pPr>
            <w:r>
              <w:rPr>
                <w:sz w:val="19"/>
              </w:rPr>
              <w:t xml:space="preserve"> </w:t>
            </w:r>
          </w:p>
          <w:p w:rsidR="007043CB" w:rsidRDefault="004B5C2E">
            <w:pPr>
              <w:spacing w:after="0" w:line="236" w:lineRule="auto"/>
              <w:ind w:left="108" w:firstLine="0"/>
            </w:pPr>
            <w:r>
              <w:rPr>
                <w:b/>
                <w:sz w:val="19"/>
              </w:rPr>
              <w:t xml:space="preserve">**Výše uvedené předměty lze z pojištění vyjmout nejdříve k datu uvedeném u každého předmětu a to formou dodatku podmínka dotace !! </w:t>
            </w:r>
          </w:p>
          <w:p w:rsidR="007043CB" w:rsidRDefault="004B5C2E">
            <w:pPr>
              <w:spacing w:after="0" w:line="259" w:lineRule="auto"/>
              <w:ind w:left="108" w:firstLine="0"/>
              <w:jc w:val="left"/>
            </w:pPr>
            <w:r>
              <w:rPr>
                <w:b/>
                <w:sz w:val="19"/>
              </w:rPr>
              <w:t xml:space="preserve"> </w:t>
            </w:r>
          </w:p>
          <w:p w:rsidR="007043CB" w:rsidRDefault="004B5C2E">
            <w:pPr>
              <w:spacing w:after="0" w:line="236" w:lineRule="auto"/>
              <w:ind w:left="108" w:firstLine="0"/>
            </w:pPr>
            <w:r>
              <w:rPr>
                <w:b/>
                <w:sz w:val="19"/>
              </w:rPr>
              <w:t xml:space="preserve">Není-li výslovně uvedeno u daného předmětu pojištění, nejsou předmětem pojištění nezpevněné cesty, vegetace a okrasné dřeviny,  vč. jejího  kácení či úprav nebo revitalizace !! </w:t>
            </w:r>
          </w:p>
          <w:p w:rsidR="007043CB" w:rsidRDefault="004B5C2E">
            <w:pPr>
              <w:spacing w:after="0" w:line="259" w:lineRule="auto"/>
              <w:ind w:left="108" w:firstLine="0"/>
              <w:jc w:val="left"/>
            </w:pPr>
            <w:r>
              <w:rPr>
                <w:b/>
                <w:sz w:val="19"/>
              </w:rPr>
              <w:t xml:space="preserve"> </w:t>
            </w:r>
          </w:p>
          <w:p w:rsidR="007043CB" w:rsidRDefault="004B5C2E">
            <w:pPr>
              <w:spacing w:after="0" w:line="259" w:lineRule="auto"/>
              <w:ind w:left="108" w:firstLine="0"/>
              <w:jc w:val="left"/>
            </w:pPr>
            <w:r>
              <w:rPr>
                <w:sz w:val="19"/>
              </w:rPr>
              <w:t>Další ujednání v článku II. odst. 3. Limity plnění  a dále v článku V. Zvláštní ujednání  této pojistné smlouvy .</w:t>
            </w:r>
            <w:r>
              <w:rPr>
                <w:b/>
              </w:rPr>
              <w:t xml:space="preserve"> </w:t>
            </w:r>
          </w:p>
        </w:tc>
      </w:tr>
    </w:tbl>
    <w:p w:rsidR="007043CB" w:rsidRDefault="004B5C2E">
      <w:pPr>
        <w:numPr>
          <w:ilvl w:val="0"/>
          <w:numId w:val="3"/>
        </w:numPr>
        <w:ind w:hanging="142"/>
      </w:pPr>
      <w:r>
        <w:t xml:space="preserve">není-li uvedeno, platí ustanovení čl. II. odst. 1.1. </w:t>
      </w:r>
    </w:p>
    <w:p w:rsidR="007043CB" w:rsidRDefault="004B5C2E">
      <w:pPr>
        <w:spacing w:after="0" w:line="259" w:lineRule="auto"/>
        <w:ind w:left="137" w:hanging="10"/>
        <w:jc w:val="left"/>
      </w:pPr>
      <w:r>
        <w:rPr>
          <w:b/>
          <w:sz w:val="20"/>
        </w:rPr>
        <w:t xml:space="preserve">2.2.1.  Pojištění pro případ odcizení </w:t>
      </w:r>
      <w:r>
        <w:rPr>
          <w:i/>
          <w:sz w:val="19"/>
        </w:rPr>
        <w:t>– upravuje se, včetně ujednání poznámky</w:t>
      </w:r>
      <w:r>
        <w:rPr>
          <w:sz w:val="20"/>
        </w:rPr>
        <w:t xml:space="preserve"> </w:t>
      </w:r>
    </w:p>
    <w:tbl>
      <w:tblPr>
        <w:tblStyle w:val="TableGrid"/>
        <w:tblW w:w="10320" w:type="dxa"/>
        <w:tblInd w:w="34" w:type="dxa"/>
        <w:tblCellMar>
          <w:top w:w="10" w:type="dxa"/>
          <w:left w:w="108" w:type="dxa"/>
        </w:tblCellMar>
        <w:tblLook w:val="04A0" w:firstRow="1" w:lastRow="0" w:firstColumn="1" w:lastColumn="0" w:noHBand="0" w:noVBand="1"/>
      </w:tblPr>
      <w:tblGrid>
        <w:gridCol w:w="828"/>
        <w:gridCol w:w="2825"/>
        <w:gridCol w:w="1274"/>
        <w:gridCol w:w="1277"/>
        <w:gridCol w:w="1416"/>
        <w:gridCol w:w="1405"/>
        <w:gridCol w:w="1295"/>
      </w:tblGrid>
      <w:tr w:rsidR="007043CB">
        <w:trPr>
          <w:trHeight w:val="238"/>
        </w:trPr>
        <w:tc>
          <w:tcPr>
            <w:tcW w:w="10320"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left"/>
            </w:pPr>
            <w:r>
              <w:rPr>
                <w:b/>
                <w:sz w:val="19"/>
              </w:rPr>
              <w:t xml:space="preserve">Místo pojištění: </w:t>
            </w:r>
            <w:r>
              <w:rPr>
                <w:sz w:val="19"/>
              </w:rPr>
              <w:t>Katastrální území spravované městem Aš, 352 01, ČR</w:t>
            </w:r>
            <w:r>
              <w:rPr>
                <w:b/>
                <w:sz w:val="19"/>
              </w:rPr>
              <w:t xml:space="preserve"> </w:t>
            </w:r>
          </w:p>
        </w:tc>
      </w:tr>
      <w:tr w:rsidR="007043CB">
        <w:trPr>
          <w:trHeight w:val="240"/>
        </w:trPr>
        <w:tc>
          <w:tcPr>
            <w:tcW w:w="10320"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left"/>
            </w:pPr>
            <w:r>
              <w:rPr>
                <w:b/>
                <w:sz w:val="19"/>
              </w:rPr>
              <w:t xml:space="preserve">Rozsah pojištění: </w:t>
            </w:r>
            <w:r>
              <w:rPr>
                <w:sz w:val="19"/>
              </w:rPr>
              <w:t>poj. nebezpečí "odcizení"</w:t>
            </w:r>
            <w:r>
              <w:rPr>
                <w:b/>
                <w:sz w:val="19"/>
              </w:rPr>
              <w:t xml:space="preserve"> </w:t>
            </w:r>
          </w:p>
        </w:tc>
      </w:tr>
      <w:tr w:rsidR="007043CB">
        <w:trPr>
          <w:trHeight w:val="240"/>
        </w:trPr>
        <w:tc>
          <w:tcPr>
            <w:tcW w:w="10320"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left"/>
            </w:pPr>
            <w:r>
              <w:rPr>
                <w:b/>
                <w:sz w:val="19"/>
              </w:rPr>
              <w:t xml:space="preserve">Pojištění se řídí: </w:t>
            </w:r>
            <w:r>
              <w:rPr>
                <w:sz w:val="19"/>
              </w:rPr>
              <w:t xml:space="preserve">VPP P-100/09, ZPP P-200/05 a doložkami </w:t>
            </w:r>
            <w:r>
              <w:t>DOB1, DOB3, DOB6, DOD1, DODC1, DOZ1, DOZ2, DOZ5, DOZ8</w:t>
            </w:r>
            <w:r>
              <w:rPr>
                <w:sz w:val="19"/>
              </w:rPr>
              <w:t xml:space="preserve"> </w:t>
            </w:r>
          </w:p>
        </w:tc>
      </w:tr>
      <w:tr w:rsidR="007043CB">
        <w:trPr>
          <w:trHeight w:val="1150"/>
        </w:trPr>
        <w:tc>
          <w:tcPr>
            <w:tcW w:w="828"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1" w:firstLine="0"/>
              <w:jc w:val="center"/>
            </w:pPr>
            <w:r>
              <w:rPr>
                <w:b/>
                <w:sz w:val="19"/>
              </w:rPr>
              <w:lastRenderedPageBreak/>
              <w:t xml:space="preserve">Poř. číslo </w:t>
            </w:r>
          </w:p>
        </w:tc>
        <w:tc>
          <w:tcPr>
            <w:tcW w:w="2825"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109" w:firstLine="0"/>
              <w:jc w:val="center"/>
            </w:pPr>
            <w:r>
              <w:rPr>
                <w:b/>
                <w:sz w:val="19"/>
              </w:rPr>
              <w:t xml:space="preserve">Předmět pojištění </w:t>
            </w:r>
          </w:p>
        </w:tc>
        <w:tc>
          <w:tcPr>
            <w:tcW w:w="1274"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45" w:hanging="45"/>
              <w:jc w:val="center"/>
            </w:pPr>
            <w:r>
              <w:rPr>
                <w:b/>
                <w:sz w:val="19"/>
              </w:rPr>
              <w:t xml:space="preserve">Agregovaná/ celková/ pojistná částka </w:t>
            </w:r>
          </w:p>
        </w:tc>
        <w:tc>
          <w:tcPr>
            <w:tcW w:w="1277"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17" w:firstLine="0"/>
              <w:jc w:val="left"/>
            </w:pPr>
            <w:r>
              <w:rPr>
                <w:b/>
                <w:sz w:val="19"/>
              </w:rPr>
              <w:t>Spoluúčast</w:t>
            </w:r>
            <w:r>
              <w:rPr>
                <w:sz w:val="17"/>
                <w:vertAlign w:val="superscript"/>
              </w:rPr>
              <w:t>5)</w:t>
            </w:r>
            <w:r>
              <w:rPr>
                <w:b/>
                <w:sz w:val="19"/>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center"/>
            </w:pPr>
            <w:r>
              <w:rPr>
                <w:b/>
                <w:sz w:val="19"/>
              </w:rPr>
              <w:t>Pojištění se sjednává*</w:t>
            </w:r>
            <w:r>
              <w:rPr>
                <w:b/>
                <w:sz w:val="17"/>
                <w:vertAlign w:val="superscript"/>
              </w:rPr>
              <w:t>1)2)9)</w:t>
            </w:r>
            <w:r>
              <w:rPr>
                <w:b/>
                <w:sz w:val="19"/>
              </w:rPr>
              <w:t xml:space="preserve"> </w:t>
            </w:r>
          </w:p>
        </w:tc>
        <w:tc>
          <w:tcPr>
            <w:tcW w:w="1405"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center"/>
            </w:pPr>
            <w:r>
              <w:rPr>
                <w:b/>
                <w:sz w:val="19"/>
              </w:rPr>
              <w:t>Maximální roční limit pojistného plnění</w:t>
            </w:r>
            <w:r>
              <w:rPr>
                <w:b/>
                <w:sz w:val="17"/>
                <w:vertAlign w:val="superscript"/>
              </w:rPr>
              <w:t>3)</w:t>
            </w:r>
            <w:r>
              <w:rPr>
                <w:b/>
                <w:sz w:val="19"/>
              </w:rPr>
              <w:t xml:space="preserve"> </w:t>
            </w:r>
          </w:p>
        </w:tc>
        <w:tc>
          <w:tcPr>
            <w:tcW w:w="1294"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59"/>
              <w:jc w:val="center"/>
            </w:pPr>
            <w:r>
              <w:rPr>
                <w:b/>
                <w:sz w:val="19"/>
              </w:rPr>
              <w:t>Limit pojistného plnění pro jednu poj. událost</w:t>
            </w:r>
            <w:r>
              <w:rPr>
                <w:b/>
                <w:sz w:val="17"/>
                <w:vertAlign w:val="superscript"/>
              </w:rPr>
              <w:t>4)</w:t>
            </w:r>
            <w:r>
              <w:rPr>
                <w:b/>
                <w:sz w:val="19"/>
              </w:rPr>
              <w:t xml:space="preserve"> </w:t>
            </w:r>
          </w:p>
        </w:tc>
      </w:tr>
      <w:tr w:rsidR="007043CB">
        <w:trPr>
          <w:trHeight w:val="2062"/>
        </w:trPr>
        <w:tc>
          <w:tcPr>
            <w:tcW w:w="828"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60" w:firstLine="0"/>
              <w:jc w:val="center"/>
            </w:pPr>
            <w:r>
              <w:rPr>
                <w:sz w:val="19"/>
              </w:rPr>
              <w:t xml:space="preserve"> </w:t>
            </w:r>
          </w:p>
          <w:p w:rsidR="007043CB" w:rsidRDefault="004B5C2E">
            <w:pPr>
              <w:spacing w:after="0" w:line="259" w:lineRule="auto"/>
              <w:ind w:left="0" w:right="110" w:firstLine="0"/>
              <w:jc w:val="center"/>
            </w:pPr>
            <w:r>
              <w:rPr>
                <w:sz w:val="19"/>
              </w:rPr>
              <w:t xml:space="preserve">1 </w:t>
            </w:r>
          </w:p>
          <w:p w:rsidR="007043CB" w:rsidRDefault="004B5C2E">
            <w:pPr>
              <w:spacing w:after="0" w:line="259" w:lineRule="auto"/>
              <w:ind w:left="0" w:right="60" w:firstLine="0"/>
              <w:jc w:val="center"/>
            </w:pPr>
            <w:r>
              <w:rPr>
                <w:sz w:val="19"/>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36" w:lineRule="auto"/>
              <w:ind w:left="0" w:right="136" w:firstLine="0"/>
            </w:pPr>
            <w:r>
              <w:rPr>
                <w:sz w:val="19"/>
              </w:rPr>
              <w:t xml:space="preserve">Soubor vlastních nemovitostí, stavebních součástí, včetně  příslušenství budov/ staveb,  trvale  instalované technologie, přípojek, rozvodů  kabelové TV, </w:t>
            </w:r>
          </w:p>
          <w:p w:rsidR="007043CB" w:rsidRDefault="004B5C2E">
            <w:pPr>
              <w:spacing w:after="0" w:line="259" w:lineRule="auto"/>
              <w:ind w:left="0" w:right="636" w:firstLine="0"/>
            </w:pPr>
            <w:r>
              <w:rPr>
                <w:sz w:val="19"/>
              </w:rPr>
              <w:t xml:space="preserve">další zařízení trvale instalované   -  evidované pojištěným v nemovitém majetku. </w:t>
            </w:r>
          </w:p>
        </w:tc>
        <w:tc>
          <w:tcPr>
            <w:tcW w:w="127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54" w:firstLine="0"/>
              <w:jc w:val="center"/>
            </w:pPr>
            <w:r>
              <w:rPr>
                <w:sz w:val="19"/>
              </w:rPr>
              <w:t xml:space="preserve">nesjednává se </w:t>
            </w:r>
          </w:p>
        </w:tc>
        <w:tc>
          <w:tcPr>
            <w:tcW w:w="1277"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11" w:firstLine="0"/>
              <w:jc w:val="center"/>
            </w:pPr>
            <w:r>
              <w:rPr>
                <w:sz w:val="19"/>
              </w:rPr>
              <w:t xml:space="preserve">1 000 Kč </w:t>
            </w:r>
          </w:p>
        </w:tc>
        <w:tc>
          <w:tcPr>
            <w:tcW w:w="1416"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06" w:firstLine="0"/>
              <w:jc w:val="center"/>
            </w:pPr>
            <w:r>
              <w:rPr>
                <w:sz w:val="19"/>
              </w:rPr>
              <w:t xml:space="preserve">první riziko  </w:t>
            </w:r>
          </w:p>
          <w:p w:rsidR="007043CB" w:rsidRDefault="004B5C2E">
            <w:pPr>
              <w:spacing w:after="0" w:line="259" w:lineRule="auto"/>
              <w:ind w:left="0" w:right="107" w:firstLine="0"/>
              <w:jc w:val="center"/>
            </w:pPr>
            <w:r>
              <w:rPr>
                <w:sz w:val="19"/>
              </w:rPr>
              <w:t xml:space="preserve">nová cena </w:t>
            </w:r>
          </w:p>
        </w:tc>
        <w:tc>
          <w:tcPr>
            <w:tcW w:w="1405"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04" w:firstLine="0"/>
              <w:jc w:val="center"/>
            </w:pPr>
            <w:r>
              <w:rPr>
                <w:sz w:val="19"/>
              </w:rPr>
              <w:t xml:space="preserve">300 000 Kč </w:t>
            </w:r>
          </w:p>
        </w:tc>
        <w:tc>
          <w:tcPr>
            <w:tcW w:w="129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6" w:right="61" w:firstLine="0"/>
              <w:jc w:val="center"/>
            </w:pPr>
            <w:r>
              <w:rPr>
                <w:sz w:val="19"/>
              </w:rPr>
              <w:t xml:space="preserve">nesjednává se </w:t>
            </w:r>
          </w:p>
        </w:tc>
      </w:tr>
      <w:tr w:rsidR="007043CB">
        <w:trPr>
          <w:trHeight w:val="1201"/>
        </w:trPr>
        <w:tc>
          <w:tcPr>
            <w:tcW w:w="828"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60" w:firstLine="0"/>
              <w:jc w:val="center"/>
            </w:pPr>
            <w:r>
              <w:rPr>
                <w:sz w:val="19"/>
              </w:rPr>
              <w:t xml:space="preserve"> </w:t>
            </w:r>
          </w:p>
          <w:p w:rsidR="007043CB" w:rsidRDefault="004B5C2E">
            <w:pPr>
              <w:spacing w:after="0" w:line="259" w:lineRule="auto"/>
              <w:ind w:left="0" w:right="110" w:firstLine="0"/>
              <w:jc w:val="center"/>
            </w:pPr>
            <w:r>
              <w:rPr>
                <w:sz w:val="19"/>
              </w:rPr>
              <w:t xml:space="preserve">2 </w:t>
            </w:r>
          </w:p>
          <w:p w:rsidR="007043CB" w:rsidRDefault="004B5C2E">
            <w:pPr>
              <w:spacing w:after="0" w:line="259" w:lineRule="auto"/>
              <w:ind w:left="0" w:right="60" w:firstLine="0"/>
              <w:jc w:val="center"/>
            </w:pPr>
            <w:r>
              <w:rPr>
                <w:sz w:val="19"/>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7043CB" w:rsidRDefault="004B5C2E">
            <w:pPr>
              <w:spacing w:after="141" w:line="259" w:lineRule="auto"/>
              <w:ind w:left="0" w:firstLine="0"/>
              <w:jc w:val="left"/>
            </w:pPr>
            <w:r>
              <w:rPr>
                <w:sz w:val="4"/>
              </w:rPr>
              <w:t xml:space="preserve"> </w:t>
            </w:r>
          </w:p>
          <w:p w:rsidR="007043CB" w:rsidRDefault="004B5C2E">
            <w:pPr>
              <w:spacing w:after="0" w:line="259" w:lineRule="auto"/>
              <w:ind w:left="0" w:right="123" w:firstLine="0"/>
            </w:pPr>
            <w:r>
              <w:rPr>
                <w:sz w:val="19"/>
              </w:rPr>
              <w:t>Soubor budov, staveb</w:t>
            </w:r>
            <w:r>
              <w:rPr>
                <w:sz w:val="6"/>
              </w:rPr>
              <w:t xml:space="preserve"> </w:t>
            </w:r>
            <w:r>
              <w:rPr>
                <w:sz w:val="19"/>
              </w:rPr>
              <w:t>- pořízené na základě dotačních programů, pojištěné</w:t>
            </w:r>
            <w:r>
              <w:rPr>
                <w:sz w:val="8"/>
              </w:rPr>
              <w:t xml:space="preserve"> </w:t>
            </w:r>
            <w:r>
              <w:rPr>
                <w:sz w:val="19"/>
              </w:rPr>
              <w:t>touto</w:t>
            </w:r>
            <w:r>
              <w:rPr>
                <w:sz w:val="8"/>
              </w:rPr>
              <w:t xml:space="preserve"> </w:t>
            </w:r>
            <w:r>
              <w:rPr>
                <w:sz w:val="19"/>
              </w:rPr>
              <w:t>smlouvo</w:t>
            </w:r>
            <w:r>
              <w:rPr>
                <w:sz w:val="8"/>
              </w:rPr>
              <w:t xml:space="preserve"> </w:t>
            </w:r>
            <w:r>
              <w:rPr>
                <w:sz w:val="19"/>
              </w:rPr>
              <w:t xml:space="preserve">v rámci živelního pojištění, vč. trvale spojeného mobiliáře se zemí. </w:t>
            </w:r>
          </w:p>
        </w:tc>
        <w:tc>
          <w:tcPr>
            <w:tcW w:w="127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54" w:firstLine="0"/>
              <w:jc w:val="center"/>
            </w:pPr>
            <w:r>
              <w:rPr>
                <w:sz w:val="19"/>
              </w:rPr>
              <w:t xml:space="preserve">nesjednává se </w:t>
            </w:r>
          </w:p>
        </w:tc>
        <w:tc>
          <w:tcPr>
            <w:tcW w:w="1277"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11" w:firstLine="0"/>
              <w:jc w:val="center"/>
            </w:pPr>
            <w:r>
              <w:rPr>
                <w:sz w:val="19"/>
              </w:rPr>
              <w:t xml:space="preserve">1 000 Kč </w:t>
            </w:r>
          </w:p>
        </w:tc>
        <w:tc>
          <w:tcPr>
            <w:tcW w:w="1416"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06" w:firstLine="0"/>
              <w:jc w:val="center"/>
            </w:pPr>
            <w:r>
              <w:rPr>
                <w:sz w:val="19"/>
              </w:rPr>
              <w:t xml:space="preserve">první riziko  </w:t>
            </w:r>
          </w:p>
          <w:p w:rsidR="007043CB" w:rsidRDefault="004B5C2E">
            <w:pPr>
              <w:spacing w:after="0" w:line="259" w:lineRule="auto"/>
              <w:ind w:left="0" w:right="107" w:firstLine="0"/>
              <w:jc w:val="center"/>
            </w:pPr>
            <w:r>
              <w:rPr>
                <w:sz w:val="19"/>
              </w:rPr>
              <w:t xml:space="preserve">nová cena </w:t>
            </w:r>
          </w:p>
        </w:tc>
        <w:tc>
          <w:tcPr>
            <w:tcW w:w="1405"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53" w:firstLine="0"/>
              <w:jc w:val="left"/>
            </w:pPr>
            <w:r>
              <w:rPr>
                <w:sz w:val="19"/>
              </w:rPr>
              <w:t xml:space="preserve">1 000 000 Kč </w:t>
            </w:r>
          </w:p>
        </w:tc>
        <w:tc>
          <w:tcPr>
            <w:tcW w:w="129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6" w:right="61" w:firstLine="0"/>
              <w:jc w:val="center"/>
            </w:pPr>
            <w:r>
              <w:rPr>
                <w:sz w:val="19"/>
              </w:rPr>
              <w:t xml:space="preserve">nesjednává se </w:t>
            </w:r>
          </w:p>
        </w:tc>
      </w:tr>
      <w:tr w:rsidR="007043CB">
        <w:trPr>
          <w:trHeight w:val="1198"/>
        </w:trPr>
        <w:tc>
          <w:tcPr>
            <w:tcW w:w="828"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60" w:firstLine="0"/>
              <w:jc w:val="center"/>
            </w:pPr>
            <w:r>
              <w:rPr>
                <w:sz w:val="19"/>
              </w:rPr>
              <w:t xml:space="preserve"> </w:t>
            </w:r>
          </w:p>
          <w:p w:rsidR="007043CB" w:rsidRDefault="004B5C2E">
            <w:pPr>
              <w:spacing w:after="0" w:line="259" w:lineRule="auto"/>
              <w:ind w:left="0" w:right="110" w:firstLine="0"/>
              <w:jc w:val="center"/>
            </w:pPr>
            <w:r>
              <w:rPr>
                <w:sz w:val="19"/>
              </w:rPr>
              <w:t xml:space="preserve">3 </w:t>
            </w:r>
          </w:p>
          <w:p w:rsidR="007043CB" w:rsidRDefault="004B5C2E">
            <w:pPr>
              <w:spacing w:after="0" w:line="259" w:lineRule="auto"/>
              <w:ind w:left="0" w:right="60" w:firstLine="0"/>
              <w:jc w:val="center"/>
            </w:pPr>
            <w:r>
              <w:rPr>
                <w:sz w:val="19"/>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7043CB" w:rsidRDefault="004B5C2E">
            <w:pPr>
              <w:spacing w:after="141" w:line="259" w:lineRule="auto"/>
              <w:ind w:left="0" w:firstLine="0"/>
              <w:jc w:val="left"/>
            </w:pPr>
            <w:r>
              <w:rPr>
                <w:sz w:val="4"/>
              </w:rPr>
              <w:t xml:space="preserve"> </w:t>
            </w:r>
          </w:p>
          <w:p w:rsidR="007043CB" w:rsidRDefault="004B5C2E">
            <w:pPr>
              <w:spacing w:after="0" w:line="259" w:lineRule="auto"/>
              <w:ind w:left="0" w:right="136" w:firstLine="0"/>
            </w:pPr>
            <w:r>
              <w:rPr>
                <w:sz w:val="19"/>
              </w:rPr>
              <w:t xml:space="preserve">Soubor movitých věcí vč. strojů a elektroniky,   soubor  zásob, soubor věcí zvláštní hodnoty  a soubor písemností - vlastní i cizí převzaté či užívané. </w:t>
            </w:r>
          </w:p>
        </w:tc>
        <w:tc>
          <w:tcPr>
            <w:tcW w:w="127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54" w:firstLine="0"/>
              <w:jc w:val="center"/>
            </w:pPr>
            <w:r>
              <w:rPr>
                <w:sz w:val="19"/>
              </w:rPr>
              <w:t xml:space="preserve">nesjednává se </w:t>
            </w:r>
          </w:p>
        </w:tc>
        <w:tc>
          <w:tcPr>
            <w:tcW w:w="1277"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11" w:firstLine="0"/>
              <w:jc w:val="center"/>
            </w:pPr>
            <w:r>
              <w:rPr>
                <w:sz w:val="19"/>
              </w:rPr>
              <w:t xml:space="preserve">1 000 Kč </w:t>
            </w:r>
          </w:p>
        </w:tc>
        <w:tc>
          <w:tcPr>
            <w:tcW w:w="1416"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06" w:firstLine="0"/>
              <w:jc w:val="center"/>
            </w:pPr>
            <w:r>
              <w:rPr>
                <w:sz w:val="19"/>
              </w:rPr>
              <w:t xml:space="preserve">první riziko  </w:t>
            </w:r>
          </w:p>
          <w:p w:rsidR="007043CB" w:rsidRDefault="004B5C2E">
            <w:pPr>
              <w:spacing w:after="0" w:line="259" w:lineRule="auto"/>
              <w:ind w:left="0" w:right="107" w:firstLine="0"/>
              <w:jc w:val="center"/>
            </w:pPr>
            <w:r>
              <w:rPr>
                <w:sz w:val="19"/>
              </w:rPr>
              <w:t xml:space="preserve">nová cena </w:t>
            </w:r>
          </w:p>
        </w:tc>
        <w:tc>
          <w:tcPr>
            <w:tcW w:w="1405"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53" w:firstLine="0"/>
              <w:jc w:val="left"/>
            </w:pPr>
            <w:r>
              <w:rPr>
                <w:sz w:val="19"/>
              </w:rPr>
              <w:t xml:space="preserve">1 000 000 Kč </w:t>
            </w:r>
          </w:p>
        </w:tc>
        <w:tc>
          <w:tcPr>
            <w:tcW w:w="129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6" w:right="61" w:firstLine="0"/>
              <w:jc w:val="center"/>
            </w:pPr>
            <w:r>
              <w:rPr>
                <w:sz w:val="19"/>
              </w:rPr>
              <w:t xml:space="preserve">nesjednává se </w:t>
            </w:r>
          </w:p>
        </w:tc>
      </w:tr>
      <w:tr w:rsidR="007043CB">
        <w:trPr>
          <w:trHeight w:val="694"/>
        </w:trPr>
        <w:tc>
          <w:tcPr>
            <w:tcW w:w="828"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60" w:firstLine="0"/>
              <w:jc w:val="center"/>
            </w:pPr>
            <w:r>
              <w:rPr>
                <w:sz w:val="19"/>
              </w:rPr>
              <w:t xml:space="preserve"> </w:t>
            </w:r>
          </w:p>
          <w:p w:rsidR="007043CB" w:rsidRDefault="004B5C2E">
            <w:pPr>
              <w:spacing w:after="0" w:line="259" w:lineRule="auto"/>
              <w:ind w:left="0" w:right="110" w:firstLine="0"/>
              <w:jc w:val="center"/>
            </w:pPr>
            <w:r>
              <w:rPr>
                <w:sz w:val="19"/>
              </w:rPr>
              <w:t xml:space="preserve">4 </w:t>
            </w:r>
          </w:p>
          <w:p w:rsidR="007043CB" w:rsidRDefault="004B5C2E">
            <w:pPr>
              <w:spacing w:after="0" w:line="259" w:lineRule="auto"/>
              <w:ind w:left="0" w:right="60" w:firstLine="0"/>
              <w:jc w:val="center"/>
            </w:pPr>
            <w:r>
              <w:rPr>
                <w:sz w:val="19"/>
              </w:rPr>
              <w:t xml:space="preserve"> </w:t>
            </w:r>
          </w:p>
        </w:tc>
        <w:tc>
          <w:tcPr>
            <w:tcW w:w="2825"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firstLine="0"/>
              <w:jc w:val="left"/>
            </w:pPr>
            <w:r>
              <w:rPr>
                <w:sz w:val="19"/>
              </w:rPr>
              <w:t xml:space="preserve">Soubor  cenností - vlastní i cizí převzaté či užívané. </w:t>
            </w:r>
          </w:p>
        </w:tc>
        <w:tc>
          <w:tcPr>
            <w:tcW w:w="127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54" w:firstLine="0"/>
              <w:jc w:val="center"/>
            </w:pPr>
            <w:r>
              <w:rPr>
                <w:sz w:val="19"/>
              </w:rPr>
              <w:t xml:space="preserve">nesjednává se </w:t>
            </w:r>
          </w:p>
        </w:tc>
        <w:tc>
          <w:tcPr>
            <w:tcW w:w="1277"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11" w:firstLine="0"/>
              <w:jc w:val="center"/>
            </w:pPr>
            <w:r>
              <w:rPr>
                <w:sz w:val="19"/>
              </w:rPr>
              <w:t xml:space="preserve">1 000 Kč </w:t>
            </w:r>
          </w:p>
        </w:tc>
        <w:tc>
          <w:tcPr>
            <w:tcW w:w="1416"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11" w:firstLine="0"/>
              <w:jc w:val="center"/>
            </w:pPr>
            <w:r>
              <w:rPr>
                <w:sz w:val="19"/>
              </w:rPr>
              <w:t xml:space="preserve">první riziko </w:t>
            </w:r>
          </w:p>
        </w:tc>
        <w:tc>
          <w:tcPr>
            <w:tcW w:w="1405"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53" w:firstLine="0"/>
              <w:jc w:val="left"/>
            </w:pPr>
            <w:r>
              <w:rPr>
                <w:sz w:val="19"/>
              </w:rPr>
              <w:t xml:space="preserve">1 000 000 Kč </w:t>
            </w:r>
          </w:p>
        </w:tc>
        <w:tc>
          <w:tcPr>
            <w:tcW w:w="129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6" w:right="61" w:firstLine="0"/>
              <w:jc w:val="center"/>
            </w:pPr>
            <w:r>
              <w:rPr>
                <w:sz w:val="19"/>
              </w:rPr>
              <w:t xml:space="preserve">nesjednává se </w:t>
            </w:r>
          </w:p>
        </w:tc>
      </w:tr>
      <w:tr w:rsidR="007043CB">
        <w:trPr>
          <w:trHeight w:val="1882"/>
        </w:trPr>
        <w:tc>
          <w:tcPr>
            <w:tcW w:w="828"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60" w:firstLine="0"/>
              <w:jc w:val="center"/>
            </w:pPr>
            <w:r>
              <w:rPr>
                <w:sz w:val="19"/>
              </w:rPr>
              <w:t xml:space="preserve"> </w:t>
            </w:r>
          </w:p>
          <w:p w:rsidR="007043CB" w:rsidRDefault="004B5C2E">
            <w:pPr>
              <w:spacing w:after="0" w:line="259" w:lineRule="auto"/>
              <w:ind w:left="0" w:right="110" w:firstLine="0"/>
              <w:jc w:val="center"/>
            </w:pPr>
            <w:r>
              <w:rPr>
                <w:sz w:val="19"/>
              </w:rPr>
              <w:t xml:space="preserve">5 </w:t>
            </w:r>
          </w:p>
          <w:p w:rsidR="007043CB" w:rsidRDefault="004B5C2E">
            <w:pPr>
              <w:spacing w:after="0" w:line="259" w:lineRule="auto"/>
              <w:ind w:left="0" w:right="60" w:firstLine="0"/>
              <w:jc w:val="center"/>
            </w:pPr>
            <w:r>
              <w:rPr>
                <w:sz w:val="19"/>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7043CB" w:rsidRDefault="004B5C2E">
            <w:pPr>
              <w:spacing w:after="141" w:line="259" w:lineRule="auto"/>
              <w:ind w:left="0" w:firstLine="0"/>
              <w:jc w:val="left"/>
            </w:pPr>
            <w:r>
              <w:rPr>
                <w:sz w:val="4"/>
              </w:rPr>
              <w:t xml:space="preserve"> </w:t>
            </w:r>
          </w:p>
          <w:p w:rsidR="007043CB" w:rsidRDefault="004B5C2E">
            <w:pPr>
              <w:spacing w:after="0" w:line="259" w:lineRule="auto"/>
              <w:ind w:left="0" w:right="513" w:firstLine="0"/>
            </w:pPr>
            <w:r>
              <w:rPr>
                <w:sz w:val="19"/>
              </w:rPr>
              <w:t xml:space="preserve">Okrasné dřeviny „Stromy – jeřabiny“  u cyklostezky vybudované dle dotačního projektu č. 175 - Operační program Přeshraniční spolupráce Cíl 3 Česká republika - Svobodný stát Bavorsko 2007 - 2013 </w:t>
            </w:r>
          </w:p>
        </w:tc>
        <w:tc>
          <w:tcPr>
            <w:tcW w:w="127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60" w:firstLine="0"/>
              <w:jc w:val="center"/>
            </w:pPr>
            <w:r>
              <w:rPr>
                <w:sz w:val="19"/>
              </w:rPr>
              <w:t xml:space="preserve"> </w:t>
            </w:r>
          </w:p>
          <w:p w:rsidR="007043CB" w:rsidRDefault="004B5C2E">
            <w:pPr>
              <w:spacing w:after="0" w:line="259" w:lineRule="auto"/>
              <w:ind w:left="0" w:right="54" w:firstLine="0"/>
              <w:jc w:val="center"/>
            </w:pPr>
            <w:r>
              <w:rPr>
                <w:sz w:val="19"/>
              </w:rPr>
              <w:t xml:space="preserve">nesjednává se </w:t>
            </w:r>
          </w:p>
        </w:tc>
        <w:tc>
          <w:tcPr>
            <w:tcW w:w="1277"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11" w:firstLine="0"/>
              <w:jc w:val="center"/>
            </w:pPr>
            <w:r>
              <w:rPr>
                <w:sz w:val="19"/>
              </w:rPr>
              <w:t xml:space="preserve">1 000 Kč </w:t>
            </w:r>
          </w:p>
        </w:tc>
        <w:tc>
          <w:tcPr>
            <w:tcW w:w="1416"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228" w:firstLine="0"/>
              <w:jc w:val="right"/>
            </w:pPr>
            <w:r>
              <w:rPr>
                <w:sz w:val="19"/>
              </w:rPr>
              <w:t xml:space="preserve">první riziko     </w:t>
            </w:r>
          </w:p>
          <w:p w:rsidR="007043CB" w:rsidRDefault="004B5C2E">
            <w:pPr>
              <w:spacing w:after="0" w:line="259" w:lineRule="auto"/>
              <w:ind w:left="0" w:right="108" w:firstLine="0"/>
              <w:jc w:val="center"/>
            </w:pPr>
            <w:r>
              <w:rPr>
                <w:sz w:val="19"/>
              </w:rPr>
              <w:t xml:space="preserve">jiná cena  </w:t>
            </w:r>
          </w:p>
        </w:tc>
        <w:tc>
          <w:tcPr>
            <w:tcW w:w="1405"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04" w:firstLine="0"/>
              <w:jc w:val="center"/>
            </w:pPr>
            <w:r>
              <w:rPr>
                <w:sz w:val="19"/>
              </w:rPr>
              <w:t xml:space="preserve">75 880 Kč </w:t>
            </w:r>
          </w:p>
        </w:tc>
        <w:tc>
          <w:tcPr>
            <w:tcW w:w="129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6" w:right="61" w:firstLine="0"/>
              <w:jc w:val="center"/>
            </w:pPr>
            <w:r>
              <w:rPr>
                <w:sz w:val="19"/>
              </w:rPr>
              <w:t xml:space="preserve">nesjednává se </w:t>
            </w:r>
          </w:p>
        </w:tc>
      </w:tr>
      <w:tr w:rsidR="007043CB">
        <w:trPr>
          <w:trHeight w:val="1198"/>
        </w:trPr>
        <w:tc>
          <w:tcPr>
            <w:tcW w:w="828"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60" w:firstLine="0"/>
              <w:jc w:val="center"/>
            </w:pPr>
            <w:r>
              <w:rPr>
                <w:sz w:val="19"/>
              </w:rPr>
              <w:t xml:space="preserve"> </w:t>
            </w:r>
          </w:p>
          <w:p w:rsidR="007043CB" w:rsidRDefault="004B5C2E">
            <w:pPr>
              <w:spacing w:after="0" w:line="259" w:lineRule="auto"/>
              <w:ind w:left="0" w:right="110" w:firstLine="0"/>
              <w:jc w:val="center"/>
            </w:pPr>
            <w:r>
              <w:rPr>
                <w:sz w:val="19"/>
              </w:rPr>
              <w:t xml:space="preserve">6 </w:t>
            </w:r>
          </w:p>
          <w:p w:rsidR="007043CB" w:rsidRDefault="004B5C2E">
            <w:pPr>
              <w:spacing w:after="0" w:line="259" w:lineRule="auto"/>
              <w:ind w:left="0" w:right="60" w:firstLine="0"/>
              <w:jc w:val="center"/>
            </w:pPr>
            <w:r>
              <w:rPr>
                <w:sz w:val="19"/>
              </w:rPr>
              <w:t xml:space="preserve"> </w:t>
            </w:r>
          </w:p>
        </w:tc>
        <w:tc>
          <w:tcPr>
            <w:tcW w:w="2825" w:type="dxa"/>
            <w:tcBorders>
              <w:top w:val="single" w:sz="4" w:space="0" w:color="000000"/>
              <w:left w:val="single" w:sz="4" w:space="0" w:color="000000"/>
              <w:bottom w:val="single" w:sz="4" w:space="0" w:color="000000"/>
              <w:right w:val="single" w:sz="4" w:space="0" w:color="000000"/>
            </w:tcBorders>
          </w:tcPr>
          <w:p w:rsidR="007043CB" w:rsidRDefault="004B5C2E">
            <w:pPr>
              <w:spacing w:after="141" w:line="259" w:lineRule="auto"/>
              <w:ind w:left="0" w:firstLine="0"/>
              <w:jc w:val="left"/>
            </w:pPr>
            <w:r>
              <w:rPr>
                <w:sz w:val="4"/>
              </w:rPr>
              <w:t xml:space="preserve"> </w:t>
            </w:r>
          </w:p>
          <w:p w:rsidR="007043CB" w:rsidRDefault="004B5C2E">
            <w:pPr>
              <w:spacing w:after="0" w:line="259" w:lineRule="auto"/>
              <w:ind w:left="0" w:right="92" w:firstLine="0"/>
              <w:jc w:val="left"/>
            </w:pPr>
            <w:r>
              <w:rPr>
                <w:sz w:val="19"/>
              </w:rPr>
              <w:t xml:space="preserve">Okrasné dřeviny „36 stromů, 160 keřů“ dotačního projektu  č. CZ.1.09/1.2.00/63 .01011  Revitalizace Goethova náměstí v Aši,  z 2014. </w:t>
            </w:r>
          </w:p>
        </w:tc>
        <w:tc>
          <w:tcPr>
            <w:tcW w:w="127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54" w:firstLine="0"/>
              <w:jc w:val="center"/>
            </w:pPr>
            <w:r>
              <w:rPr>
                <w:sz w:val="19"/>
              </w:rPr>
              <w:t xml:space="preserve">nesjednává se </w:t>
            </w:r>
          </w:p>
        </w:tc>
        <w:tc>
          <w:tcPr>
            <w:tcW w:w="1277"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11" w:firstLine="0"/>
              <w:jc w:val="center"/>
            </w:pPr>
            <w:r>
              <w:rPr>
                <w:sz w:val="19"/>
              </w:rPr>
              <w:t xml:space="preserve">1 000 Kč </w:t>
            </w:r>
          </w:p>
        </w:tc>
        <w:tc>
          <w:tcPr>
            <w:tcW w:w="1416"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228" w:firstLine="0"/>
              <w:jc w:val="right"/>
            </w:pPr>
            <w:r>
              <w:rPr>
                <w:sz w:val="19"/>
              </w:rPr>
              <w:t xml:space="preserve">první riziko     </w:t>
            </w:r>
          </w:p>
          <w:p w:rsidR="007043CB" w:rsidRDefault="004B5C2E">
            <w:pPr>
              <w:spacing w:after="0" w:line="259" w:lineRule="auto"/>
              <w:ind w:left="0" w:right="108" w:firstLine="0"/>
              <w:jc w:val="center"/>
            </w:pPr>
            <w:r>
              <w:rPr>
                <w:sz w:val="19"/>
              </w:rPr>
              <w:t xml:space="preserve">jiná cena </w:t>
            </w:r>
          </w:p>
        </w:tc>
        <w:tc>
          <w:tcPr>
            <w:tcW w:w="1405"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04" w:firstLine="0"/>
              <w:jc w:val="center"/>
            </w:pPr>
            <w:r>
              <w:rPr>
                <w:sz w:val="19"/>
              </w:rPr>
              <w:t xml:space="preserve">131 951 Kč </w:t>
            </w:r>
          </w:p>
        </w:tc>
        <w:tc>
          <w:tcPr>
            <w:tcW w:w="129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6" w:right="61" w:firstLine="0"/>
              <w:jc w:val="center"/>
            </w:pPr>
            <w:r>
              <w:rPr>
                <w:sz w:val="19"/>
              </w:rPr>
              <w:t xml:space="preserve">nesjednává se </w:t>
            </w:r>
          </w:p>
        </w:tc>
      </w:tr>
      <w:tr w:rsidR="007043CB">
        <w:trPr>
          <w:trHeight w:val="5362"/>
        </w:trPr>
        <w:tc>
          <w:tcPr>
            <w:tcW w:w="10320"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left"/>
            </w:pPr>
            <w:r>
              <w:rPr>
                <w:b/>
              </w:rPr>
              <w:lastRenderedPageBreak/>
              <w:t xml:space="preserve">Poznámky:  </w:t>
            </w:r>
            <w:r>
              <w:rPr>
                <w:b/>
                <w:sz w:val="19"/>
              </w:rPr>
              <w:t xml:space="preserve">Ujednává se k pojištění souboru nemovitostí : </w:t>
            </w:r>
          </w:p>
          <w:p w:rsidR="007043CB" w:rsidRDefault="004B5C2E">
            <w:pPr>
              <w:spacing w:after="162" w:line="259" w:lineRule="auto"/>
              <w:ind w:left="0" w:firstLine="0"/>
              <w:jc w:val="left"/>
            </w:pPr>
            <w:r>
              <w:rPr>
                <w:b/>
                <w:sz w:val="2"/>
              </w:rPr>
              <w:t xml:space="preserve"> </w:t>
            </w:r>
          </w:p>
          <w:p w:rsidR="007043CB" w:rsidRDefault="004B5C2E">
            <w:pPr>
              <w:numPr>
                <w:ilvl w:val="0"/>
                <w:numId w:val="48"/>
              </w:numPr>
              <w:spacing w:after="0" w:line="236" w:lineRule="auto"/>
              <w:ind w:firstLine="0"/>
              <w:jc w:val="left"/>
            </w:pPr>
            <w:r>
              <w:rPr>
                <w:sz w:val="19"/>
              </w:rPr>
              <w:t xml:space="preserve">Pojištění se vztahuje též na vlastní části nemovitosti (včetně vlastního podílu na společných částech domu), nacházející   se v postupně odprodávané  budově a to až do doby úplného prodeje,  jedná se především o bytové domy  prodávané po     ne/bytových jednotkách. </w:t>
            </w:r>
          </w:p>
          <w:p w:rsidR="007043CB" w:rsidRDefault="004B5C2E">
            <w:pPr>
              <w:numPr>
                <w:ilvl w:val="0"/>
                <w:numId w:val="48"/>
              </w:numPr>
              <w:spacing w:after="0" w:line="236" w:lineRule="auto"/>
              <w:ind w:firstLine="0"/>
              <w:jc w:val="left"/>
            </w:pPr>
            <w:r>
              <w:rPr>
                <w:sz w:val="19"/>
              </w:rPr>
              <w:t xml:space="preserve">Pojištění se  vztahuje též na veřejné osvětlení/ rozhlas  vč. sloupů/ patek/ elektroinstalace / konstrukčního upevnění         a dále  trvale instalované ozvučení/ osvětlení nemovitostí, systémy klima/ zabezpečení/ EZS - EPS;    </w:t>
            </w:r>
          </w:p>
          <w:p w:rsidR="007043CB" w:rsidRDefault="004B5C2E">
            <w:pPr>
              <w:spacing w:after="141" w:line="259" w:lineRule="auto"/>
              <w:ind w:left="0" w:firstLine="0"/>
              <w:jc w:val="left"/>
            </w:pPr>
            <w:r>
              <w:rPr>
                <w:sz w:val="4"/>
              </w:rPr>
              <w:t xml:space="preserve"> </w:t>
            </w:r>
          </w:p>
          <w:p w:rsidR="007043CB" w:rsidRDefault="004B5C2E">
            <w:pPr>
              <w:numPr>
                <w:ilvl w:val="0"/>
                <w:numId w:val="48"/>
              </w:numPr>
              <w:spacing w:after="0" w:line="236" w:lineRule="auto"/>
              <w:ind w:firstLine="0"/>
              <w:jc w:val="left"/>
            </w:pPr>
            <w:r>
              <w:rPr>
                <w:sz w:val="19"/>
              </w:rPr>
              <w:t xml:space="preserve">Pojištění se  vztahuje též na drobné stavby a stavební součásti - především zastávky BUS, vybavení dětských areálů / odpočinkových zón,  infozařízení/ značení,  kašny / pomníky / památníky,   zábradlí /  litinové sloupky s řetězy a ozdobné kovové koše, litinové mříže kolem stromů,  vždy však pevně spojené se zemí/budovou/stavbou.                                              </w:t>
            </w:r>
          </w:p>
          <w:p w:rsidR="007043CB" w:rsidRDefault="004B5C2E">
            <w:pPr>
              <w:numPr>
                <w:ilvl w:val="0"/>
                <w:numId w:val="48"/>
              </w:numPr>
              <w:spacing w:after="0" w:line="250" w:lineRule="auto"/>
              <w:ind w:firstLine="0"/>
              <w:jc w:val="left"/>
            </w:pPr>
            <w:r>
              <w:rPr>
                <w:sz w:val="19"/>
              </w:rPr>
              <w:t>Kašny / pomníky / památníky, sousoší a věci historické či umělecké hodnoty  jsou  pojištěny na obvyklou cenu</w:t>
            </w:r>
            <w:r>
              <w:rPr>
                <w:sz w:val="17"/>
                <w:vertAlign w:val="superscript"/>
              </w:rPr>
              <w:t xml:space="preserve">1) </w:t>
            </w:r>
            <w:r>
              <w:rPr>
                <w:sz w:val="19"/>
              </w:rPr>
              <w:t xml:space="preserve"> - první riziko,   </w:t>
            </w:r>
            <w:r>
              <w:rPr>
                <w:sz w:val="19"/>
                <w:u w:val="single" w:color="000000"/>
              </w:rPr>
              <w:t xml:space="preserve">vstupní </w:t>
            </w:r>
            <w:r>
              <w:rPr>
                <w:b/>
                <w:sz w:val="19"/>
                <w:u w:val="single" w:color="000000"/>
              </w:rPr>
              <w:t>obvyklá</w:t>
            </w:r>
            <w:r>
              <w:rPr>
                <w:sz w:val="19"/>
                <w:u w:val="single" w:color="000000"/>
              </w:rPr>
              <w:t xml:space="preserve"> </w:t>
            </w:r>
            <w:r>
              <w:rPr>
                <w:b/>
                <w:sz w:val="19"/>
                <w:u w:val="single" w:color="000000"/>
              </w:rPr>
              <w:t>cena  pro vybrané objekty</w:t>
            </w:r>
            <w:r>
              <w:rPr>
                <w:sz w:val="19"/>
                <w:u w:val="single" w:color="000000"/>
              </w:rPr>
              <w:t xml:space="preserve"> </w:t>
            </w:r>
            <w:r>
              <w:rPr>
                <w:sz w:val="17"/>
                <w:vertAlign w:val="superscript"/>
              </w:rPr>
              <w:t xml:space="preserve"> </w:t>
            </w:r>
            <w:r>
              <w:rPr>
                <w:sz w:val="19"/>
                <w:u w:val="single" w:color="000000"/>
              </w:rPr>
              <w:t>uvedena pojistníkem k  6/2016 na příloze č. 2 dodatku č.6 této</w:t>
            </w:r>
            <w:r>
              <w:rPr>
                <w:sz w:val="19"/>
              </w:rPr>
              <w:t xml:space="preserve"> </w:t>
            </w:r>
            <w:r>
              <w:rPr>
                <w:sz w:val="19"/>
                <w:u w:val="single" w:color="000000"/>
              </w:rPr>
              <w:t>pojistné smlouvy</w:t>
            </w:r>
            <w:r>
              <w:rPr>
                <w:sz w:val="19"/>
              </w:rPr>
              <w:t xml:space="preserve"> ;  </w:t>
            </w:r>
          </w:p>
          <w:p w:rsidR="007043CB" w:rsidRDefault="004B5C2E">
            <w:pPr>
              <w:spacing w:after="0" w:line="259" w:lineRule="auto"/>
              <w:ind w:left="0" w:firstLine="0"/>
              <w:jc w:val="left"/>
            </w:pPr>
            <w:r>
              <w:rPr>
                <w:sz w:val="4"/>
              </w:rPr>
              <w:t xml:space="preserve"> </w:t>
            </w:r>
          </w:p>
          <w:p w:rsidR="007043CB" w:rsidRDefault="004B5C2E">
            <w:pPr>
              <w:spacing w:after="143" w:line="259" w:lineRule="auto"/>
              <w:ind w:left="0" w:firstLine="0"/>
              <w:jc w:val="left"/>
            </w:pPr>
            <w:r>
              <w:rPr>
                <w:sz w:val="4"/>
              </w:rPr>
              <w:t xml:space="preserve"> </w:t>
            </w:r>
          </w:p>
          <w:p w:rsidR="007043CB" w:rsidRDefault="004B5C2E">
            <w:pPr>
              <w:numPr>
                <w:ilvl w:val="0"/>
                <w:numId w:val="48"/>
              </w:numPr>
              <w:spacing w:after="0" w:line="259" w:lineRule="auto"/>
              <w:ind w:firstLine="0"/>
              <w:jc w:val="left"/>
            </w:pPr>
            <w:r>
              <w:rPr>
                <w:sz w:val="19"/>
              </w:rPr>
              <w:t xml:space="preserve">Pojištění  </w:t>
            </w:r>
            <w:r>
              <w:rPr>
                <w:b/>
                <w:sz w:val="19"/>
              </w:rPr>
              <w:t>se nevztahuje</w:t>
            </w:r>
            <w:r>
              <w:rPr>
                <w:sz w:val="19"/>
              </w:rPr>
              <w:t xml:space="preserve"> na budovy/ stavby a stavební součásti, které jsou  samostatně pojištěny dále touto smlouvou. </w:t>
            </w:r>
          </w:p>
          <w:p w:rsidR="007043CB" w:rsidRDefault="004B5C2E">
            <w:pPr>
              <w:spacing w:after="0" w:line="259" w:lineRule="auto"/>
              <w:ind w:left="0" w:firstLine="0"/>
              <w:jc w:val="left"/>
            </w:pPr>
            <w:r>
              <w:rPr>
                <w:b/>
              </w:rPr>
              <w:t xml:space="preserve"> </w:t>
            </w:r>
          </w:p>
          <w:p w:rsidR="007043CB" w:rsidRDefault="004B5C2E">
            <w:pPr>
              <w:spacing w:after="0" w:line="259" w:lineRule="auto"/>
              <w:ind w:left="0" w:firstLine="0"/>
              <w:jc w:val="left"/>
            </w:pPr>
            <w:r>
              <w:rPr>
                <w:b/>
              </w:rPr>
              <w:t xml:space="preserve"> </w:t>
            </w:r>
          </w:p>
          <w:p w:rsidR="007043CB" w:rsidRDefault="004B5C2E">
            <w:pPr>
              <w:spacing w:after="97" w:line="259" w:lineRule="auto"/>
              <w:ind w:left="0" w:firstLine="0"/>
              <w:jc w:val="left"/>
            </w:pPr>
            <w:r>
              <w:rPr>
                <w:b/>
                <w:sz w:val="8"/>
              </w:rPr>
              <w:t xml:space="preserve"> </w:t>
            </w:r>
          </w:p>
          <w:p w:rsidR="007043CB" w:rsidRDefault="004B5C2E">
            <w:pPr>
              <w:spacing w:after="7" w:line="259" w:lineRule="auto"/>
              <w:ind w:left="0" w:firstLine="0"/>
              <w:jc w:val="left"/>
            </w:pPr>
            <w:r>
              <w:rPr>
                <w:b/>
                <w:sz w:val="19"/>
              </w:rPr>
              <w:t xml:space="preserve">Ujednává se k pojištění souboru movitých věcí, zásob, písemností a věcí zvláštní hodnoty: </w:t>
            </w:r>
          </w:p>
          <w:p w:rsidR="007043CB" w:rsidRDefault="004B5C2E">
            <w:pPr>
              <w:numPr>
                <w:ilvl w:val="0"/>
                <w:numId w:val="48"/>
              </w:numPr>
              <w:spacing w:after="0" w:line="259" w:lineRule="auto"/>
              <w:ind w:firstLine="0"/>
              <w:jc w:val="left"/>
            </w:pPr>
            <w:r>
              <w:rPr>
                <w:sz w:val="19"/>
              </w:rPr>
              <w:t>Soubor věcí zvláštní hodnoty -</w:t>
            </w:r>
            <w:r>
              <w:rPr>
                <w:rFonts w:ascii="Times New Roman" w:eastAsia="Times New Roman" w:hAnsi="Times New Roman" w:cs="Times New Roman"/>
                <w:sz w:val="20"/>
              </w:rPr>
              <w:t xml:space="preserve"> </w:t>
            </w:r>
            <w:r>
              <w:rPr>
                <w:sz w:val="19"/>
              </w:rPr>
              <w:t>pojištěn na obvyklou cenu</w:t>
            </w:r>
            <w:r>
              <w:rPr>
                <w:sz w:val="17"/>
                <w:vertAlign w:val="superscript"/>
              </w:rPr>
              <w:t>1)</w:t>
            </w:r>
            <w:r>
              <w:rPr>
                <w:sz w:val="19"/>
              </w:rPr>
              <w:t xml:space="preserve"> - první riziko,  sjednává se limit pojistného plnění ve výši  </w:t>
            </w:r>
          </w:p>
          <w:p w:rsidR="007043CB" w:rsidRDefault="004B5C2E">
            <w:pPr>
              <w:spacing w:after="0" w:line="259" w:lineRule="auto"/>
              <w:ind w:left="0" w:firstLine="0"/>
              <w:jc w:val="left"/>
            </w:pPr>
            <w:r>
              <w:rPr>
                <w:sz w:val="19"/>
              </w:rPr>
              <w:t xml:space="preserve">  </w:t>
            </w:r>
            <w:r>
              <w:rPr>
                <w:b/>
                <w:sz w:val="19"/>
              </w:rPr>
              <w:t>500.000Kč</w:t>
            </w:r>
            <w:r>
              <w:rPr>
                <w:sz w:val="19"/>
              </w:rPr>
              <w:t xml:space="preserve"> pro jednu poj. událost </w:t>
            </w:r>
            <w:r>
              <w:rPr>
                <w:sz w:val="17"/>
                <w:vertAlign w:val="superscript"/>
              </w:rPr>
              <w:t>4)</w:t>
            </w:r>
            <w:r>
              <w:rPr>
                <w:sz w:val="19"/>
              </w:rPr>
              <w:t xml:space="preserve"> ;    </w:t>
            </w:r>
          </w:p>
          <w:p w:rsidR="007043CB" w:rsidRDefault="004B5C2E">
            <w:pPr>
              <w:spacing w:after="143" w:line="259" w:lineRule="auto"/>
              <w:ind w:left="0" w:firstLine="0"/>
              <w:jc w:val="left"/>
            </w:pPr>
            <w:r>
              <w:rPr>
                <w:sz w:val="4"/>
              </w:rPr>
              <w:t xml:space="preserve"> </w:t>
            </w:r>
          </w:p>
          <w:p w:rsidR="007043CB" w:rsidRDefault="004B5C2E">
            <w:pPr>
              <w:numPr>
                <w:ilvl w:val="0"/>
                <w:numId w:val="48"/>
              </w:numPr>
              <w:spacing w:after="57" w:line="236" w:lineRule="auto"/>
              <w:ind w:firstLine="0"/>
              <w:jc w:val="left"/>
            </w:pPr>
            <w:r>
              <w:rPr>
                <w:sz w:val="19"/>
              </w:rPr>
              <w:t xml:space="preserve">Soubor zásob - pojištěn dle odst. (3)  čl. VII.  ZPP P-200/05, sjednává se limit pojistného plnění ve výši </w:t>
            </w:r>
            <w:r>
              <w:rPr>
                <w:b/>
                <w:sz w:val="19"/>
              </w:rPr>
              <w:t>200.000Kč</w:t>
            </w:r>
            <w:r>
              <w:rPr>
                <w:sz w:val="19"/>
              </w:rPr>
              <w:t xml:space="preserve">              pro jednu poj. událost </w:t>
            </w:r>
            <w:r>
              <w:rPr>
                <w:sz w:val="17"/>
                <w:vertAlign w:val="superscript"/>
              </w:rPr>
              <w:t>4)</w:t>
            </w:r>
            <w:r>
              <w:rPr>
                <w:sz w:val="19"/>
              </w:rPr>
              <w:t xml:space="preserve"> ;    </w:t>
            </w:r>
          </w:p>
          <w:p w:rsidR="007043CB" w:rsidRDefault="004B5C2E">
            <w:pPr>
              <w:numPr>
                <w:ilvl w:val="0"/>
                <w:numId w:val="48"/>
              </w:numPr>
              <w:spacing w:after="0" w:line="259" w:lineRule="auto"/>
              <w:ind w:firstLine="0"/>
              <w:jc w:val="left"/>
            </w:pPr>
            <w:r>
              <w:rPr>
                <w:sz w:val="19"/>
              </w:rPr>
              <w:t xml:space="preserve">Soubor </w:t>
            </w:r>
            <w:r>
              <w:t xml:space="preserve">písemností - </w:t>
            </w:r>
            <w:r>
              <w:rPr>
                <w:sz w:val="19"/>
              </w:rPr>
              <w:t xml:space="preserve"> sjednává se limit pojistného plnění ve výši </w:t>
            </w:r>
            <w:r>
              <w:rPr>
                <w:b/>
                <w:sz w:val="19"/>
              </w:rPr>
              <w:t>200.000Kč</w:t>
            </w:r>
            <w:r>
              <w:rPr>
                <w:sz w:val="19"/>
              </w:rPr>
              <w:t xml:space="preserve"> pro jednu poj. událost </w:t>
            </w:r>
            <w:r>
              <w:rPr>
                <w:sz w:val="17"/>
                <w:vertAlign w:val="superscript"/>
              </w:rPr>
              <w:t>4)</w:t>
            </w:r>
            <w:r>
              <w:rPr>
                <w:sz w:val="19"/>
              </w:rPr>
              <w:t xml:space="preserve"> ;                             </w:t>
            </w:r>
            <w:r>
              <w:rPr>
                <w:b/>
                <w:sz w:val="22"/>
              </w:rPr>
              <w:t xml:space="preserve">↓ </w:t>
            </w:r>
          </w:p>
          <w:p w:rsidR="007043CB" w:rsidRDefault="004B5C2E">
            <w:pPr>
              <w:spacing w:after="0" w:line="259" w:lineRule="auto"/>
              <w:ind w:left="0" w:firstLine="0"/>
              <w:jc w:val="left"/>
            </w:pPr>
            <w:r>
              <w:rPr>
                <w:sz w:val="19"/>
              </w:rPr>
              <w:t xml:space="preserve"> </w:t>
            </w:r>
          </w:p>
        </w:tc>
      </w:tr>
    </w:tbl>
    <w:p w:rsidR="007043CB" w:rsidRDefault="004B5C2E">
      <w:pPr>
        <w:pBdr>
          <w:top w:val="single" w:sz="4" w:space="0" w:color="000000"/>
          <w:left w:val="single" w:sz="4" w:space="0" w:color="000000"/>
          <w:bottom w:val="single" w:sz="4" w:space="0" w:color="000000"/>
          <w:right w:val="single" w:sz="4" w:space="0" w:color="000000"/>
        </w:pBdr>
        <w:spacing w:after="141" w:line="259" w:lineRule="auto"/>
        <w:ind w:left="142" w:firstLine="0"/>
        <w:jc w:val="left"/>
      </w:pPr>
      <w:r>
        <w:rPr>
          <w:sz w:val="4"/>
        </w:rPr>
        <w:t xml:space="preserve"> </w:t>
      </w:r>
    </w:p>
    <w:p w:rsidR="007043CB" w:rsidRDefault="004B5C2E">
      <w:pPr>
        <w:numPr>
          <w:ilvl w:val="0"/>
          <w:numId w:val="3"/>
        </w:numPr>
        <w:pBdr>
          <w:top w:val="single" w:sz="4" w:space="0" w:color="000000"/>
          <w:left w:val="single" w:sz="4" w:space="0" w:color="000000"/>
          <w:bottom w:val="single" w:sz="4" w:space="0" w:color="000000"/>
          <w:right w:val="single" w:sz="4" w:space="0" w:color="000000"/>
        </w:pBdr>
        <w:spacing w:line="247" w:lineRule="auto"/>
        <w:ind w:left="284" w:hanging="142"/>
      </w:pPr>
      <w:r>
        <w:rPr>
          <w:sz w:val="19"/>
        </w:rPr>
        <w:t>Pro mobilní elektronická zařízení se ujednává místo pojištění „Území České republiky, zařízení musí být zabezpečeno dle doložky DOZ1.  Bylo-li odcizeno mobilní elektronické zařízení z motorového vozidla, podílí se oprávněná osoba na pojistném plnění spoluúčastí ve výši 25</w:t>
      </w:r>
      <w:r>
        <w:rPr>
          <w:rFonts w:ascii="Times New Roman" w:eastAsia="Times New Roman" w:hAnsi="Times New Roman" w:cs="Times New Roman"/>
          <w:sz w:val="19"/>
        </w:rPr>
        <w:t> </w:t>
      </w:r>
      <w:r>
        <w:rPr>
          <w:sz w:val="19"/>
        </w:rPr>
        <w:t xml:space="preserve">% z pojistného plnění, minimálně však spoluúčastí 1 000 Kč. </w:t>
      </w:r>
    </w:p>
    <w:p w:rsidR="007043CB" w:rsidRDefault="004B5C2E">
      <w:pPr>
        <w:pBdr>
          <w:top w:val="single" w:sz="4" w:space="0" w:color="000000"/>
          <w:left w:val="single" w:sz="4" w:space="0" w:color="000000"/>
          <w:bottom w:val="single" w:sz="4" w:space="0" w:color="000000"/>
          <w:right w:val="single" w:sz="4" w:space="0" w:color="000000"/>
        </w:pBdr>
        <w:spacing w:line="247" w:lineRule="auto"/>
        <w:ind w:left="294" w:hanging="152"/>
      </w:pPr>
      <w:r>
        <w:rPr>
          <w:sz w:val="19"/>
        </w:rPr>
        <w:t xml:space="preserve">   Bylo-i motorové vozidlo odstaveno v uzamčené garáži nebi na hlídaném a střeženém parkovišti, vzniká pojištěnému v případě odcizení pojištěných věcí z vozidla právo na pojistné plnění i tehdy , pokud došlo k odcizení v době od 22.00 do 06.00 hodin.</w:t>
      </w:r>
      <w:r>
        <w:rPr>
          <w:sz w:val="20"/>
        </w:rPr>
        <w:t xml:space="preserve">   </w:t>
      </w:r>
      <w:r>
        <w:rPr>
          <w:sz w:val="19"/>
        </w:rPr>
        <w:t xml:space="preserve">Limit plnění pro jednu pojistnou událost </w:t>
      </w:r>
      <w:r>
        <w:rPr>
          <w:sz w:val="17"/>
          <w:vertAlign w:val="superscript"/>
        </w:rPr>
        <w:t xml:space="preserve">4) </w:t>
      </w:r>
      <w:r>
        <w:rPr>
          <w:sz w:val="19"/>
        </w:rPr>
        <w:t xml:space="preserve"> k níž došlo odcizením mobilního elektronického zařízení z motorového vozidla na území České republiky,  se sjednává ve výši </w:t>
      </w:r>
      <w:r>
        <w:rPr>
          <w:b/>
          <w:sz w:val="19"/>
        </w:rPr>
        <w:t>100 000 Kč.</w:t>
      </w:r>
      <w:r>
        <w:rPr>
          <w:sz w:val="19"/>
        </w:rPr>
        <w:t xml:space="preserve"> </w:t>
      </w:r>
    </w:p>
    <w:p w:rsidR="007043CB" w:rsidRDefault="004B5C2E">
      <w:pPr>
        <w:pBdr>
          <w:top w:val="single" w:sz="4" w:space="0" w:color="000000"/>
          <w:left w:val="single" w:sz="4" w:space="0" w:color="000000"/>
          <w:bottom w:val="single" w:sz="4" w:space="0" w:color="000000"/>
          <w:right w:val="single" w:sz="4" w:space="0" w:color="000000"/>
        </w:pBdr>
        <w:spacing w:after="0" w:line="259" w:lineRule="auto"/>
        <w:ind w:left="142" w:firstLine="0"/>
        <w:jc w:val="left"/>
      </w:pPr>
      <w:r>
        <w:rPr>
          <w:sz w:val="19"/>
        </w:rPr>
        <w:t xml:space="preserve"> </w:t>
      </w:r>
    </w:p>
    <w:p w:rsidR="007043CB" w:rsidRDefault="004B5C2E">
      <w:pPr>
        <w:pBdr>
          <w:top w:val="single" w:sz="4" w:space="0" w:color="000000"/>
          <w:left w:val="single" w:sz="4" w:space="0" w:color="000000"/>
          <w:bottom w:val="single" w:sz="4" w:space="0" w:color="000000"/>
          <w:right w:val="single" w:sz="4" w:space="0" w:color="000000"/>
        </w:pBdr>
        <w:spacing w:after="0" w:line="259" w:lineRule="auto"/>
        <w:ind w:left="142" w:firstLine="0"/>
        <w:jc w:val="left"/>
      </w:pPr>
      <w:r>
        <w:rPr>
          <w:sz w:val="19"/>
        </w:rPr>
        <w:t xml:space="preserve"> </w:t>
      </w:r>
    </w:p>
    <w:p w:rsidR="007043CB" w:rsidRDefault="004B5C2E">
      <w:pPr>
        <w:pBdr>
          <w:top w:val="single" w:sz="4" w:space="0" w:color="000000"/>
          <w:left w:val="single" w:sz="4" w:space="0" w:color="000000"/>
          <w:bottom w:val="single" w:sz="4" w:space="0" w:color="000000"/>
          <w:right w:val="single" w:sz="4" w:space="0" w:color="000000"/>
        </w:pBdr>
        <w:spacing w:after="1" w:line="239" w:lineRule="auto"/>
        <w:ind w:left="152" w:hanging="10"/>
        <w:jc w:val="left"/>
      </w:pPr>
      <w:r>
        <w:rPr>
          <w:b/>
          <w:sz w:val="19"/>
        </w:rPr>
        <w:t xml:space="preserve">Ujednává se pro účely pojištění odcizení souboru movitých věcí vlastních „Zařízení/ inventář/ občanská vybavenost umístěné na volném prostranství města“:  </w:t>
      </w:r>
      <w:r>
        <w:rPr>
          <w:sz w:val="19"/>
        </w:rPr>
        <w:t>Ujednává se, že za krádež při které pachatel prokazatelně překonal překážky chránící pojištěnou věc před odcizením se považují případy, kdy se pachatel zmocnil pojištěné věci překonáním jejího konstrukčního upevnění.</w:t>
      </w:r>
      <w:r>
        <w:rPr>
          <w:rFonts w:ascii="Times New Roman" w:eastAsia="Times New Roman" w:hAnsi="Times New Roman" w:cs="Times New Roman"/>
          <w:sz w:val="19"/>
        </w:rPr>
        <w:t xml:space="preserve"> </w:t>
      </w:r>
      <w:r>
        <w:rPr>
          <w:sz w:val="19"/>
        </w:rPr>
        <w:t xml:space="preserve">Konstrukčním upevněním se rozumí rozebíratelné nebo nerozebíratelné pevné spojení pojištěné věci se stavbou, budovou či zemí. Za nerozebíratelné je považováno takové spojení, kdy pojištěnou věc nelze odcizit bez jeho destrukčního narušení. V případě rozebíratelného spojení je za dostatečné považováno pouze takové, k jehož překonání je nutno použít min. ručního nářadí.                      </w:t>
      </w:r>
    </w:p>
    <w:p w:rsidR="007043CB" w:rsidRDefault="004B5C2E">
      <w:pPr>
        <w:pBdr>
          <w:top w:val="single" w:sz="4" w:space="0" w:color="000000"/>
          <w:left w:val="single" w:sz="4" w:space="0" w:color="000000"/>
          <w:bottom w:val="single" w:sz="4" w:space="0" w:color="000000"/>
          <w:right w:val="single" w:sz="4" w:space="0" w:color="000000"/>
        </w:pBdr>
        <w:spacing w:after="0" w:line="259" w:lineRule="auto"/>
        <w:ind w:left="142" w:firstLine="0"/>
        <w:jc w:val="left"/>
      </w:pPr>
      <w:r>
        <w:rPr>
          <w:sz w:val="19"/>
        </w:rPr>
        <w:t xml:space="preserve"> </w:t>
      </w:r>
    </w:p>
    <w:p w:rsidR="007043CB" w:rsidRDefault="004B5C2E">
      <w:pPr>
        <w:pBdr>
          <w:top w:val="single" w:sz="4" w:space="0" w:color="000000"/>
          <w:left w:val="single" w:sz="4" w:space="0" w:color="000000"/>
          <w:bottom w:val="single" w:sz="4" w:space="0" w:color="000000"/>
          <w:right w:val="single" w:sz="4" w:space="0" w:color="000000"/>
        </w:pBdr>
        <w:spacing w:after="0" w:line="259" w:lineRule="auto"/>
        <w:ind w:left="142" w:firstLine="0"/>
        <w:jc w:val="left"/>
      </w:pPr>
      <w:r>
        <w:rPr>
          <w:sz w:val="19"/>
        </w:rPr>
        <w:t xml:space="preserve"> </w:t>
      </w:r>
    </w:p>
    <w:p w:rsidR="007043CB" w:rsidRDefault="004B5C2E">
      <w:pPr>
        <w:pBdr>
          <w:top w:val="single" w:sz="4" w:space="0" w:color="000000"/>
          <w:left w:val="single" w:sz="4" w:space="0" w:color="000000"/>
          <w:bottom w:val="single" w:sz="4" w:space="0" w:color="000000"/>
          <w:right w:val="single" w:sz="4" w:space="0" w:color="000000"/>
        </w:pBdr>
        <w:spacing w:after="0" w:line="259" w:lineRule="auto"/>
        <w:ind w:left="142" w:firstLine="0"/>
        <w:jc w:val="left"/>
      </w:pPr>
      <w:r>
        <w:rPr>
          <w:b/>
          <w:sz w:val="19"/>
        </w:rPr>
        <w:t xml:space="preserve">Ujednává se pro účely pojištění odcizení  mobilních pracovních strojů v rámci ostatních věcí movitých: </w:t>
      </w:r>
    </w:p>
    <w:p w:rsidR="007043CB" w:rsidRDefault="004B5C2E">
      <w:pPr>
        <w:pBdr>
          <w:top w:val="single" w:sz="4" w:space="0" w:color="000000"/>
          <w:left w:val="single" w:sz="4" w:space="0" w:color="000000"/>
          <w:bottom w:val="single" w:sz="4" w:space="0" w:color="000000"/>
          <w:right w:val="single" w:sz="4" w:space="0" w:color="000000"/>
        </w:pBdr>
        <w:spacing w:after="1" w:line="239" w:lineRule="auto"/>
        <w:ind w:left="152" w:hanging="10"/>
        <w:jc w:val="left"/>
      </w:pPr>
      <w:r>
        <w:rPr>
          <w:sz w:val="19"/>
        </w:rPr>
        <w:t xml:space="preserve">Odchylně od ujednání prvního odst. doložky DOZ8  tato doložka stanovuje  způsoby zabezpečení též v návaznosti na ustanovení  ZPP P - 200/05 a to výhradně pro účely pojištění mobilních pracovních strojů v rámci pojištění ostatních věcí movitých, podrobněji specifikuje zabezpečení pojištěných strojů proti krádeži. </w:t>
      </w:r>
    </w:p>
    <w:p w:rsidR="007043CB" w:rsidRDefault="004B5C2E">
      <w:pPr>
        <w:pBdr>
          <w:top w:val="single" w:sz="4" w:space="0" w:color="000000"/>
          <w:left w:val="single" w:sz="4" w:space="0" w:color="000000"/>
          <w:bottom w:val="single" w:sz="4" w:space="0" w:color="000000"/>
          <w:right w:val="single" w:sz="4" w:space="0" w:color="000000"/>
        </w:pBdr>
        <w:spacing w:after="0" w:line="259" w:lineRule="auto"/>
        <w:ind w:left="142" w:firstLine="0"/>
        <w:jc w:val="left"/>
      </w:pPr>
      <w:r>
        <w:t xml:space="preserve"> </w:t>
      </w:r>
    </w:p>
    <w:p w:rsidR="007043CB" w:rsidRDefault="004B5C2E">
      <w:pPr>
        <w:pBdr>
          <w:top w:val="single" w:sz="4" w:space="0" w:color="000000"/>
          <w:left w:val="single" w:sz="4" w:space="0" w:color="000000"/>
          <w:bottom w:val="single" w:sz="4" w:space="0" w:color="000000"/>
          <w:right w:val="single" w:sz="4" w:space="0" w:color="000000"/>
        </w:pBdr>
        <w:spacing w:after="0" w:line="259" w:lineRule="auto"/>
        <w:ind w:left="142" w:firstLine="0"/>
        <w:jc w:val="left"/>
      </w:pPr>
      <w:r>
        <w:rPr>
          <w:sz w:val="19"/>
        </w:rPr>
        <w:t xml:space="preserve"> </w:t>
      </w:r>
    </w:p>
    <w:p w:rsidR="007043CB" w:rsidRDefault="004B5C2E">
      <w:pPr>
        <w:pBdr>
          <w:top w:val="single" w:sz="4" w:space="0" w:color="000000"/>
          <w:left w:val="single" w:sz="4" w:space="0" w:color="000000"/>
          <w:bottom w:val="single" w:sz="4" w:space="0" w:color="000000"/>
          <w:right w:val="single" w:sz="4" w:space="0" w:color="000000"/>
        </w:pBdr>
        <w:spacing w:line="247" w:lineRule="auto"/>
        <w:ind w:left="142" w:firstLine="0"/>
      </w:pPr>
      <w:r>
        <w:rPr>
          <w:sz w:val="19"/>
        </w:rPr>
        <w:t xml:space="preserve">Definice </w:t>
      </w:r>
      <w:r>
        <w:rPr>
          <w:b/>
          <w:sz w:val="19"/>
        </w:rPr>
        <w:t>okrasné dřeviny</w:t>
      </w:r>
      <w:r>
        <w:rPr>
          <w:sz w:val="19"/>
        </w:rPr>
        <w:t xml:space="preserve"> a plnění pojistitele jsou součástí doložky DOD1 v přiložených DPP P-520/05. </w:t>
      </w:r>
    </w:p>
    <w:p w:rsidR="007043CB" w:rsidRDefault="004B5C2E">
      <w:pPr>
        <w:pBdr>
          <w:top w:val="single" w:sz="4" w:space="0" w:color="000000"/>
          <w:left w:val="single" w:sz="4" w:space="0" w:color="000000"/>
          <w:bottom w:val="single" w:sz="4" w:space="0" w:color="000000"/>
          <w:right w:val="single" w:sz="4" w:space="0" w:color="000000"/>
        </w:pBdr>
        <w:spacing w:after="0" w:line="259" w:lineRule="auto"/>
        <w:ind w:left="142" w:firstLine="0"/>
        <w:jc w:val="left"/>
      </w:pPr>
      <w:r>
        <w:t xml:space="preserve"> </w:t>
      </w:r>
    </w:p>
    <w:p w:rsidR="007043CB" w:rsidRDefault="004B5C2E">
      <w:pPr>
        <w:pBdr>
          <w:top w:val="single" w:sz="4" w:space="0" w:color="000000"/>
          <w:left w:val="single" w:sz="4" w:space="0" w:color="000000"/>
          <w:bottom w:val="single" w:sz="4" w:space="0" w:color="000000"/>
          <w:right w:val="single" w:sz="4" w:space="0" w:color="000000"/>
        </w:pBdr>
        <w:spacing w:after="0" w:line="259" w:lineRule="auto"/>
        <w:ind w:left="142" w:firstLine="0"/>
        <w:jc w:val="left"/>
      </w:pPr>
      <w:r>
        <w:t xml:space="preserve"> </w:t>
      </w:r>
    </w:p>
    <w:p w:rsidR="007043CB" w:rsidRDefault="004B5C2E">
      <w:pPr>
        <w:pBdr>
          <w:top w:val="single" w:sz="4" w:space="0" w:color="000000"/>
          <w:left w:val="single" w:sz="4" w:space="0" w:color="000000"/>
          <w:bottom w:val="single" w:sz="4" w:space="0" w:color="000000"/>
          <w:right w:val="single" w:sz="4" w:space="0" w:color="000000"/>
        </w:pBdr>
        <w:spacing w:line="247" w:lineRule="auto"/>
        <w:ind w:left="142" w:firstLine="0"/>
      </w:pPr>
      <w:r>
        <w:rPr>
          <w:sz w:val="19"/>
        </w:rPr>
        <w:t>Další ujednání v článku II. odst. 3. Limity plnění  a dále v článku V. Zvláštní ujednání  této pojistné smlouvy .</w:t>
      </w:r>
      <w:r>
        <w:t xml:space="preserve"> </w:t>
      </w:r>
    </w:p>
    <w:p w:rsidR="007043CB" w:rsidRDefault="004B5C2E">
      <w:pPr>
        <w:numPr>
          <w:ilvl w:val="0"/>
          <w:numId w:val="4"/>
        </w:numPr>
        <w:ind w:hanging="135"/>
      </w:pPr>
      <w:r>
        <w:t xml:space="preserve">není-li uvedeno, platí ustanovení čl. II. odst. 1.1. </w:t>
      </w:r>
    </w:p>
    <w:p w:rsidR="007043CB" w:rsidRDefault="004B5C2E">
      <w:pPr>
        <w:spacing w:after="0" w:line="259" w:lineRule="auto"/>
        <w:ind w:left="142" w:firstLine="0"/>
        <w:jc w:val="left"/>
      </w:pPr>
      <w:r>
        <w:t xml:space="preserve"> </w:t>
      </w:r>
    </w:p>
    <w:p w:rsidR="007043CB" w:rsidRDefault="004B5C2E">
      <w:pPr>
        <w:spacing w:after="0" w:line="259" w:lineRule="auto"/>
        <w:ind w:left="142" w:firstLine="0"/>
        <w:jc w:val="left"/>
      </w:pPr>
      <w:r>
        <w:t xml:space="preserve"> </w:t>
      </w:r>
    </w:p>
    <w:p w:rsidR="007043CB" w:rsidRDefault="004B5C2E">
      <w:pPr>
        <w:spacing w:after="0" w:line="259" w:lineRule="auto"/>
        <w:ind w:left="142" w:firstLine="0"/>
        <w:jc w:val="left"/>
      </w:pPr>
      <w:r>
        <w:t xml:space="preserve"> </w:t>
      </w:r>
    </w:p>
    <w:p w:rsidR="007043CB" w:rsidRDefault="004B5C2E">
      <w:pPr>
        <w:spacing w:after="0" w:line="259" w:lineRule="auto"/>
        <w:ind w:left="142" w:firstLine="0"/>
        <w:jc w:val="left"/>
      </w:pPr>
      <w:r>
        <w:t xml:space="preserve"> </w:t>
      </w:r>
      <w:r>
        <w:br w:type="page"/>
      </w:r>
    </w:p>
    <w:p w:rsidR="007043CB" w:rsidRDefault="004B5C2E">
      <w:pPr>
        <w:ind w:left="152" w:hanging="10"/>
        <w:jc w:val="left"/>
      </w:pPr>
      <w:r>
        <w:rPr>
          <w:b/>
          <w:sz w:val="20"/>
        </w:rPr>
        <w:lastRenderedPageBreak/>
        <w:t xml:space="preserve">2.3.1.  Pojištění pro případ vandalismu </w:t>
      </w:r>
      <w:r>
        <w:rPr>
          <w:i/>
          <w:sz w:val="19"/>
        </w:rPr>
        <w:t>– upravuje se, včetně ujednání poznámky</w:t>
      </w:r>
      <w:r>
        <w:rPr>
          <w:b/>
        </w:rPr>
        <w:t xml:space="preserve"> </w:t>
      </w:r>
    </w:p>
    <w:tbl>
      <w:tblPr>
        <w:tblStyle w:val="TableGrid"/>
        <w:tblW w:w="10324" w:type="dxa"/>
        <w:tblInd w:w="34" w:type="dxa"/>
        <w:tblCellMar>
          <w:top w:w="10" w:type="dxa"/>
          <w:left w:w="108" w:type="dxa"/>
        </w:tblCellMar>
        <w:tblLook w:val="04A0" w:firstRow="1" w:lastRow="0" w:firstColumn="1" w:lastColumn="0" w:noHBand="0" w:noVBand="1"/>
      </w:tblPr>
      <w:tblGrid>
        <w:gridCol w:w="824"/>
        <w:gridCol w:w="2971"/>
        <w:gridCol w:w="1277"/>
        <w:gridCol w:w="1133"/>
        <w:gridCol w:w="1416"/>
        <w:gridCol w:w="1397"/>
        <w:gridCol w:w="1306"/>
      </w:tblGrid>
      <w:tr w:rsidR="007043CB">
        <w:trPr>
          <w:trHeight w:val="238"/>
        </w:trPr>
        <w:tc>
          <w:tcPr>
            <w:tcW w:w="10324"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left"/>
            </w:pPr>
            <w:r>
              <w:rPr>
                <w:b/>
                <w:sz w:val="19"/>
              </w:rPr>
              <w:t xml:space="preserve">Místo pojištění: </w:t>
            </w:r>
            <w:r>
              <w:rPr>
                <w:sz w:val="19"/>
              </w:rPr>
              <w:t>Katastrální území spravované městem Aš, 352 01, ČR</w:t>
            </w:r>
            <w:r>
              <w:rPr>
                <w:b/>
                <w:sz w:val="19"/>
              </w:rPr>
              <w:t xml:space="preserve"> </w:t>
            </w:r>
          </w:p>
        </w:tc>
      </w:tr>
      <w:tr w:rsidR="007043CB">
        <w:trPr>
          <w:trHeight w:val="240"/>
        </w:trPr>
        <w:tc>
          <w:tcPr>
            <w:tcW w:w="10324"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left"/>
            </w:pPr>
            <w:r>
              <w:rPr>
                <w:b/>
                <w:sz w:val="19"/>
              </w:rPr>
              <w:t xml:space="preserve">Rozsah pojištění: </w:t>
            </w:r>
            <w:r>
              <w:rPr>
                <w:sz w:val="19"/>
              </w:rPr>
              <w:t>poj. nebezpečí "vandalismus"</w:t>
            </w:r>
            <w:r>
              <w:rPr>
                <w:b/>
                <w:sz w:val="19"/>
              </w:rPr>
              <w:t xml:space="preserve"> </w:t>
            </w:r>
          </w:p>
        </w:tc>
      </w:tr>
      <w:tr w:rsidR="007043CB">
        <w:trPr>
          <w:trHeight w:val="240"/>
        </w:trPr>
        <w:tc>
          <w:tcPr>
            <w:tcW w:w="10324"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left"/>
            </w:pPr>
            <w:r>
              <w:rPr>
                <w:b/>
                <w:sz w:val="19"/>
              </w:rPr>
              <w:t xml:space="preserve">Pojištění se řídí: </w:t>
            </w:r>
            <w:r>
              <w:rPr>
                <w:sz w:val="19"/>
              </w:rPr>
              <w:t xml:space="preserve">VPP P-100/09, ZPP P-200/05 a doložkami DOB1, DOB3, DOB6, DOD1, DODC2 </w:t>
            </w:r>
          </w:p>
        </w:tc>
      </w:tr>
      <w:tr w:rsidR="007043CB">
        <w:trPr>
          <w:trHeight w:val="1150"/>
        </w:trPr>
        <w:tc>
          <w:tcPr>
            <w:tcW w:w="824"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center"/>
            </w:pPr>
            <w:r>
              <w:rPr>
                <w:b/>
                <w:sz w:val="19"/>
              </w:rPr>
              <w:t xml:space="preserve">Poř. číslo </w:t>
            </w:r>
          </w:p>
        </w:tc>
        <w:tc>
          <w:tcPr>
            <w:tcW w:w="2972"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112" w:firstLine="0"/>
              <w:jc w:val="center"/>
            </w:pPr>
            <w:r>
              <w:rPr>
                <w:b/>
                <w:sz w:val="19"/>
              </w:rPr>
              <w:t xml:space="preserve">Předmět pojištění </w:t>
            </w:r>
          </w:p>
        </w:tc>
        <w:tc>
          <w:tcPr>
            <w:tcW w:w="1277"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44" w:hanging="44"/>
              <w:jc w:val="center"/>
            </w:pPr>
            <w:r>
              <w:rPr>
                <w:b/>
                <w:sz w:val="19"/>
              </w:rPr>
              <w:t xml:space="preserve">Agregovaná/ celková/ pojistná částka </w:t>
            </w:r>
          </w:p>
        </w:tc>
        <w:tc>
          <w:tcPr>
            <w:tcW w:w="1133"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34" w:firstLine="0"/>
              <w:jc w:val="left"/>
            </w:pPr>
            <w:r>
              <w:rPr>
                <w:b/>
                <w:sz w:val="19"/>
              </w:rPr>
              <w:t>Spoluúčas</w:t>
            </w:r>
          </w:p>
          <w:p w:rsidR="007043CB" w:rsidRDefault="004B5C2E">
            <w:pPr>
              <w:spacing w:after="0" w:line="259" w:lineRule="auto"/>
              <w:ind w:left="0" w:right="112" w:firstLine="0"/>
              <w:jc w:val="center"/>
            </w:pPr>
            <w:r>
              <w:rPr>
                <w:b/>
                <w:sz w:val="19"/>
              </w:rPr>
              <w:t xml:space="preserve">t </w:t>
            </w:r>
          </w:p>
          <w:p w:rsidR="007043CB" w:rsidRDefault="004B5C2E">
            <w:pPr>
              <w:spacing w:after="0" w:line="259" w:lineRule="auto"/>
              <w:ind w:left="0" w:right="110" w:firstLine="0"/>
              <w:jc w:val="center"/>
            </w:pPr>
            <w:r>
              <w:rPr>
                <w:sz w:val="11"/>
              </w:rPr>
              <w:t>5)</w:t>
            </w:r>
            <w:r>
              <w:rPr>
                <w:b/>
                <w:sz w:val="19"/>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center"/>
            </w:pPr>
            <w:r>
              <w:rPr>
                <w:b/>
                <w:sz w:val="19"/>
              </w:rPr>
              <w:t>Pojištění se sjednává*</w:t>
            </w:r>
            <w:r>
              <w:rPr>
                <w:b/>
                <w:sz w:val="17"/>
                <w:vertAlign w:val="superscript"/>
              </w:rPr>
              <w:t>1)2)9)</w:t>
            </w:r>
            <w:r>
              <w:rPr>
                <w:b/>
                <w:sz w:val="19"/>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center"/>
            </w:pPr>
            <w:r>
              <w:rPr>
                <w:b/>
                <w:sz w:val="19"/>
              </w:rPr>
              <w:t>Maximální roční limit pojistného plnění</w:t>
            </w:r>
            <w:r>
              <w:rPr>
                <w:b/>
                <w:sz w:val="17"/>
                <w:vertAlign w:val="superscript"/>
              </w:rPr>
              <w:t>3)</w:t>
            </w:r>
            <w:r>
              <w:rPr>
                <w:b/>
                <w:sz w:val="19"/>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58"/>
              <w:jc w:val="center"/>
            </w:pPr>
            <w:r>
              <w:rPr>
                <w:b/>
                <w:sz w:val="19"/>
              </w:rPr>
              <w:t>Limit pojistného plnění pro jednu poj. událost</w:t>
            </w:r>
            <w:r>
              <w:rPr>
                <w:b/>
                <w:sz w:val="17"/>
                <w:vertAlign w:val="superscript"/>
              </w:rPr>
              <w:t>4)</w:t>
            </w:r>
            <w:r>
              <w:rPr>
                <w:b/>
                <w:sz w:val="19"/>
              </w:rPr>
              <w:t xml:space="preserve"> </w:t>
            </w:r>
          </w:p>
        </w:tc>
      </w:tr>
      <w:tr w:rsidR="007043CB">
        <w:trPr>
          <w:trHeight w:val="1834"/>
        </w:trPr>
        <w:tc>
          <w:tcPr>
            <w:tcW w:w="82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60" w:firstLine="0"/>
              <w:jc w:val="center"/>
            </w:pPr>
            <w:r>
              <w:rPr>
                <w:sz w:val="19"/>
              </w:rPr>
              <w:t xml:space="preserve"> </w:t>
            </w:r>
          </w:p>
          <w:p w:rsidR="007043CB" w:rsidRDefault="004B5C2E">
            <w:pPr>
              <w:spacing w:after="0" w:line="259" w:lineRule="auto"/>
              <w:ind w:left="0" w:right="110" w:firstLine="0"/>
              <w:jc w:val="center"/>
            </w:pPr>
            <w:r>
              <w:rPr>
                <w:sz w:val="19"/>
              </w:rPr>
              <w:t xml:space="preserve">1 </w:t>
            </w:r>
          </w:p>
        </w:tc>
        <w:tc>
          <w:tcPr>
            <w:tcW w:w="2972"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249" w:firstLine="0"/>
            </w:pPr>
            <w:r>
              <w:rPr>
                <w:sz w:val="19"/>
              </w:rPr>
              <w:t xml:space="preserve">Soubor vlastních nemovitostí, stavebních součástí, včetně  příslušenství budov/ staveb,  trvale  instalované technologie, přípojek, rozvodů  kabelové TV, další zařízení trvale instalované   -  evidované pojištěným v nemovitém majetku. </w:t>
            </w:r>
          </w:p>
        </w:tc>
        <w:tc>
          <w:tcPr>
            <w:tcW w:w="1277"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54" w:firstLine="0"/>
              <w:jc w:val="center"/>
            </w:pPr>
            <w:r>
              <w:rPr>
                <w:sz w:val="19"/>
              </w:rPr>
              <w:t xml:space="preserve">nesjednává se </w:t>
            </w:r>
          </w:p>
        </w:tc>
        <w:tc>
          <w:tcPr>
            <w:tcW w:w="1133"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11" w:firstLine="0"/>
              <w:jc w:val="center"/>
            </w:pPr>
            <w:r>
              <w:rPr>
                <w:sz w:val="19"/>
              </w:rPr>
              <w:t xml:space="preserve">1 000 Kč </w:t>
            </w:r>
          </w:p>
        </w:tc>
        <w:tc>
          <w:tcPr>
            <w:tcW w:w="1416"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11" w:firstLine="0"/>
              <w:jc w:val="center"/>
            </w:pPr>
            <w:r>
              <w:rPr>
                <w:sz w:val="19"/>
              </w:rPr>
              <w:t xml:space="preserve">první riziko  </w:t>
            </w:r>
          </w:p>
          <w:p w:rsidR="007043CB" w:rsidRDefault="004B5C2E">
            <w:pPr>
              <w:spacing w:after="0" w:line="259" w:lineRule="auto"/>
              <w:ind w:left="0" w:right="112" w:firstLine="0"/>
              <w:jc w:val="center"/>
            </w:pPr>
            <w:r>
              <w:rPr>
                <w:sz w:val="19"/>
              </w:rPr>
              <w:t xml:space="preserve">nová cena </w:t>
            </w:r>
          </w:p>
        </w:tc>
        <w:tc>
          <w:tcPr>
            <w:tcW w:w="1397"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11" w:firstLine="0"/>
              <w:jc w:val="center"/>
            </w:pPr>
            <w:r>
              <w:rPr>
                <w:sz w:val="19"/>
              </w:rPr>
              <w:t xml:space="preserve">300 000 Kč </w:t>
            </w:r>
          </w:p>
        </w:tc>
        <w:tc>
          <w:tcPr>
            <w:tcW w:w="1306"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11" w:right="68" w:firstLine="0"/>
              <w:jc w:val="center"/>
            </w:pPr>
            <w:r>
              <w:rPr>
                <w:sz w:val="19"/>
              </w:rPr>
              <w:t xml:space="preserve">nesjednává se </w:t>
            </w:r>
          </w:p>
        </w:tc>
      </w:tr>
      <w:tr w:rsidR="007043CB">
        <w:trPr>
          <w:trHeight w:val="1201"/>
        </w:trPr>
        <w:tc>
          <w:tcPr>
            <w:tcW w:w="82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60" w:firstLine="0"/>
              <w:jc w:val="center"/>
            </w:pPr>
            <w:r>
              <w:rPr>
                <w:sz w:val="19"/>
              </w:rPr>
              <w:t xml:space="preserve"> </w:t>
            </w:r>
          </w:p>
          <w:p w:rsidR="007043CB" w:rsidRDefault="004B5C2E">
            <w:pPr>
              <w:spacing w:after="0" w:line="259" w:lineRule="auto"/>
              <w:ind w:left="0" w:right="110" w:firstLine="0"/>
              <w:jc w:val="center"/>
            </w:pPr>
            <w:r>
              <w:rPr>
                <w:sz w:val="19"/>
              </w:rPr>
              <w:t xml:space="preserve">2 </w:t>
            </w:r>
          </w:p>
          <w:p w:rsidR="007043CB" w:rsidRDefault="004B5C2E">
            <w:pPr>
              <w:spacing w:after="0" w:line="259" w:lineRule="auto"/>
              <w:ind w:left="0" w:right="60" w:firstLine="0"/>
              <w:jc w:val="center"/>
            </w:pPr>
            <w:r>
              <w:rPr>
                <w:sz w:val="19"/>
              </w:rPr>
              <w:t xml:space="preserve"> </w:t>
            </w:r>
          </w:p>
        </w:tc>
        <w:tc>
          <w:tcPr>
            <w:tcW w:w="2972" w:type="dxa"/>
            <w:tcBorders>
              <w:top w:val="single" w:sz="4" w:space="0" w:color="000000"/>
              <w:left w:val="single" w:sz="4" w:space="0" w:color="000000"/>
              <w:bottom w:val="single" w:sz="4" w:space="0" w:color="000000"/>
              <w:right w:val="single" w:sz="4" w:space="0" w:color="000000"/>
            </w:tcBorders>
          </w:tcPr>
          <w:p w:rsidR="007043CB" w:rsidRDefault="004B5C2E">
            <w:pPr>
              <w:spacing w:after="141" w:line="259" w:lineRule="auto"/>
              <w:ind w:left="0" w:firstLine="0"/>
              <w:jc w:val="left"/>
            </w:pPr>
            <w:r>
              <w:rPr>
                <w:sz w:val="4"/>
              </w:rPr>
              <w:t xml:space="preserve"> </w:t>
            </w:r>
          </w:p>
          <w:p w:rsidR="007043CB" w:rsidRDefault="004B5C2E">
            <w:pPr>
              <w:spacing w:after="0" w:line="259" w:lineRule="auto"/>
              <w:ind w:left="0" w:right="29" w:firstLine="0"/>
              <w:jc w:val="left"/>
            </w:pPr>
            <w:r>
              <w:rPr>
                <w:sz w:val="19"/>
              </w:rPr>
              <w:t>Soubor budov, staveb</w:t>
            </w:r>
            <w:r>
              <w:rPr>
                <w:sz w:val="6"/>
              </w:rPr>
              <w:t xml:space="preserve"> </w:t>
            </w:r>
            <w:r>
              <w:rPr>
                <w:sz w:val="19"/>
              </w:rPr>
              <w:t>- pořízené na základě dotačních programů a pojištěné touto smlouvou</w:t>
            </w:r>
            <w:r>
              <w:rPr>
                <w:sz w:val="8"/>
              </w:rPr>
              <w:t xml:space="preserve"> </w:t>
            </w:r>
            <w:r>
              <w:rPr>
                <w:sz w:val="19"/>
              </w:rPr>
              <w:t xml:space="preserve">v rámci živelního pojištění, vč. mobiliáře trvale spojeného se zemí. </w:t>
            </w:r>
          </w:p>
        </w:tc>
        <w:tc>
          <w:tcPr>
            <w:tcW w:w="1277"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54" w:firstLine="0"/>
              <w:jc w:val="center"/>
            </w:pPr>
            <w:r>
              <w:rPr>
                <w:sz w:val="19"/>
              </w:rPr>
              <w:t xml:space="preserve">nesjednává se </w:t>
            </w:r>
          </w:p>
        </w:tc>
        <w:tc>
          <w:tcPr>
            <w:tcW w:w="1133"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11" w:firstLine="0"/>
              <w:jc w:val="center"/>
            </w:pPr>
            <w:r>
              <w:rPr>
                <w:sz w:val="19"/>
              </w:rPr>
              <w:t xml:space="preserve">1 000 Kč </w:t>
            </w:r>
          </w:p>
        </w:tc>
        <w:tc>
          <w:tcPr>
            <w:tcW w:w="1416"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11" w:firstLine="0"/>
              <w:jc w:val="center"/>
            </w:pPr>
            <w:r>
              <w:rPr>
                <w:sz w:val="19"/>
              </w:rPr>
              <w:t xml:space="preserve">první riziko  </w:t>
            </w:r>
          </w:p>
          <w:p w:rsidR="007043CB" w:rsidRDefault="004B5C2E">
            <w:pPr>
              <w:spacing w:after="0" w:line="259" w:lineRule="auto"/>
              <w:ind w:left="0" w:right="112" w:firstLine="0"/>
              <w:jc w:val="center"/>
            </w:pPr>
            <w:r>
              <w:rPr>
                <w:sz w:val="19"/>
              </w:rPr>
              <w:t xml:space="preserve">nová cena </w:t>
            </w:r>
          </w:p>
        </w:tc>
        <w:tc>
          <w:tcPr>
            <w:tcW w:w="1397"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firstLine="0"/>
              <w:jc w:val="left"/>
            </w:pPr>
            <w:r>
              <w:rPr>
                <w:sz w:val="19"/>
              </w:rPr>
              <w:t xml:space="preserve">1 000 000 Kč </w:t>
            </w:r>
          </w:p>
        </w:tc>
        <w:tc>
          <w:tcPr>
            <w:tcW w:w="1306"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11" w:right="68" w:firstLine="0"/>
              <w:jc w:val="center"/>
            </w:pPr>
            <w:r>
              <w:rPr>
                <w:sz w:val="19"/>
              </w:rPr>
              <w:t xml:space="preserve">nesjednává se </w:t>
            </w:r>
          </w:p>
        </w:tc>
      </w:tr>
      <w:tr w:rsidR="007043CB">
        <w:trPr>
          <w:trHeight w:val="970"/>
        </w:trPr>
        <w:tc>
          <w:tcPr>
            <w:tcW w:w="82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60" w:firstLine="0"/>
              <w:jc w:val="center"/>
            </w:pPr>
            <w:r>
              <w:rPr>
                <w:sz w:val="19"/>
              </w:rPr>
              <w:t xml:space="preserve"> </w:t>
            </w:r>
          </w:p>
          <w:p w:rsidR="007043CB" w:rsidRDefault="004B5C2E">
            <w:pPr>
              <w:spacing w:after="0" w:line="259" w:lineRule="auto"/>
              <w:ind w:left="0" w:right="110" w:firstLine="0"/>
              <w:jc w:val="center"/>
            </w:pPr>
            <w:r>
              <w:rPr>
                <w:sz w:val="19"/>
              </w:rPr>
              <w:t xml:space="preserve">3 </w:t>
            </w:r>
          </w:p>
          <w:p w:rsidR="007043CB" w:rsidRDefault="004B5C2E">
            <w:pPr>
              <w:spacing w:after="0" w:line="259" w:lineRule="auto"/>
              <w:ind w:left="0" w:right="60" w:firstLine="0"/>
              <w:jc w:val="center"/>
            </w:pPr>
            <w:r>
              <w:rPr>
                <w:sz w:val="19"/>
              </w:rPr>
              <w:t xml:space="preserve"> </w:t>
            </w:r>
          </w:p>
        </w:tc>
        <w:tc>
          <w:tcPr>
            <w:tcW w:w="2972" w:type="dxa"/>
            <w:tcBorders>
              <w:top w:val="single" w:sz="4" w:space="0" w:color="000000"/>
              <w:left w:val="single" w:sz="4" w:space="0" w:color="000000"/>
              <w:bottom w:val="single" w:sz="4" w:space="0" w:color="000000"/>
              <w:right w:val="single" w:sz="4" w:space="0" w:color="000000"/>
            </w:tcBorders>
          </w:tcPr>
          <w:p w:rsidR="007043CB" w:rsidRDefault="004B5C2E">
            <w:pPr>
              <w:spacing w:after="141" w:line="259" w:lineRule="auto"/>
              <w:ind w:left="0" w:firstLine="0"/>
              <w:jc w:val="left"/>
            </w:pPr>
            <w:r>
              <w:rPr>
                <w:sz w:val="4"/>
              </w:rPr>
              <w:t xml:space="preserve"> </w:t>
            </w:r>
          </w:p>
          <w:p w:rsidR="007043CB" w:rsidRDefault="004B5C2E">
            <w:pPr>
              <w:spacing w:after="0" w:line="259" w:lineRule="auto"/>
              <w:ind w:left="0" w:firstLine="0"/>
              <w:jc w:val="left"/>
            </w:pPr>
            <w:r>
              <w:rPr>
                <w:sz w:val="19"/>
              </w:rPr>
              <w:t xml:space="preserve">Soubor movitých věcí a  zásob, soubor věcí zvláštní hodnoty  a soubor písemností a cenností - vlastní i cizí převzaté či užívané. </w:t>
            </w:r>
          </w:p>
        </w:tc>
        <w:tc>
          <w:tcPr>
            <w:tcW w:w="1277"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54" w:firstLine="0"/>
              <w:jc w:val="center"/>
            </w:pPr>
            <w:r>
              <w:rPr>
                <w:sz w:val="19"/>
              </w:rPr>
              <w:t xml:space="preserve">nesjednává se </w:t>
            </w:r>
          </w:p>
        </w:tc>
        <w:tc>
          <w:tcPr>
            <w:tcW w:w="1133"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11" w:firstLine="0"/>
              <w:jc w:val="center"/>
            </w:pPr>
            <w:r>
              <w:rPr>
                <w:sz w:val="19"/>
              </w:rPr>
              <w:t xml:space="preserve">1 000 Kč </w:t>
            </w:r>
          </w:p>
        </w:tc>
        <w:tc>
          <w:tcPr>
            <w:tcW w:w="1416"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11" w:firstLine="0"/>
              <w:jc w:val="center"/>
            </w:pPr>
            <w:r>
              <w:rPr>
                <w:sz w:val="19"/>
              </w:rPr>
              <w:t xml:space="preserve">první riziko  </w:t>
            </w:r>
          </w:p>
          <w:p w:rsidR="007043CB" w:rsidRDefault="004B5C2E">
            <w:pPr>
              <w:spacing w:after="0" w:line="259" w:lineRule="auto"/>
              <w:ind w:left="0" w:right="112" w:firstLine="0"/>
              <w:jc w:val="center"/>
            </w:pPr>
            <w:r>
              <w:rPr>
                <w:sz w:val="19"/>
              </w:rPr>
              <w:t xml:space="preserve">nová cena </w:t>
            </w:r>
          </w:p>
        </w:tc>
        <w:tc>
          <w:tcPr>
            <w:tcW w:w="1397"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11" w:firstLine="0"/>
              <w:jc w:val="center"/>
            </w:pPr>
            <w:r>
              <w:rPr>
                <w:sz w:val="19"/>
              </w:rPr>
              <w:t xml:space="preserve">500 000 Kč </w:t>
            </w:r>
          </w:p>
        </w:tc>
        <w:tc>
          <w:tcPr>
            <w:tcW w:w="1306"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11" w:right="68" w:firstLine="0"/>
              <w:jc w:val="center"/>
            </w:pPr>
            <w:r>
              <w:rPr>
                <w:sz w:val="19"/>
              </w:rPr>
              <w:t xml:space="preserve">nesjednává se </w:t>
            </w:r>
          </w:p>
        </w:tc>
      </w:tr>
      <w:tr w:rsidR="007043CB">
        <w:trPr>
          <w:trHeight w:val="1426"/>
        </w:trPr>
        <w:tc>
          <w:tcPr>
            <w:tcW w:w="82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60" w:firstLine="0"/>
              <w:jc w:val="center"/>
            </w:pPr>
            <w:r>
              <w:rPr>
                <w:sz w:val="19"/>
              </w:rPr>
              <w:t xml:space="preserve"> </w:t>
            </w:r>
          </w:p>
          <w:p w:rsidR="007043CB" w:rsidRDefault="004B5C2E">
            <w:pPr>
              <w:spacing w:after="0" w:line="259" w:lineRule="auto"/>
              <w:ind w:left="0" w:right="110" w:firstLine="0"/>
              <w:jc w:val="center"/>
            </w:pPr>
            <w:r>
              <w:rPr>
                <w:sz w:val="19"/>
              </w:rPr>
              <w:t xml:space="preserve">4 </w:t>
            </w:r>
          </w:p>
          <w:p w:rsidR="007043CB" w:rsidRDefault="004B5C2E">
            <w:pPr>
              <w:spacing w:after="0" w:line="259" w:lineRule="auto"/>
              <w:ind w:left="0" w:right="60" w:firstLine="0"/>
              <w:jc w:val="center"/>
            </w:pPr>
            <w:r>
              <w:rPr>
                <w:sz w:val="19"/>
              </w:rPr>
              <w:t xml:space="preserve"> </w:t>
            </w:r>
          </w:p>
        </w:tc>
        <w:tc>
          <w:tcPr>
            <w:tcW w:w="2972" w:type="dxa"/>
            <w:tcBorders>
              <w:top w:val="single" w:sz="4" w:space="0" w:color="000000"/>
              <w:left w:val="single" w:sz="4" w:space="0" w:color="000000"/>
              <w:bottom w:val="single" w:sz="4" w:space="0" w:color="000000"/>
              <w:right w:val="single" w:sz="4" w:space="0" w:color="000000"/>
            </w:tcBorders>
          </w:tcPr>
          <w:p w:rsidR="007043CB" w:rsidRDefault="004B5C2E">
            <w:pPr>
              <w:spacing w:after="141" w:line="259" w:lineRule="auto"/>
              <w:ind w:left="0" w:firstLine="0"/>
              <w:jc w:val="left"/>
            </w:pPr>
            <w:r>
              <w:rPr>
                <w:sz w:val="4"/>
              </w:rPr>
              <w:t xml:space="preserve"> </w:t>
            </w:r>
          </w:p>
          <w:p w:rsidR="007043CB" w:rsidRDefault="004B5C2E">
            <w:pPr>
              <w:spacing w:after="0" w:line="259" w:lineRule="auto"/>
              <w:ind w:left="0" w:firstLine="0"/>
              <w:jc w:val="left"/>
            </w:pPr>
            <w:r>
              <w:rPr>
                <w:sz w:val="19"/>
              </w:rPr>
              <w:t xml:space="preserve">Okrasné dřeviny „Stromy-jeřabiny u cyklostezky“  budované dle dotačního proj. č.175 - Operační program Přeshraniční spolupráce Cíl 3 Česká republika- Svobodný stát Bavorsko 2007-2013 </w:t>
            </w:r>
          </w:p>
        </w:tc>
        <w:tc>
          <w:tcPr>
            <w:tcW w:w="1277"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54" w:firstLine="0"/>
              <w:jc w:val="center"/>
            </w:pPr>
            <w:r>
              <w:rPr>
                <w:sz w:val="19"/>
              </w:rPr>
              <w:t xml:space="preserve">nesjednává se </w:t>
            </w:r>
          </w:p>
        </w:tc>
        <w:tc>
          <w:tcPr>
            <w:tcW w:w="1133"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11" w:firstLine="0"/>
              <w:jc w:val="center"/>
            </w:pPr>
            <w:r>
              <w:rPr>
                <w:sz w:val="19"/>
              </w:rPr>
              <w:t xml:space="preserve">1 000 Kč </w:t>
            </w:r>
          </w:p>
        </w:tc>
        <w:tc>
          <w:tcPr>
            <w:tcW w:w="1416"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36" w:lineRule="auto"/>
              <w:ind w:left="120" w:right="228" w:firstLine="480"/>
              <w:jc w:val="left"/>
            </w:pPr>
            <w:r>
              <w:rPr>
                <w:sz w:val="19"/>
              </w:rPr>
              <w:t xml:space="preserve"> první riziko     </w:t>
            </w:r>
          </w:p>
          <w:p w:rsidR="007043CB" w:rsidRDefault="004B5C2E">
            <w:pPr>
              <w:spacing w:after="0" w:line="259" w:lineRule="auto"/>
              <w:ind w:left="0" w:right="112" w:firstLine="0"/>
              <w:jc w:val="center"/>
            </w:pPr>
            <w:r>
              <w:rPr>
                <w:sz w:val="19"/>
              </w:rPr>
              <w:t xml:space="preserve">jiná cena </w:t>
            </w:r>
          </w:p>
        </w:tc>
        <w:tc>
          <w:tcPr>
            <w:tcW w:w="1397"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11" w:firstLine="0"/>
              <w:jc w:val="center"/>
            </w:pPr>
            <w:r>
              <w:rPr>
                <w:sz w:val="19"/>
              </w:rPr>
              <w:t xml:space="preserve">75 880 Kč </w:t>
            </w:r>
          </w:p>
        </w:tc>
        <w:tc>
          <w:tcPr>
            <w:tcW w:w="1306"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11" w:right="68" w:firstLine="0"/>
              <w:jc w:val="center"/>
            </w:pPr>
            <w:r>
              <w:rPr>
                <w:sz w:val="19"/>
              </w:rPr>
              <w:t xml:space="preserve">nesjednává se </w:t>
            </w:r>
          </w:p>
        </w:tc>
      </w:tr>
      <w:tr w:rsidR="007043CB">
        <w:trPr>
          <w:trHeight w:val="970"/>
        </w:trPr>
        <w:tc>
          <w:tcPr>
            <w:tcW w:w="82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60" w:firstLine="0"/>
              <w:jc w:val="center"/>
            </w:pPr>
            <w:r>
              <w:rPr>
                <w:sz w:val="19"/>
              </w:rPr>
              <w:t xml:space="preserve"> </w:t>
            </w:r>
          </w:p>
          <w:p w:rsidR="007043CB" w:rsidRDefault="004B5C2E">
            <w:pPr>
              <w:spacing w:after="0" w:line="259" w:lineRule="auto"/>
              <w:ind w:left="0" w:right="110" w:firstLine="0"/>
              <w:jc w:val="center"/>
            </w:pPr>
            <w:r>
              <w:rPr>
                <w:sz w:val="19"/>
              </w:rPr>
              <w:t xml:space="preserve">5 </w:t>
            </w:r>
          </w:p>
          <w:p w:rsidR="007043CB" w:rsidRDefault="004B5C2E">
            <w:pPr>
              <w:spacing w:after="0" w:line="259" w:lineRule="auto"/>
              <w:ind w:left="0" w:right="60" w:firstLine="0"/>
              <w:jc w:val="center"/>
            </w:pPr>
            <w:r>
              <w:rPr>
                <w:sz w:val="19"/>
              </w:rPr>
              <w:t xml:space="preserve"> </w:t>
            </w:r>
          </w:p>
        </w:tc>
        <w:tc>
          <w:tcPr>
            <w:tcW w:w="2972" w:type="dxa"/>
            <w:tcBorders>
              <w:top w:val="single" w:sz="4" w:space="0" w:color="000000"/>
              <w:left w:val="single" w:sz="4" w:space="0" w:color="000000"/>
              <w:bottom w:val="single" w:sz="4" w:space="0" w:color="000000"/>
              <w:right w:val="single" w:sz="4" w:space="0" w:color="000000"/>
            </w:tcBorders>
          </w:tcPr>
          <w:p w:rsidR="007043CB" w:rsidRDefault="004B5C2E">
            <w:pPr>
              <w:spacing w:after="141" w:line="259" w:lineRule="auto"/>
              <w:ind w:left="0" w:firstLine="0"/>
              <w:jc w:val="left"/>
            </w:pPr>
            <w:r>
              <w:rPr>
                <w:sz w:val="4"/>
              </w:rPr>
              <w:t xml:space="preserve"> </w:t>
            </w:r>
          </w:p>
          <w:p w:rsidR="007043CB" w:rsidRDefault="004B5C2E">
            <w:pPr>
              <w:spacing w:after="0" w:line="236" w:lineRule="auto"/>
              <w:ind w:left="0" w:right="163" w:firstLine="0"/>
            </w:pPr>
            <w:r>
              <w:rPr>
                <w:sz w:val="19"/>
              </w:rPr>
              <w:t xml:space="preserve">Okrasné dřeviny „36 stromů, 160 keřů“ dotačního proj.  č. CZ.1.09/ 1.2.00/63 .01011  Revitalizace </w:t>
            </w:r>
          </w:p>
          <w:p w:rsidR="007043CB" w:rsidRDefault="004B5C2E">
            <w:pPr>
              <w:spacing w:after="0" w:line="259" w:lineRule="auto"/>
              <w:ind w:left="0" w:firstLine="0"/>
              <w:jc w:val="left"/>
            </w:pPr>
            <w:r>
              <w:rPr>
                <w:sz w:val="19"/>
              </w:rPr>
              <w:t xml:space="preserve">Goethova náměstí v Aši,  z 2014. </w:t>
            </w:r>
          </w:p>
        </w:tc>
        <w:tc>
          <w:tcPr>
            <w:tcW w:w="1277"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54" w:firstLine="0"/>
              <w:jc w:val="center"/>
            </w:pPr>
            <w:r>
              <w:rPr>
                <w:sz w:val="19"/>
              </w:rPr>
              <w:t xml:space="preserve">nesjednává se </w:t>
            </w:r>
          </w:p>
        </w:tc>
        <w:tc>
          <w:tcPr>
            <w:tcW w:w="1133"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11" w:firstLine="0"/>
              <w:jc w:val="center"/>
            </w:pPr>
            <w:r>
              <w:rPr>
                <w:sz w:val="19"/>
              </w:rPr>
              <w:t xml:space="preserve">1 000 Kč </w:t>
            </w:r>
          </w:p>
        </w:tc>
        <w:tc>
          <w:tcPr>
            <w:tcW w:w="1416"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36" w:lineRule="auto"/>
              <w:ind w:left="120" w:right="228" w:firstLine="480"/>
              <w:jc w:val="left"/>
            </w:pPr>
            <w:r>
              <w:rPr>
                <w:sz w:val="19"/>
              </w:rPr>
              <w:t xml:space="preserve"> první riziko     </w:t>
            </w:r>
          </w:p>
          <w:p w:rsidR="007043CB" w:rsidRDefault="004B5C2E">
            <w:pPr>
              <w:spacing w:after="0" w:line="259" w:lineRule="auto"/>
              <w:ind w:left="0" w:right="112" w:firstLine="0"/>
              <w:jc w:val="center"/>
            </w:pPr>
            <w:r>
              <w:rPr>
                <w:sz w:val="19"/>
              </w:rPr>
              <w:t xml:space="preserve">jiná cena </w:t>
            </w:r>
          </w:p>
        </w:tc>
        <w:tc>
          <w:tcPr>
            <w:tcW w:w="1397"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11" w:firstLine="0"/>
              <w:jc w:val="center"/>
            </w:pPr>
            <w:r>
              <w:rPr>
                <w:sz w:val="19"/>
              </w:rPr>
              <w:t xml:space="preserve">131 951 Kč </w:t>
            </w:r>
          </w:p>
        </w:tc>
        <w:tc>
          <w:tcPr>
            <w:tcW w:w="1306"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11" w:right="68" w:firstLine="0"/>
              <w:jc w:val="center"/>
            </w:pPr>
            <w:r>
              <w:rPr>
                <w:sz w:val="19"/>
              </w:rPr>
              <w:t xml:space="preserve">nesjednává se </w:t>
            </w:r>
          </w:p>
        </w:tc>
      </w:tr>
      <w:tr w:rsidR="007043CB">
        <w:trPr>
          <w:trHeight w:val="6392"/>
        </w:trPr>
        <w:tc>
          <w:tcPr>
            <w:tcW w:w="10324"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left"/>
            </w:pPr>
            <w:r>
              <w:rPr>
                <w:b/>
              </w:rPr>
              <w:lastRenderedPageBreak/>
              <w:t xml:space="preserve">Poznámky:  </w:t>
            </w:r>
            <w:r>
              <w:rPr>
                <w:b/>
                <w:sz w:val="19"/>
              </w:rPr>
              <w:t xml:space="preserve">Ujednává se k pojištění souboru nemovitostí : </w:t>
            </w:r>
          </w:p>
          <w:p w:rsidR="007043CB" w:rsidRDefault="004B5C2E">
            <w:pPr>
              <w:spacing w:after="162" w:line="259" w:lineRule="auto"/>
              <w:ind w:left="0" w:firstLine="0"/>
              <w:jc w:val="left"/>
            </w:pPr>
            <w:r>
              <w:rPr>
                <w:b/>
                <w:sz w:val="2"/>
              </w:rPr>
              <w:t xml:space="preserve"> </w:t>
            </w:r>
          </w:p>
          <w:p w:rsidR="007043CB" w:rsidRDefault="004B5C2E">
            <w:pPr>
              <w:numPr>
                <w:ilvl w:val="0"/>
                <w:numId w:val="49"/>
              </w:numPr>
              <w:spacing w:after="0" w:line="236" w:lineRule="auto"/>
              <w:ind w:firstLine="0"/>
              <w:jc w:val="left"/>
            </w:pPr>
            <w:r>
              <w:rPr>
                <w:sz w:val="19"/>
              </w:rPr>
              <w:t xml:space="preserve">Pojištění se vztahuje též na vlastní části nemovitosti (včetně vlastního podílu na společných částech domu), nacházející   se v postupně odprodávané  budově a to až do doby úplného prodeje,  jedná se především o bytové domy  prodávané po     ne/bytových jednotkách. </w:t>
            </w:r>
          </w:p>
          <w:p w:rsidR="007043CB" w:rsidRDefault="004B5C2E">
            <w:pPr>
              <w:numPr>
                <w:ilvl w:val="0"/>
                <w:numId w:val="49"/>
              </w:numPr>
              <w:spacing w:after="0" w:line="236" w:lineRule="auto"/>
              <w:ind w:firstLine="0"/>
              <w:jc w:val="left"/>
            </w:pPr>
            <w:r>
              <w:rPr>
                <w:sz w:val="19"/>
              </w:rPr>
              <w:t xml:space="preserve">Pojištění se  vztahuje též na veřejné osvětlení/ rozhlas  vč. sloupů/ patek/ elektroinstalace / konstrukčního upevnění         a dále  trvale instalované ozvučení/ osvětlení nemovitostí, systémy klima/ zabezpečení/ EZS - EPS;    </w:t>
            </w:r>
          </w:p>
          <w:p w:rsidR="007043CB" w:rsidRDefault="004B5C2E">
            <w:pPr>
              <w:spacing w:after="141" w:line="259" w:lineRule="auto"/>
              <w:ind w:left="0" w:firstLine="0"/>
              <w:jc w:val="left"/>
            </w:pPr>
            <w:r>
              <w:rPr>
                <w:sz w:val="4"/>
              </w:rPr>
              <w:t xml:space="preserve"> </w:t>
            </w:r>
          </w:p>
          <w:p w:rsidR="007043CB" w:rsidRDefault="004B5C2E">
            <w:pPr>
              <w:numPr>
                <w:ilvl w:val="0"/>
                <w:numId w:val="49"/>
              </w:numPr>
              <w:spacing w:after="0" w:line="236" w:lineRule="auto"/>
              <w:ind w:firstLine="0"/>
              <w:jc w:val="left"/>
            </w:pPr>
            <w:r>
              <w:rPr>
                <w:sz w:val="19"/>
              </w:rPr>
              <w:t xml:space="preserve">Pojištění se  vztahuje též na drobné stavby a stavební součásti - především zastávky BUS, vybavení dětských areálů / odpočinkových zón,  infozařízení/ značení,  kašny / pomníky / památníky,   zábradlí /  litinové sloupky s řetězy a ozdobné kovové koše, litinové mříže kolem stromů,  vždy však pevně spojené se zemí/budovou/stavbou.                                              </w:t>
            </w:r>
          </w:p>
          <w:p w:rsidR="007043CB" w:rsidRDefault="004B5C2E">
            <w:pPr>
              <w:numPr>
                <w:ilvl w:val="0"/>
                <w:numId w:val="49"/>
              </w:numPr>
              <w:spacing w:after="0" w:line="250" w:lineRule="auto"/>
              <w:ind w:firstLine="0"/>
              <w:jc w:val="left"/>
            </w:pPr>
            <w:r>
              <w:rPr>
                <w:sz w:val="19"/>
              </w:rPr>
              <w:t>Kašny / pomníky / památníky, sousoší a věci historické či umělecké hodnoty  jsou  pojištěny na obvyklou cenu</w:t>
            </w:r>
            <w:r>
              <w:rPr>
                <w:sz w:val="17"/>
                <w:vertAlign w:val="superscript"/>
              </w:rPr>
              <w:t xml:space="preserve">1) </w:t>
            </w:r>
            <w:r>
              <w:rPr>
                <w:sz w:val="19"/>
              </w:rPr>
              <w:t xml:space="preserve"> - první riziko,   </w:t>
            </w:r>
            <w:r>
              <w:rPr>
                <w:sz w:val="19"/>
                <w:u w:val="single" w:color="000000"/>
              </w:rPr>
              <w:t xml:space="preserve">vstupní </w:t>
            </w:r>
            <w:r>
              <w:rPr>
                <w:b/>
                <w:sz w:val="19"/>
                <w:u w:val="single" w:color="000000"/>
              </w:rPr>
              <w:t>obvyklá</w:t>
            </w:r>
            <w:r>
              <w:rPr>
                <w:sz w:val="19"/>
                <w:u w:val="single" w:color="000000"/>
              </w:rPr>
              <w:t xml:space="preserve"> </w:t>
            </w:r>
            <w:r>
              <w:rPr>
                <w:b/>
                <w:sz w:val="19"/>
                <w:u w:val="single" w:color="000000"/>
              </w:rPr>
              <w:t>cena  pro vybrané objekty</w:t>
            </w:r>
            <w:r>
              <w:rPr>
                <w:sz w:val="19"/>
                <w:u w:val="single" w:color="000000"/>
              </w:rPr>
              <w:t xml:space="preserve"> </w:t>
            </w:r>
            <w:r>
              <w:rPr>
                <w:sz w:val="17"/>
                <w:vertAlign w:val="superscript"/>
              </w:rPr>
              <w:t xml:space="preserve"> </w:t>
            </w:r>
            <w:r>
              <w:rPr>
                <w:sz w:val="19"/>
                <w:u w:val="single" w:color="000000"/>
              </w:rPr>
              <w:t>uvedena pojistníkem k  6/2016 na příloze č. 2 dodatku č.6 této</w:t>
            </w:r>
            <w:r>
              <w:rPr>
                <w:sz w:val="19"/>
              </w:rPr>
              <w:t xml:space="preserve"> </w:t>
            </w:r>
            <w:r>
              <w:rPr>
                <w:sz w:val="19"/>
                <w:u w:val="single" w:color="000000"/>
              </w:rPr>
              <w:t>pojistné smlouvy</w:t>
            </w:r>
            <w:r>
              <w:rPr>
                <w:sz w:val="19"/>
              </w:rPr>
              <w:t xml:space="preserve"> ;  </w:t>
            </w:r>
          </w:p>
          <w:p w:rsidR="007043CB" w:rsidRDefault="004B5C2E">
            <w:pPr>
              <w:spacing w:after="0" w:line="259" w:lineRule="auto"/>
              <w:ind w:left="0" w:firstLine="0"/>
              <w:jc w:val="left"/>
            </w:pPr>
            <w:r>
              <w:rPr>
                <w:sz w:val="4"/>
              </w:rPr>
              <w:t xml:space="preserve"> </w:t>
            </w:r>
          </w:p>
          <w:p w:rsidR="007043CB" w:rsidRDefault="004B5C2E">
            <w:pPr>
              <w:spacing w:after="143" w:line="259" w:lineRule="auto"/>
              <w:ind w:left="0" w:firstLine="0"/>
              <w:jc w:val="left"/>
            </w:pPr>
            <w:r>
              <w:rPr>
                <w:sz w:val="4"/>
              </w:rPr>
              <w:t xml:space="preserve"> </w:t>
            </w:r>
          </w:p>
          <w:p w:rsidR="007043CB" w:rsidRDefault="004B5C2E">
            <w:pPr>
              <w:numPr>
                <w:ilvl w:val="0"/>
                <w:numId w:val="49"/>
              </w:numPr>
              <w:spacing w:after="0" w:line="259" w:lineRule="auto"/>
              <w:ind w:firstLine="0"/>
              <w:jc w:val="left"/>
            </w:pPr>
            <w:r>
              <w:rPr>
                <w:sz w:val="19"/>
              </w:rPr>
              <w:t xml:space="preserve">Pojištění  </w:t>
            </w:r>
            <w:r>
              <w:rPr>
                <w:b/>
                <w:sz w:val="19"/>
              </w:rPr>
              <w:t>se nevztahuje</w:t>
            </w:r>
            <w:r>
              <w:rPr>
                <w:sz w:val="19"/>
              </w:rPr>
              <w:t xml:space="preserve"> na budovy/ stavby a stavební součásti, které jsou  samostatně pojištěny dále touto smlouvou. </w:t>
            </w:r>
          </w:p>
          <w:p w:rsidR="007043CB" w:rsidRDefault="004B5C2E">
            <w:pPr>
              <w:spacing w:after="0" w:line="259" w:lineRule="auto"/>
              <w:ind w:left="0" w:firstLine="0"/>
              <w:jc w:val="left"/>
            </w:pPr>
            <w:r>
              <w:rPr>
                <w:b/>
                <w:sz w:val="19"/>
              </w:rPr>
              <w:t xml:space="preserve"> </w:t>
            </w:r>
          </w:p>
          <w:p w:rsidR="007043CB" w:rsidRDefault="004B5C2E">
            <w:pPr>
              <w:spacing w:after="0" w:line="259" w:lineRule="auto"/>
              <w:ind w:left="0" w:firstLine="0"/>
              <w:jc w:val="left"/>
            </w:pPr>
            <w:r>
              <w:rPr>
                <w:b/>
                <w:sz w:val="19"/>
              </w:rPr>
              <w:t xml:space="preserve"> </w:t>
            </w:r>
          </w:p>
          <w:p w:rsidR="007043CB" w:rsidRDefault="004B5C2E">
            <w:pPr>
              <w:spacing w:after="0" w:line="259" w:lineRule="auto"/>
              <w:ind w:left="0" w:firstLine="0"/>
              <w:jc w:val="left"/>
            </w:pPr>
            <w:r>
              <w:rPr>
                <w:b/>
                <w:sz w:val="19"/>
              </w:rPr>
              <w:t xml:space="preserve"> </w:t>
            </w:r>
          </w:p>
          <w:p w:rsidR="007043CB" w:rsidRDefault="004B5C2E">
            <w:pPr>
              <w:spacing w:after="0" w:line="266" w:lineRule="auto"/>
              <w:ind w:left="0" w:right="2508" w:firstLine="0"/>
            </w:pPr>
            <w:r>
              <w:rPr>
                <w:b/>
                <w:sz w:val="19"/>
              </w:rPr>
              <w:t xml:space="preserve">Ujednává se k pojištění souboru movitých věcí, zásob, písemností a věcí zvláštní hodnoty: </w:t>
            </w:r>
            <w:r>
              <w:rPr>
                <w:sz w:val="19"/>
              </w:rPr>
              <w:t>* Soubor věcí zvláštní hodnoty -</w:t>
            </w:r>
            <w:r>
              <w:rPr>
                <w:rFonts w:ascii="Times New Roman" w:eastAsia="Times New Roman" w:hAnsi="Times New Roman" w:cs="Times New Roman"/>
                <w:sz w:val="20"/>
              </w:rPr>
              <w:t xml:space="preserve"> </w:t>
            </w:r>
            <w:r>
              <w:rPr>
                <w:sz w:val="19"/>
              </w:rPr>
              <w:t>pojištěn na obvyklou cenu</w:t>
            </w:r>
            <w:r>
              <w:rPr>
                <w:sz w:val="17"/>
                <w:vertAlign w:val="superscript"/>
              </w:rPr>
              <w:t>1)</w:t>
            </w:r>
            <w:r>
              <w:rPr>
                <w:sz w:val="19"/>
              </w:rPr>
              <w:t xml:space="preserve"> - první riziko;    </w:t>
            </w:r>
          </w:p>
          <w:p w:rsidR="007043CB" w:rsidRDefault="004B5C2E">
            <w:pPr>
              <w:spacing w:after="141" w:line="259" w:lineRule="auto"/>
              <w:ind w:left="0" w:firstLine="0"/>
              <w:jc w:val="left"/>
            </w:pPr>
            <w:r>
              <w:rPr>
                <w:sz w:val="4"/>
              </w:rPr>
              <w:t xml:space="preserve"> </w:t>
            </w:r>
          </w:p>
          <w:p w:rsidR="007043CB" w:rsidRDefault="004B5C2E">
            <w:pPr>
              <w:numPr>
                <w:ilvl w:val="0"/>
                <w:numId w:val="49"/>
              </w:numPr>
              <w:spacing w:after="10" w:line="243" w:lineRule="auto"/>
              <w:ind w:firstLine="0"/>
              <w:jc w:val="left"/>
            </w:pPr>
            <w:r>
              <w:rPr>
                <w:sz w:val="19"/>
              </w:rPr>
              <w:t xml:space="preserve">Soubor zásob a cenností- pojištěn dle odst. (3)  čl. VII.  ZPP P-200/05, sjednává se limit pojistného plnění ve výši     </w:t>
            </w:r>
            <w:r>
              <w:rPr>
                <w:b/>
                <w:sz w:val="19"/>
              </w:rPr>
              <w:t>100.000Kč</w:t>
            </w:r>
            <w:r>
              <w:rPr>
                <w:sz w:val="19"/>
              </w:rPr>
              <w:t xml:space="preserve"> pro jednu poj. událost </w:t>
            </w:r>
            <w:r>
              <w:rPr>
                <w:sz w:val="17"/>
                <w:vertAlign w:val="superscript"/>
              </w:rPr>
              <w:t>4)</w:t>
            </w:r>
            <w:r>
              <w:rPr>
                <w:sz w:val="19"/>
              </w:rPr>
              <w:t xml:space="preserve"> ;    </w:t>
            </w:r>
          </w:p>
          <w:p w:rsidR="007043CB" w:rsidRDefault="004B5C2E">
            <w:pPr>
              <w:numPr>
                <w:ilvl w:val="0"/>
                <w:numId w:val="49"/>
              </w:numPr>
              <w:spacing w:after="0" w:line="259" w:lineRule="auto"/>
              <w:ind w:firstLine="0"/>
              <w:jc w:val="left"/>
            </w:pPr>
            <w:r>
              <w:rPr>
                <w:sz w:val="19"/>
              </w:rPr>
              <w:t xml:space="preserve">Soubor </w:t>
            </w:r>
            <w:r>
              <w:t xml:space="preserve">písemností - </w:t>
            </w:r>
            <w:r>
              <w:rPr>
                <w:sz w:val="19"/>
              </w:rPr>
              <w:t xml:space="preserve"> sjednává se limit pojistného plnění ve výši </w:t>
            </w:r>
            <w:r>
              <w:rPr>
                <w:b/>
                <w:sz w:val="19"/>
              </w:rPr>
              <w:t>100.000Kč</w:t>
            </w:r>
            <w:r>
              <w:rPr>
                <w:sz w:val="19"/>
              </w:rPr>
              <w:t xml:space="preserve"> pro jednu poj. událost </w:t>
            </w:r>
            <w:r>
              <w:rPr>
                <w:sz w:val="17"/>
                <w:vertAlign w:val="superscript"/>
              </w:rPr>
              <w:t>4)</w:t>
            </w:r>
            <w:r>
              <w:rPr>
                <w:sz w:val="19"/>
              </w:rPr>
              <w:t xml:space="preserve"> ;    </w:t>
            </w:r>
          </w:p>
          <w:p w:rsidR="007043CB" w:rsidRDefault="004B5C2E">
            <w:pPr>
              <w:spacing w:after="0" w:line="259" w:lineRule="auto"/>
              <w:ind w:left="0" w:firstLine="0"/>
              <w:jc w:val="left"/>
            </w:pPr>
            <w:r>
              <w:rPr>
                <w:b/>
                <w:sz w:val="19"/>
              </w:rPr>
              <w:t xml:space="preserve"> </w:t>
            </w:r>
          </w:p>
          <w:p w:rsidR="007043CB" w:rsidRDefault="004B5C2E">
            <w:pPr>
              <w:spacing w:after="0" w:line="259" w:lineRule="auto"/>
              <w:ind w:left="0" w:firstLine="0"/>
              <w:jc w:val="left"/>
            </w:pPr>
            <w:r>
              <w:rPr>
                <w:sz w:val="19"/>
              </w:rPr>
              <w:t xml:space="preserve"> </w:t>
            </w:r>
          </w:p>
          <w:p w:rsidR="007043CB" w:rsidRDefault="004B5C2E">
            <w:pPr>
              <w:spacing w:after="0" w:line="259" w:lineRule="auto"/>
              <w:ind w:left="0" w:firstLine="0"/>
              <w:jc w:val="left"/>
            </w:pPr>
            <w:r>
              <w:rPr>
                <w:sz w:val="19"/>
              </w:rPr>
              <w:t xml:space="preserve">Definice </w:t>
            </w:r>
            <w:r>
              <w:rPr>
                <w:b/>
                <w:sz w:val="19"/>
              </w:rPr>
              <w:t>okrasné dřeviny</w:t>
            </w:r>
            <w:r>
              <w:rPr>
                <w:sz w:val="19"/>
              </w:rPr>
              <w:t xml:space="preserve"> a plnění pojistitele jsou součástí doložky DOD1 v přiložených DPP P-520/05. </w:t>
            </w:r>
          </w:p>
          <w:p w:rsidR="007043CB" w:rsidRDefault="004B5C2E">
            <w:pPr>
              <w:spacing w:after="0" w:line="259" w:lineRule="auto"/>
              <w:ind w:left="0" w:firstLine="0"/>
              <w:jc w:val="left"/>
            </w:pPr>
            <w:r>
              <w:rPr>
                <w:sz w:val="19"/>
              </w:rPr>
              <w:t xml:space="preserve"> </w:t>
            </w:r>
          </w:p>
          <w:p w:rsidR="007043CB" w:rsidRDefault="004B5C2E">
            <w:pPr>
              <w:spacing w:after="0" w:line="259" w:lineRule="auto"/>
              <w:ind w:left="0" w:firstLine="0"/>
              <w:jc w:val="left"/>
            </w:pPr>
            <w:r>
              <w:rPr>
                <w:sz w:val="19"/>
              </w:rPr>
              <w:t xml:space="preserve"> </w:t>
            </w:r>
          </w:p>
          <w:p w:rsidR="007043CB" w:rsidRDefault="004B5C2E">
            <w:pPr>
              <w:spacing w:after="0" w:line="259" w:lineRule="auto"/>
              <w:ind w:left="0" w:firstLine="0"/>
              <w:jc w:val="left"/>
            </w:pPr>
            <w:r>
              <w:rPr>
                <w:sz w:val="19"/>
              </w:rPr>
              <w:t xml:space="preserve">Další ujednání v článku II. odst. 3. Limity plnění  a dále v článku V. Zvláštní ujednání  této pojistné smlouvy . </w:t>
            </w:r>
          </w:p>
        </w:tc>
      </w:tr>
    </w:tbl>
    <w:p w:rsidR="007043CB" w:rsidRDefault="004B5C2E">
      <w:pPr>
        <w:numPr>
          <w:ilvl w:val="0"/>
          <w:numId w:val="4"/>
        </w:numPr>
        <w:ind w:hanging="135"/>
      </w:pPr>
      <w:r>
        <w:t xml:space="preserve">není-li uvedeno, platí ustanovení čl. II. odst. 1.1. </w:t>
      </w:r>
    </w:p>
    <w:p w:rsidR="007043CB" w:rsidRDefault="004B5C2E">
      <w:pPr>
        <w:spacing w:after="0" w:line="259" w:lineRule="auto"/>
        <w:ind w:left="142" w:firstLine="0"/>
        <w:jc w:val="left"/>
      </w:pPr>
      <w:r>
        <w:t xml:space="preserve"> </w:t>
      </w:r>
    </w:p>
    <w:p w:rsidR="007043CB" w:rsidRDefault="004B5C2E">
      <w:pPr>
        <w:spacing w:after="0" w:line="259" w:lineRule="auto"/>
        <w:ind w:left="142" w:firstLine="0"/>
        <w:jc w:val="left"/>
      </w:pPr>
      <w:r>
        <w:t xml:space="preserve"> </w:t>
      </w:r>
    </w:p>
    <w:p w:rsidR="007043CB" w:rsidRDefault="004B5C2E">
      <w:pPr>
        <w:spacing w:after="0" w:line="259" w:lineRule="auto"/>
        <w:ind w:left="137" w:hanging="10"/>
        <w:jc w:val="left"/>
      </w:pPr>
      <w:r>
        <w:rPr>
          <w:b/>
          <w:sz w:val="20"/>
        </w:rPr>
        <w:t xml:space="preserve">2.4.1.  Pojištění skla </w:t>
      </w:r>
      <w:r>
        <w:rPr>
          <w:i/>
          <w:sz w:val="19"/>
        </w:rPr>
        <w:t>– upravuje se, včetně ujednání poznámky</w:t>
      </w:r>
      <w:r>
        <w:rPr>
          <w:b/>
          <w:sz w:val="20"/>
        </w:rPr>
        <w:t xml:space="preserve"> </w:t>
      </w:r>
    </w:p>
    <w:tbl>
      <w:tblPr>
        <w:tblStyle w:val="TableGrid"/>
        <w:tblW w:w="10075" w:type="dxa"/>
        <w:tblInd w:w="34" w:type="dxa"/>
        <w:tblCellMar>
          <w:top w:w="40" w:type="dxa"/>
          <w:left w:w="108" w:type="dxa"/>
          <w:right w:w="96" w:type="dxa"/>
        </w:tblCellMar>
        <w:tblLook w:val="04A0" w:firstRow="1" w:lastRow="0" w:firstColumn="1" w:lastColumn="0" w:noHBand="0" w:noVBand="1"/>
      </w:tblPr>
      <w:tblGrid>
        <w:gridCol w:w="824"/>
        <w:gridCol w:w="2119"/>
        <w:gridCol w:w="1419"/>
        <w:gridCol w:w="1412"/>
        <w:gridCol w:w="1414"/>
        <w:gridCol w:w="1397"/>
        <w:gridCol w:w="1490"/>
      </w:tblGrid>
      <w:tr w:rsidR="007043CB">
        <w:trPr>
          <w:trHeight w:val="238"/>
        </w:trPr>
        <w:tc>
          <w:tcPr>
            <w:tcW w:w="10075"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left"/>
            </w:pPr>
            <w:r>
              <w:rPr>
                <w:b/>
                <w:sz w:val="19"/>
              </w:rPr>
              <w:t xml:space="preserve">Místo pojištění: </w:t>
            </w:r>
            <w:r>
              <w:rPr>
                <w:sz w:val="19"/>
              </w:rPr>
              <w:t>Katastrální území spravované městem Aš, 352 01, ČR</w:t>
            </w:r>
            <w:r>
              <w:rPr>
                <w:b/>
                <w:sz w:val="19"/>
              </w:rPr>
              <w:t xml:space="preserve"> </w:t>
            </w:r>
          </w:p>
        </w:tc>
      </w:tr>
      <w:tr w:rsidR="007043CB">
        <w:trPr>
          <w:trHeight w:val="240"/>
        </w:trPr>
        <w:tc>
          <w:tcPr>
            <w:tcW w:w="10075"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left"/>
            </w:pPr>
            <w:r>
              <w:rPr>
                <w:b/>
                <w:sz w:val="19"/>
              </w:rPr>
              <w:t xml:space="preserve">Rozsah pojištění: </w:t>
            </w:r>
            <w:r>
              <w:rPr>
                <w:sz w:val="19"/>
              </w:rPr>
              <w:t>poj. nebezpečí dle čl. II. ZPP P-250/05</w:t>
            </w:r>
            <w:r>
              <w:rPr>
                <w:b/>
                <w:sz w:val="19"/>
              </w:rPr>
              <w:t xml:space="preserve"> </w:t>
            </w:r>
          </w:p>
        </w:tc>
      </w:tr>
      <w:tr w:rsidR="007043CB">
        <w:trPr>
          <w:trHeight w:val="240"/>
        </w:trPr>
        <w:tc>
          <w:tcPr>
            <w:tcW w:w="10075"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left"/>
            </w:pPr>
            <w:r>
              <w:rPr>
                <w:b/>
                <w:sz w:val="19"/>
              </w:rPr>
              <w:t xml:space="preserve">Pojištění se řídí: </w:t>
            </w:r>
            <w:r>
              <w:rPr>
                <w:sz w:val="19"/>
              </w:rPr>
              <w:t xml:space="preserve">VPP P-100/09, ZPP P-250/05 a doložkami DOB1, DOB3, DOB6, DOB7, DSK1. </w:t>
            </w:r>
          </w:p>
        </w:tc>
      </w:tr>
      <w:tr w:rsidR="007043CB">
        <w:trPr>
          <w:trHeight w:val="1090"/>
        </w:trPr>
        <w:tc>
          <w:tcPr>
            <w:tcW w:w="824"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center"/>
            </w:pPr>
            <w:r>
              <w:rPr>
                <w:b/>
                <w:sz w:val="19"/>
              </w:rPr>
              <w:t xml:space="preserve">Poř. číslo </w:t>
            </w:r>
          </w:p>
        </w:tc>
        <w:tc>
          <w:tcPr>
            <w:tcW w:w="2119"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13" w:firstLine="0"/>
              <w:jc w:val="center"/>
            </w:pPr>
            <w:r>
              <w:rPr>
                <w:b/>
                <w:sz w:val="19"/>
              </w:rPr>
              <w:t xml:space="preserve">Předmět pojištění </w:t>
            </w:r>
          </w:p>
        </w:tc>
        <w:tc>
          <w:tcPr>
            <w:tcW w:w="1419"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45" w:hanging="45"/>
              <w:jc w:val="center"/>
            </w:pPr>
            <w:r>
              <w:rPr>
                <w:b/>
                <w:sz w:val="19"/>
              </w:rPr>
              <w:t xml:space="preserve">Agregovaná/ celková/ pojistná částka </w:t>
            </w:r>
          </w:p>
        </w:tc>
        <w:tc>
          <w:tcPr>
            <w:tcW w:w="1412"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14" w:firstLine="0"/>
              <w:jc w:val="center"/>
            </w:pPr>
            <w:r>
              <w:rPr>
                <w:b/>
              </w:rPr>
              <w:t>Spoluúčast</w:t>
            </w:r>
            <w:r>
              <w:rPr>
                <w:vertAlign w:val="superscript"/>
              </w:rPr>
              <w:t>5)</w:t>
            </w:r>
            <w:r>
              <w:rPr>
                <w:b/>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center"/>
            </w:pPr>
            <w:r>
              <w:rPr>
                <w:b/>
              </w:rPr>
              <w:t>Pojištění se sjednává*</w:t>
            </w:r>
            <w:r>
              <w:rPr>
                <w:b/>
                <w:vertAlign w:val="superscript"/>
              </w:rPr>
              <w:t>1)2)</w:t>
            </w:r>
            <w:r>
              <w:rPr>
                <w:b/>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center"/>
            </w:pPr>
            <w:r>
              <w:rPr>
                <w:b/>
              </w:rPr>
              <w:t>Maximální roční limit pojistného plnění</w:t>
            </w:r>
            <w:r>
              <w:rPr>
                <w:b/>
                <w:vertAlign w:val="superscript"/>
              </w:rPr>
              <w:t>3)</w:t>
            </w:r>
            <w:r>
              <w:rPr>
                <w:b/>
              </w:rPr>
              <w:t xml:space="preserve"> </w:t>
            </w:r>
          </w:p>
        </w:tc>
        <w:tc>
          <w:tcPr>
            <w:tcW w:w="1490"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1" w:firstLine="56"/>
              <w:jc w:val="center"/>
            </w:pPr>
            <w:r>
              <w:rPr>
                <w:b/>
              </w:rPr>
              <w:t>Limit pojistného plnění pro jednu poj. událost</w:t>
            </w:r>
            <w:r>
              <w:rPr>
                <w:b/>
                <w:vertAlign w:val="superscript"/>
              </w:rPr>
              <w:t>4)</w:t>
            </w:r>
            <w:r>
              <w:rPr>
                <w:b/>
              </w:rPr>
              <w:t xml:space="preserve"> </w:t>
            </w:r>
          </w:p>
        </w:tc>
      </w:tr>
      <w:tr w:rsidR="007043CB">
        <w:trPr>
          <w:trHeight w:val="526"/>
        </w:trPr>
        <w:tc>
          <w:tcPr>
            <w:tcW w:w="824"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36" w:firstLine="0"/>
              <w:jc w:val="center"/>
            </w:pPr>
            <w:r>
              <w:rPr>
                <w:sz w:val="19"/>
              </w:rPr>
              <w:t xml:space="preserve"> </w:t>
            </w:r>
          </w:p>
          <w:p w:rsidR="007043CB" w:rsidRDefault="004B5C2E">
            <w:pPr>
              <w:spacing w:after="0" w:line="259" w:lineRule="auto"/>
              <w:ind w:left="0" w:right="14" w:firstLine="0"/>
              <w:jc w:val="center"/>
            </w:pPr>
            <w:r>
              <w:rPr>
                <w:sz w:val="19"/>
              </w:rPr>
              <w:t xml:space="preserve">1 </w:t>
            </w:r>
          </w:p>
        </w:tc>
        <w:tc>
          <w:tcPr>
            <w:tcW w:w="2119"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left"/>
            </w:pPr>
            <w:r>
              <w:rPr>
                <w:sz w:val="19"/>
              </w:rPr>
              <w:t xml:space="preserve">Soubor skel vlastních  a cizích užívaných </w:t>
            </w:r>
          </w:p>
        </w:tc>
        <w:tc>
          <w:tcPr>
            <w:tcW w:w="1419"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44" w:firstLine="0"/>
              <w:jc w:val="left"/>
            </w:pPr>
            <w:r>
              <w:rPr>
                <w:sz w:val="19"/>
              </w:rPr>
              <w:t xml:space="preserve">nesjednává se </w:t>
            </w:r>
          </w:p>
        </w:tc>
        <w:tc>
          <w:tcPr>
            <w:tcW w:w="1412"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0" w:firstLine="0"/>
              <w:jc w:val="center"/>
            </w:pPr>
            <w:r>
              <w:rPr>
                <w:sz w:val="19"/>
              </w:rPr>
              <w:t xml:space="preserve">1 000 Kč </w:t>
            </w:r>
          </w:p>
        </w:tc>
        <w:tc>
          <w:tcPr>
            <w:tcW w:w="1414"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12" w:firstLine="0"/>
              <w:jc w:val="center"/>
            </w:pPr>
            <w:r>
              <w:rPr>
                <w:sz w:val="19"/>
              </w:rPr>
              <w:t xml:space="preserve">první riziko  </w:t>
            </w:r>
          </w:p>
          <w:p w:rsidR="007043CB" w:rsidRDefault="004B5C2E">
            <w:pPr>
              <w:spacing w:after="0" w:line="259" w:lineRule="auto"/>
              <w:ind w:left="0" w:right="14" w:firstLine="0"/>
              <w:jc w:val="center"/>
            </w:pPr>
            <w:r>
              <w:rPr>
                <w:sz w:val="19"/>
              </w:rPr>
              <w:t xml:space="preserve">nová cena </w:t>
            </w:r>
          </w:p>
        </w:tc>
        <w:tc>
          <w:tcPr>
            <w:tcW w:w="1397"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5" w:firstLine="0"/>
              <w:jc w:val="center"/>
            </w:pPr>
            <w:r>
              <w:rPr>
                <w:sz w:val="19"/>
              </w:rPr>
              <w:t xml:space="preserve">400 000 Kč </w:t>
            </w:r>
          </w:p>
        </w:tc>
        <w:tc>
          <w:tcPr>
            <w:tcW w:w="1490"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4" w:firstLine="0"/>
              <w:jc w:val="center"/>
            </w:pPr>
            <w:r>
              <w:rPr>
                <w:sz w:val="19"/>
              </w:rPr>
              <w:t xml:space="preserve">nesjednává se </w:t>
            </w:r>
          </w:p>
        </w:tc>
      </w:tr>
      <w:tr w:rsidR="007043CB">
        <w:trPr>
          <w:trHeight w:val="1152"/>
        </w:trPr>
        <w:tc>
          <w:tcPr>
            <w:tcW w:w="10075"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left"/>
            </w:pPr>
            <w:r>
              <w:rPr>
                <w:b/>
                <w:sz w:val="19"/>
              </w:rPr>
              <w:t xml:space="preserve">Poznámky: </w:t>
            </w:r>
            <w:r>
              <w:rPr>
                <w:sz w:val="19"/>
              </w:rPr>
              <w:t xml:space="preserve">Odchylně od čl. VIII. ZPP P-250/05 se pojištění vztahuje též na pevně osazené sklo o tloušťce pod 5mm . </w:t>
            </w:r>
          </w:p>
          <w:p w:rsidR="007043CB" w:rsidRDefault="004B5C2E">
            <w:pPr>
              <w:spacing w:after="0" w:line="259" w:lineRule="auto"/>
              <w:ind w:left="0" w:firstLine="0"/>
              <w:jc w:val="left"/>
            </w:pPr>
            <w:r>
              <w:rPr>
                <w:sz w:val="19"/>
              </w:rPr>
              <w:t xml:space="preserve"> </w:t>
            </w:r>
          </w:p>
          <w:p w:rsidR="007043CB" w:rsidRDefault="004B5C2E">
            <w:pPr>
              <w:spacing w:after="0" w:line="259" w:lineRule="auto"/>
              <w:ind w:left="0" w:firstLine="0"/>
              <w:jc w:val="left"/>
            </w:pPr>
            <w:r>
              <w:rPr>
                <w:sz w:val="19"/>
              </w:rPr>
              <w:t xml:space="preserve">Sjednává se spoluúčast </w:t>
            </w:r>
            <w:r>
              <w:rPr>
                <w:sz w:val="17"/>
                <w:vertAlign w:val="superscript"/>
              </w:rPr>
              <w:t>5)</w:t>
            </w:r>
            <w:r>
              <w:rPr>
                <w:sz w:val="19"/>
              </w:rPr>
              <w:t xml:space="preserve"> pro pojistné nebezpečí „povodeň“ ve výši </w:t>
            </w:r>
            <w:r>
              <w:rPr>
                <w:b/>
                <w:sz w:val="19"/>
              </w:rPr>
              <w:t>10% min. 5 tis. Kč.</w:t>
            </w:r>
            <w:r>
              <w:rPr>
                <w:sz w:val="19"/>
              </w:rPr>
              <w:t xml:space="preserve"> </w:t>
            </w:r>
          </w:p>
          <w:p w:rsidR="007043CB" w:rsidRDefault="004B5C2E">
            <w:pPr>
              <w:spacing w:after="0" w:line="259" w:lineRule="auto"/>
              <w:ind w:left="0" w:firstLine="0"/>
              <w:jc w:val="left"/>
            </w:pPr>
            <w:r>
              <w:rPr>
                <w:sz w:val="19"/>
              </w:rPr>
              <w:t xml:space="preserve"> </w:t>
            </w:r>
          </w:p>
          <w:p w:rsidR="007043CB" w:rsidRDefault="004B5C2E">
            <w:pPr>
              <w:spacing w:after="0" w:line="259" w:lineRule="auto"/>
              <w:ind w:left="0" w:firstLine="0"/>
              <w:jc w:val="left"/>
            </w:pPr>
            <w:r>
              <w:rPr>
                <w:sz w:val="19"/>
              </w:rPr>
              <w:t xml:space="preserve">Další ujednání v článku II. odst. 3. Limity plnění  a dále v článku V. Zvláštní ujednání  této pojistné smlouvy . </w:t>
            </w:r>
          </w:p>
        </w:tc>
      </w:tr>
    </w:tbl>
    <w:p w:rsidR="007043CB" w:rsidRDefault="004B5C2E">
      <w:pPr>
        <w:numPr>
          <w:ilvl w:val="0"/>
          <w:numId w:val="4"/>
        </w:numPr>
        <w:ind w:hanging="135"/>
      </w:pPr>
      <w:r>
        <w:t xml:space="preserve">není-li uvedeno, platí ustanovení čl. II. odst. 1.1. </w:t>
      </w:r>
    </w:p>
    <w:p w:rsidR="007043CB" w:rsidRDefault="004B5C2E">
      <w:pPr>
        <w:spacing w:after="0" w:line="259" w:lineRule="auto"/>
        <w:ind w:left="336" w:firstLine="0"/>
        <w:jc w:val="left"/>
      </w:pPr>
      <w:r>
        <w:t xml:space="preserve"> </w:t>
      </w:r>
    </w:p>
    <w:p w:rsidR="007043CB" w:rsidRDefault="004B5C2E">
      <w:pPr>
        <w:spacing w:after="0" w:line="259" w:lineRule="auto"/>
        <w:ind w:left="336" w:firstLine="0"/>
        <w:jc w:val="left"/>
      </w:pPr>
      <w:r>
        <w:t xml:space="preserve"> </w:t>
      </w:r>
    </w:p>
    <w:p w:rsidR="007043CB" w:rsidRDefault="004B5C2E">
      <w:pPr>
        <w:spacing w:after="0" w:line="259" w:lineRule="auto"/>
        <w:ind w:left="336" w:firstLine="0"/>
        <w:jc w:val="left"/>
      </w:pPr>
      <w:r>
        <w:t xml:space="preserve"> </w:t>
      </w:r>
    </w:p>
    <w:p w:rsidR="007043CB" w:rsidRDefault="004B5C2E">
      <w:pPr>
        <w:spacing w:after="0" w:line="259" w:lineRule="auto"/>
        <w:ind w:left="336" w:firstLine="0"/>
        <w:jc w:val="left"/>
      </w:pPr>
      <w:r>
        <w:t xml:space="preserve"> </w:t>
      </w:r>
    </w:p>
    <w:p w:rsidR="007043CB" w:rsidRDefault="004B5C2E">
      <w:pPr>
        <w:spacing w:line="259" w:lineRule="auto"/>
        <w:ind w:left="336" w:firstLine="0"/>
        <w:jc w:val="left"/>
      </w:pPr>
      <w:r>
        <w:t xml:space="preserve"> </w:t>
      </w:r>
    </w:p>
    <w:p w:rsidR="007043CB" w:rsidRDefault="004B5C2E">
      <w:pPr>
        <w:spacing w:after="0" w:line="259" w:lineRule="auto"/>
        <w:ind w:left="137" w:hanging="10"/>
        <w:jc w:val="left"/>
      </w:pPr>
      <w:r>
        <w:rPr>
          <w:b/>
          <w:sz w:val="20"/>
        </w:rPr>
        <w:t xml:space="preserve">2.5.1.  Pojištění strojů </w:t>
      </w:r>
      <w:r>
        <w:rPr>
          <w:i/>
          <w:sz w:val="19"/>
        </w:rPr>
        <w:t>– upravuje se, včetně ujednání poznámky</w:t>
      </w:r>
      <w:r>
        <w:rPr>
          <w:b/>
          <w:sz w:val="20"/>
        </w:rPr>
        <w:t xml:space="preserve"> </w:t>
      </w:r>
    </w:p>
    <w:tbl>
      <w:tblPr>
        <w:tblStyle w:val="TableGrid"/>
        <w:tblW w:w="10173" w:type="dxa"/>
        <w:tblInd w:w="34" w:type="dxa"/>
        <w:tblCellMar>
          <w:top w:w="43" w:type="dxa"/>
          <w:left w:w="108" w:type="dxa"/>
          <w:right w:w="60" w:type="dxa"/>
        </w:tblCellMar>
        <w:tblLook w:val="04A0" w:firstRow="1" w:lastRow="0" w:firstColumn="1" w:lastColumn="0" w:noHBand="0" w:noVBand="1"/>
      </w:tblPr>
      <w:tblGrid>
        <w:gridCol w:w="823"/>
        <w:gridCol w:w="2689"/>
        <w:gridCol w:w="1416"/>
        <w:gridCol w:w="1277"/>
        <w:gridCol w:w="1135"/>
        <w:gridCol w:w="1275"/>
        <w:gridCol w:w="1558"/>
      </w:tblGrid>
      <w:tr w:rsidR="007043CB">
        <w:trPr>
          <w:trHeight w:val="240"/>
        </w:trPr>
        <w:tc>
          <w:tcPr>
            <w:tcW w:w="10173"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left"/>
            </w:pPr>
            <w:r>
              <w:rPr>
                <w:b/>
                <w:sz w:val="19"/>
              </w:rPr>
              <w:t xml:space="preserve">Místo pojištění: </w:t>
            </w:r>
            <w:r>
              <w:rPr>
                <w:sz w:val="19"/>
              </w:rPr>
              <w:t>Katastrální území spravované městem Aš, 352 01, ČR</w:t>
            </w:r>
            <w:r>
              <w:rPr>
                <w:b/>
                <w:sz w:val="19"/>
              </w:rPr>
              <w:t xml:space="preserve"> </w:t>
            </w:r>
          </w:p>
        </w:tc>
      </w:tr>
      <w:tr w:rsidR="007043CB">
        <w:trPr>
          <w:trHeight w:val="240"/>
        </w:trPr>
        <w:tc>
          <w:tcPr>
            <w:tcW w:w="10173"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left"/>
            </w:pPr>
            <w:r>
              <w:rPr>
                <w:b/>
                <w:sz w:val="19"/>
              </w:rPr>
              <w:lastRenderedPageBreak/>
              <w:t xml:space="preserve">Rozsah pojištění: </w:t>
            </w:r>
            <w:r>
              <w:rPr>
                <w:sz w:val="19"/>
              </w:rPr>
              <w:t xml:space="preserve">poj. nebezpečí dle čl. II. ZPP P-300/05  </w:t>
            </w:r>
            <w:r>
              <w:rPr>
                <w:b/>
                <w:sz w:val="19"/>
              </w:rPr>
              <w:t xml:space="preserve"> </w:t>
            </w:r>
          </w:p>
        </w:tc>
      </w:tr>
      <w:tr w:rsidR="007043CB">
        <w:trPr>
          <w:trHeight w:val="240"/>
        </w:trPr>
        <w:tc>
          <w:tcPr>
            <w:tcW w:w="10173"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left"/>
            </w:pPr>
            <w:r>
              <w:rPr>
                <w:b/>
                <w:sz w:val="19"/>
              </w:rPr>
              <w:t xml:space="preserve">Pojištění se řídí: </w:t>
            </w:r>
            <w:r>
              <w:rPr>
                <w:sz w:val="19"/>
              </w:rPr>
              <w:t xml:space="preserve">VPP P-100/09, ZPP P-300/05 a doložkami DOB1, DOB3, DOB6, DST11. </w:t>
            </w:r>
          </w:p>
        </w:tc>
      </w:tr>
      <w:tr w:rsidR="007043CB">
        <w:trPr>
          <w:trHeight w:val="922"/>
        </w:trPr>
        <w:tc>
          <w:tcPr>
            <w:tcW w:w="824"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center"/>
            </w:pPr>
            <w:r>
              <w:rPr>
                <w:b/>
                <w:sz w:val="19"/>
              </w:rPr>
              <w:t xml:space="preserve">Poř. číslo </w:t>
            </w:r>
          </w:p>
        </w:tc>
        <w:tc>
          <w:tcPr>
            <w:tcW w:w="2689"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52" w:firstLine="0"/>
              <w:jc w:val="center"/>
            </w:pPr>
            <w:r>
              <w:rPr>
                <w:b/>
                <w:sz w:val="19"/>
              </w:rPr>
              <w:t xml:space="preserve">Předmět pojištění </w:t>
            </w:r>
          </w:p>
        </w:tc>
        <w:tc>
          <w:tcPr>
            <w:tcW w:w="1416"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45" w:hanging="45"/>
              <w:jc w:val="center"/>
            </w:pPr>
            <w:r>
              <w:rPr>
                <w:b/>
                <w:sz w:val="19"/>
              </w:rPr>
              <w:t xml:space="preserve">Agregovaná/ celková/ pojistná částka </w:t>
            </w:r>
          </w:p>
        </w:tc>
        <w:tc>
          <w:tcPr>
            <w:tcW w:w="1277"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67" w:firstLine="0"/>
              <w:jc w:val="left"/>
            </w:pPr>
            <w:r>
              <w:rPr>
                <w:b/>
                <w:sz w:val="19"/>
              </w:rPr>
              <w:t xml:space="preserve">Spoluúčast </w:t>
            </w:r>
          </w:p>
          <w:p w:rsidR="007043CB" w:rsidRDefault="004B5C2E">
            <w:pPr>
              <w:spacing w:after="0" w:line="259" w:lineRule="auto"/>
              <w:ind w:left="0" w:right="45" w:firstLine="0"/>
              <w:jc w:val="center"/>
            </w:pPr>
            <w:r>
              <w:rPr>
                <w:sz w:val="11"/>
              </w:rPr>
              <w:t>5)</w:t>
            </w:r>
            <w:r>
              <w:rPr>
                <w:b/>
                <w:sz w:val="19"/>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36" w:lineRule="auto"/>
              <w:ind w:left="0" w:firstLine="0"/>
              <w:jc w:val="center"/>
            </w:pPr>
            <w:r>
              <w:rPr>
                <w:b/>
                <w:sz w:val="19"/>
              </w:rPr>
              <w:t xml:space="preserve">Pojištění se </w:t>
            </w:r>
          </w:p>
          <w:p w:rsidR="007043CB" w:rsidRDefault="004B5C2E">
            <w:pPr>
              <w:spacing w:after="0" w:line="259" w:lineRule="auto"/>
              <w:ind w:left="48" w:firstLine="0"/>
              <w:jc w:val="left"/>
            </w:pPr>
            <w:r>
              <w:rPr>
                <w:b/>
                <w:sz w:val="19"/>
              </w:rPr>
              <w:t xml:space="preserve">sjednává* </w:t>
            </w:r>
          </w:p>
          <w:p w:rsidR="007043CB" w:rsidRDefault="004B5C2E">
            <w:pPr>
              <w:spacing w:after="0" w:line="259" w:lineRule="auto"/>
              <w:ind w:left="0" w:right="50" w:firstLine="0"/>
              <w:jc w:val="center"/>
            </w:pPr>
            <w:r>
              <w:rPr>
                <w:b/>
                <w:sz w:val="11"/>
              </w:rPr>
              <w:t>1)</w:t>
            </w:r>
            <w:r>
              <w:rPr>
                <w:b/>
                <w:sz w:val="19"/>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center"/>
            </w:pPr>
            <w:r>
              <w:rPr>
                <w:b/>
                <w:sz w:val="19"/>
              </w:rPr>
              <w:t>Maximální roční limit pojistného plnění</w:t>
            </w:r>
            <w:r>
              <w:rPr>
                <w:b/>
                <w:sz w:val="17"/>
                <w:vertAlign w:val="superscript"/>
              </w:rPr>
              <w:t>3)</w:t>
            </w:r>
            <w:r>
              <w:rPr>
                <w:b/>
                <w:sz w:val="19"/>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7043CB" w:rsidRDefault="004B5C2E">
            <w:pPr>
              <w:spacing w:after="2" w:line="236" w:lineRule="auto"/>
              <w:ind w:left="0" w:firstLine="0"/>
              <w:jc w:val="center"/>
            </w:pPr>
            <w:r>
              <w:rPr>
                <w:b/>
                <w:sz w:val="19"/>
              </w:rPr>
              <w:t xml:space="preserve">Limit pojistného </w:t>
            </w:r>
          </w:p>
          <w:p w:rsidR="007043CB" w:rsidRDefault="004B5C2E">
            <w:pPr>
              <w:spacing w:after="0" w:line="259" w:lineRule="auto"/>
              <w:ind w:left="125" w:hanging="118"/>
            </w:pPr>
            <w:r>
              <w:rPr>
                <w:b/>
                <w:sz w:val="19"/>
              </w:rPr>
              <w:t>plnění</w:t>
            </w:r>
            <w:r>
              <w:rPr>
                <w:b/>
                <w:sz w:val="8"/>
              </w:rPr>
              <w:t xml:space="preserve"> </w:t>
            </w:r>
            <w:r>
              <w:rPr>
                <w:b/>
                <w:sz w:val="19"/>
              </w:rPr>
              <w:t>pro</w:t>
            </w:r>
            <w:r>
              <w:rPr>
                <w:b/>
                <w:sz w:val="8"/>
              </w:rPr>
              <w:t xml:space="preserve"> </w:t>
            </w:r>
            <w:r>
              <w:rPr>
                <w:b/>
                <w:sz w:val="19"/>
              </w:rPr>
              <w:t>jednu poj. událost</w:t>
            </w:r>
            <w:r>
              <w:rPr>
                <w:b/>
                <w:sz w:val="17"/>
                <w:vertAlign w:val="superscript"/>
              </w:rPr>
              <w:t>4)</w:t>
            </w:r>
            <w:r>
              <w:rPr>
                <w:b/>
                <w:sz w:val="19"/>
              </w:rPr>
              <w:t xml:space="preserve"> </w:t>
            </w:r>
          </w:p>
        </w:tc>
      </w:tr>
      <w:tr w:rsidR="007043CB">
        <w:trPr>
          <w:trHeight w:val="1150"/>
        </w:trPr>
        <w:tc>
          <w:tcPr>
            <w:tcW w:w="82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firstLine="0"/>
              <w:jc w:val="center"/>
            </w:pPr>
            <w:r>
              <w:rPr>
                <w:sz w:val="19"/>
              </w:rPr>
              <w:t xml:space="preserve"> </w:t>
            </w:r>
          </w:p>
          <w:p w:rsidR="007043CB" w:rsidRDefault="004B5C2E">
            <w:pPr>
              <w:spacing w:after="0" w:line="259" w:lineRule="auto"/>
              <w:ind w:left="0" w:right="50" w:firstLine="0"/>
              <w:jc w:val="center"/>
            </w:pPr>
            <w:r>
              <w:rPr>
                <w:sz w:val="19"/>
              </w:rPr>
              <w:t xml:space="preserve">1 </w:t>
            </w:r>
          </w:p>
          <w:p w:rsidR="007043CB" w:rsidRDefault="004B5C2E">
            <w:pPr>
              <w:spacing w:after="0" w:line="259" w:lineRule="auto"/>
              <w:ind w:left="0" w:firstLine="0"/>
              <w:jc w:val="center"/>
            </w:pPr>
            <w:r>
              <w:rPr>
                <w:sz w:val="19"/>
              </w:rPr>
              <w:t xml:space="preserve"> </w:t>
            </w:r>
          </w:p>
        </w:tc>
        <w:tc>
          <w:tcPr>
            <w:tcW w:w="2689"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101" w:firstLine="0"/>
            </w:pPr>
            <w:r>
              <w:rPr>
                <w:sz w:val="19"/>
              </w:rPr>
              <w:t xml:space="preserve">Soubor strojů- obor.  skupina: Technologie kašny, stavěcí zařízení kuželkářské/ bowling dráhy, kotle/ kondenzační - vlastní  nebo  cizí užívané. </w:t>
            </w:r>
          </w:p>
        </w:tc>
        <w:tc>
          <w:tcPr>
            <w:tcW w:w="1416"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58" w:firstLine="0"/>
              <w:jc w:val="left"/>
            </w:pPr>
            <w:r>
              <w:rPr>
                <w:sz w:val="19"/>
              </w:rPr>
              <w:t xml:space="preserve">4 000 000 Kč </w:t>
            </w:r>
          </w:p>
        </w:tc>
        <w:tc>
          <w:tcPr>
            <w:tcW w:w="1277"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46" w:firstLine="0"/>
              <w:jc w:val="center"/>
            </w:pPr>
            <w:r>
              <w:rPr>
                <w:sz w:val="19"/>
              </w:rPr>
              <w:t xml:space="preserve">5 000 Kč </w:t>
            </w:r>
          </w:p>
        </w:tc>
        <w:tc>
          <w:tcPr>
            <w:tcW w:w="1135"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55" w:firstLine="0"/>
              <w:jc w:val="left"/>
            </w:pPr>
            <w:r>
              <w:rPr>
                <w:sz w:val="19"/>
              </w:rPr>
              <w:t xml:space="preserve">nová cena </w:t>
            </w:r>
          </w:p>
        </w:tc>
        <w:tc>
          <w:tcPr>
            <w:tcW w:w="1275"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firstLine="0"/>
              <w:jc w:val="left"/>
            </w:pPr>
            <w:r>
              <w:rPr>
                <w:sz w:val="19"/>
              </w:rPr>
              <w:t>1 000 000</w:t>
            </w:r>
            <w:r>
              <w:rPr>
                <w:sz w:val="8"/>
              </w:rPr>
              <w:t xml:space="preserve"> </w:t>
            </w:r>
            <w:r>
              <w:rPr>
                <w:sz w:val="19"/>
              </w:rPr>
              <w:t xml:space="preserve">Kč </w:t>
            </w:r>
          </w:p>
        </w:tc>
        <w:tc>
          <w:tcPr>
            <w:tcW w:w="1558"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50" w:firstLine="0"/>
              <w:jc w:val="center"/>
            </w:pPr>
            <w:r>
              <w:rPr>
                <w:sz w:val="19"/>
              </w:rPr>
              <w:t xml:space="preserve">nesjednává se </w:t>
            </w:r>
          </w:p>
        </w:tc>
      </w:tr>
      <w:tr w:rsidR="007043CB">
        <w:trPr>
          <w:trHeight w:val="1152"/>
        </w:trPr>
        <w:tc>
          <w:tcPr>
            <w:tcW w:w="10173"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1" w:line="237" w:lineRule="auto"/>
              <w:ind w:left="0" w:right="50" w:firstLine="0"/>
            </w:pPr>
            <w:r>
              <w:rPr>
                <w:b/>
                <w:sz w:val="19"/>
              </w:rPr>
              <w:t xml:space="preserve">Poznámky: </w:t>
            </w:r>
            <w:r>
              <w:rPr>
                <w:sz w:val="19"/>
              </w:rPr>
              <w:t xml:space="preserve"> Odchylně od ZPP P-300/05 čl. 1. bod 5) se pojištění nevztahuje na věci starší </w:t>
            </w:r>
            <w:r>
              <w:rPr>
                <w:b/>
                <w:sz w:val="19"/>
              </w:rPr>
              <w:t>12 let</w:t>
            </w:r>
            <w:r>
              <w:rPr>
                <w:sz w:val="19"/>
              </w:rPr>
              <w:t xml:space="preserve"> od data výroby / prvního uvedení do provozu. Výjimku tvoří stroje a strojní zařízení, na nichž byla prokazatelně provedena generální oprava celého stroje / zařízení v posledních 5 letech před vznikem pojistné události (</w:t>
            </w:r>
            <w:r>
              <w:rPr>
                <w:i/>
              </w:rPr>
              <w:t>pojistník se zavazuje doložit pojistiteli na vyzvání</w:t>
            </w:r>
            <w:r>
              <w:rPr>
                <w:sz w:val="19"/>
              </w:rPr>
              <w:t>).</w:t>
            </w:r>
            <w:r>
              <w:rPr>
                <w:b/>
                <w:sz w:val="19"/>
              </w:rPr>
              <w:t xml:space="preserve"> </w:t>
            </w:r>
          </w:p>
          <w:p w:rsidR="007043CB" w:rsidRDefault="004B5C2E">
            <w:pPr>
              <w:spacing w:after="0" w:line="259" w:lineRule="auto"/>
              <w:ind w:left="0" w:firstLine="0"/>
              <w:jc w:val="left"/>
            </w:pPr>
            <w:r>
              <w:rPr>
                <w:sz w:val="19"/>
              </w:rPr>
              <w:t xml:space="preserve"> </w:t>
            </w:r>
          </w:p>
          <w:p w:rsidR="007043CB" w:rsidRDefault="004B5C2E">
            <w:pPr>
              <w:spacing w:after="0" w:line="259" w:lineRule="auto"/>
              <w:ind w:left="0" w:firstLine="0"/>
              <w:jc w:val="left"/>
            </w:pPr>
            <w:r>
              <w:rPr>
                <w:sz w:val="19"/>
              </w:rPr>
              <w:t xml:space="preserve">Další ujednání v článku II. odst. 3. Limity plnění  a dále v článku V. Zvláštní ujednání  této pojistné smlouvy . </w:t>
            </w:r>
          </w:p>
        </w:tc>
      </w:tr>
    </w:tbl>
    <w:p w:rsidR="007043CB" w:rsidRDefault="004B5C2E">
      <w:pPr>
        <w:numPr>
          <w:ilvl w:val="0"/>
          <w:numId w:val="4"/>
        </w:numPr>
        <w:ind w:hanging="135"/>
      </w:pPr>
      <w:r>
        <w:t xml:space="preserve">není-li uvedeno, platí ustanovení čl. II. odst. 1.1. </w:t>
      </w:r>
    </w:p>
    <w:p w:rsidR="007043CB" w:rsidRDefault="004B5C2E">
      <w:pPr>
        <w:spacing w:after="0" w:line="259" w:lineRule="auto"/>
        <w:ind w:left="0" w:firstLine="0"/>
        <w:jc w:val="left"/>
      </w:pPr>
      <w:r>
        <w:t xml:space="preserve"> </w:t>
      </w:r>
    </w:p>
    <w:p w:rsidR="007043CB" w:rsidRDefault="004B5C2E">
      <w:pPr>
        <w:spacing w:after="0" w:line="259" w:lineRule="auto"/>
        <w:ind w:left="0" w:firstLine="0"/>
        <w:jc w:val="left"/>
      </w:pPr>
      <w:r>
        <w:t xml:space="preserve"> </w:t>
      </w:r>
    </w:p>
    <w:p w:rsidR="007043CB" w:rsidRDefault="004B5C2E">
      <w:pPr>
        <w:spacing w:after="0" w:line="259" w:lineRule="auto"/>
        <w:ind w:left="0" w:firstLine="0"/>
        <w:jc w:val="left"/>
      </w:pPr>
      <w:r>
        <w:t xml:space="preserve"> </w:t>
      </w:r>
    </w:p>
    <w:p w:rsidR="007043CB" w:rsidRDefault="004B5C2E">
      <w:pPr>
        <w:spacing w:after="0" w:line="259" w:lineRule="auto"/>
        <w:ind w:left="0" w:firstLine="0"/>
        <w:jc w:val="left"/>
      </w:pPr>
      <w:r>
        <w:t xml:space="preserve"> </w:t>
      </w:r>
    </w:p>
    <w:p w:rsidR="007043CB" w:rsidRDefault="004B5C2E">
      <w:pPr>
        <w:spacing w:after="0" w:line="259" w:lineRule="auto"/>
        <w:ind w:left="0" w:firstLine="0"/>
        <w:jc w:val="left"/>
      </w:pPr>
      <w:r>
        <w:t xml:space="preserve"> </w:t>
      </w:r>
    </w:p>
    <w:p w:rsidR="007043CB" w:rsidRDefault="004B5C2E">
      <w:pPr>
        <w:ind w:left="152" w:hanging="10"/>
        <w:jc w:val="left"/>
      </w:pPr>
      <w:r>
        <w:rPr>
          <w:b/>
          <w:sz w:val="20"/>
        </w:rPr>
        <w:t xml:space="preserve">2.5.2.  Pojištění strojů  </w:t>
      </w:r>
    </w:p>
    <w:tbl>
      <w:tblPr>
        <w:tblStyle w:val="TableGrid"/>
        <w:tblW w:w="10176" w:type="dxa"/>
        <w:tblInd w:w="34" w:type="dxa"/>
        <w:tblCellMar>
          <w:top w:w="43" w:type="dxa"/>
          <w:left w:w="108" w:type="dxa"/>
          <w:right w:w="59" w:type="dxa"/>
        </w:tblCellMar>
        <w:tblLook w:val="04A0" w:firstRow="1" w:lastRow="0" w:firstColumn="1" w:lastColumn="0" w:noHBand="0" w:noVBand="1"/>
      </w:tblPr>
      <w:tblGrid>
        <w:gridCol w:w="824"/>
        <w:gridCol w:w="2689"/>
        <w:gridCol w:w="1274"/>
        <w:gridCol w:w="1277"/>
        <w:gridCol w:w="1277"/>
        <w:gridCol w:w="1275"/>
        <w:gridCol w:w="1560"/>
      </w:tblGrid>
      <w:tr w:rsidR="007043CB">
        <w:trPr>
          <w:trHeight w:val="240"/>
        </w:trPr>
        <w:tc>
          <w:tcPr>
            <w:tcW w:w="10176"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left"/>
            </w:pPr>
            <w:r>
              <w:rPr>
                <w:b/>
                <w:sz w:val="19"/>
              </w:rPr>
              <w:t xml:space="preserve">Místo pojištění: </w:t>
            </w:r>
            <w:r>
              <w:rPr>
                <w:sz w:val="19"/>
              </w:rPr>
              <w:t>Katastrální území spravované městem Aš, 352 01, ČR</w:t>
            </w:r>
            <w:r>
              <w:rPr>
                <w:b/>
                <w:sz w:val="19"/>
              </w:rPr>
              <w:t xml:space="preserve"> </w:t>
            </w:r>
          </w:p>
        </w:tc>
      </w:tr>
      <w:tr w:rsidR="007043CB">
        <w:trPr>
          <w:trHeight w:val="240"/>
        </w:trPr>
        <w:tc>
          <w:tcPr>
            <w:tcW w:w="10176"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left"/>
            </w:pPr>
            <w:r>
              <w:rPr>
                <w:b/>
                <w:sz w:val="19"/>
              </w:rPr>
              <w:t xml:space="preserve">Rozsah pojištění: </w:t>
            </w:r>
            <w:r>
              <w:rPr>
                <w:sz w:val="19"/>
              </w:rPr>
              <w:t xml:space="preserve">poj. nebezpečí dle čl. II. ZPP P-300/05  </w:t>
            </w:r>
            <w:r>
              <w:rPr>
                <w:b/>
                <w:sz w:val="19"/>
              </w:rPr>
              <w:t xml:space="preserve"> </w:t>
            </w:r>
          </w:p>
        </w:tc>
      </w:tr>
      <w:tr w:rsidR="007043CB">
        <w:trPr>
          <w:trHeight w:val="468"/>
        </w:trPr>
        <w:tc>
          <w:tcPr>
            <w:tcW w:w="10176"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left"/>
            </w:pPr>
            <w:r>
              <w:rPr>
                <w:b/>
                <w:sz w:val="19"/>
              </w:rPr>
              <w:t xml:space="preserve">Pojištění se řídí: </w:t>
            </w:r>
            <w:r>
              <w:rPr>
                <w:sz w:val="19"/>
              </w:rPr>
              <w:t xml:space="preserve">VPP P-100/09, ZPP P-300/05 a doložkami DOB1, DOB3, DOB6, DOB7, DOZ5, DOZ8, DST2, DST3, DST4, </w:t>
            </w:r>
          </w:p>
          <w:p w:rsidR="007043CB" w:rsidRDefault="004B5C2E">
            <w:pPr>
              <w:spacing w:after="0" w:line="259" w:lineRule="auto"/>
              <w:ind w:left="0" w:firstLine="0"/>
              <w:jc w:val="left"/>
            </w:pPr>
            <w:r>
              <w:rPr>
                <w:sz w:val="19"/>
              </w:rPr>
              <w:t xml:space="preserve">DST5, DST6, DST8, DST11 </w:t>
            </w:r>
          </w:p>
        </w:tc>
      </w:tr>
      <w:tr w:rsidR="007043CB">
        <w:trPr>
          <w:trHeight w:val="1150"/>
        </w:trPr>
        <w:tc>
          <w:tcPr>
            <w:tcW w:w="824"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center"/>
            </w:pPr>
            <w:r>
              <w:rPr>
                <w:b/>
                <w:sz w:val="19"/>
              </w:rPr>
              <w:t xml:space="preserve">Poř. číslo </w:t>
            </w:r>
          </w:p>
        </w:tc>
        <w:tc>
          <w:tcPr>
            <w:tcW w:w="2689"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53" w:firstLine="0"/>
              <w:jc w:val="center"/>
            </w:pPr>
            <w:r>
              <w:rPr>
                <w:b/>
                <w:sz w:val="19"/>
              </w:rPr>
              <w:t xml:space="preserve">Předmět pojištění </w:t>
            </w:r>
          </w:p>
        </w:tc>
        <w:tc>
          <w:tcPr>
            <w:tcW w:w="1274"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44" w:hanging="44"/>
              <w:jc w:val="center"/>
            </w:pPr>
            <w:r>
              <w:rPr>
                <w:b/>
                <w:sz w:val="19"/>
              </w:rPr>
              <w:t xml:space="preserve">Agregovaná/ celková/ pojistná částka </w:t>
            </w:r>
          </w:p>
        </w:tc>
        <w:tc>
          <w:tcPr>
            <w:tcW w:w="1277"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67" w:firstLine="0"/>
              <w:jc w:val="left"/>
            </w:pPr>
            <w:r>
              <w:rPr>
                <w:b/>
                <w:sz w:val="19"/>
              </w:rPr>
              <w:t xml:space="preserve">Spoluúčast </w:t>
            </w:r>
          </w:p>
          <w:p w:rsidR="007043CB" w:rsidRDefault="004B5C2E">
            <w:pPr>
              <w:spacing w:after="0" w:line="259" w:lineRule="auto"/>
              <w:ind w:left="0" w:right="44" w:firstLine="0"/>
              <w:jc w:val="center"/>
            </w:pPr>
            <w:r>
              <w:rPr>
                <w:b/>
                <w:sz w:val="11"/>
              </w:rPr>
              <w:t>5)</w:t>
            </w:r>
            <w:r>
              <w:rPr>
                <w:b/>
                <w:sz w:val="19"/>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center"/>
            </w:pPr>
            <w:r>
              <w:rPr>
                <w:b/>
                <w:sz w:val="19"/>
              </w:rPr>
              <w:t>Pojištění se sjednává*</w:t>
            </w:r>
            <w:r>
              <w:rPr>
                <w:b/>
                <w:sz w:val="17"/>
                <w:vertAlign w:val="superscript"/>
              </w:rPr>
              <w:t>1)</w:t>
            </w:r>
            <w:r>
              <w:rPr>
                <w:b/>
                <w:sz w:val="19"/>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center"/>
            </w:pPr>
            <w:r>
              <w:rPr>
                <w:b/>
                <w:sz w:val="19"/>
              </w:rPr>
              <w:t>Maximální roční limit pojistného plnění</w:t>
            </w:r>
            <w:r>
              <w:rPr>
                <w:b/>
                <w:sz w:val="17"/>
                <w:vertAlign w:val="superscript"/>
              </w:rPr>
              <w:t>3)</w:t>
            </w:r>
            <w:r>
              <w:rPr>
                <w:b/>
                <w:sz w:val="19"/>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4" w:right="6" w:firstLine="59"/>
              <w:jc w:val="center"/>
            </w:pPr>
            <w:r>
              <w:rPr>
                <w:b/>
                <w:sz w:val="19"/>
              </w:rPr>
              <w:t>Limit pojistného plnění pro jednu poj. událost</w:t>
            </w:r>
            <w:r>
              <w:rPr>
                <w:b/>
                <w:sz w:val="17"/>
                <w:vertAlign w:val="superscript"/>
              </w:rPr>
              <w:t>4)</w:t>
            </w:r>
            <w:r>
              <w:rPr>
                <w:b/>
                <w:sz w:val="19"/>
              </w:rPr>
              <w:t xml:space="preserve"> </w:t>
            </w:r>
          </w:p>
        </w:tc>
      </w:tr>
      <w:tr w:rsidR="007043CB">
        <w:trPr>
          <w:trHeight w:val="466"/>
        </w:trPr>
        <w:tc>
          <w:tcPr>
            <w:tcW w:w="824"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1" w:firstLine="0"/>
              <w:jc w:val="center"/>
            </w:pPr>
            <w:r>
              <w:rPr>
                <w:i/>
                <w:sz w:val="19"/>
              </w:rPr>
              <w:t xml:space="preserve"> </w:t>
            </w:r>
          </w:p>
          <w:p w:rsidR="007043CB" w:rsidRDefault="004B5C2E">
            <w:pPr>
              <w:spacing w:after="0" w:line="259" w:lineRule="auto"/>
              <w:ind w:left="0" w:right="49" w:firstLine="0"/>
              <w:jc w:val="center"/>
            </w:pPr>
            <w:r>
              <w:rPr>
                <w:i/>
                <w:sz w:val="19"/>
              </w:rPr>
              <w:t xml:space="preserve">1 </w:t>
            </w:r>
          </w:p>
        </w:tc>
        <w:tc>
          <w:tcPr>
            <w:tcW w:w="2689"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left"/>
            </w:pPr>
            <w:r>
              <w:rPr>
                <w:sz w:val="19"/>
              </w:rPr>
              <w:t xml:space="preserve">Překopávač kompostu vlastní  ST250, v.č. P10390, r.v. 2010. </w:t>
            </w:r>
          </w:p>
        </w:tc>
        <w:tc>
          <w:tcPr>
            <w:tcW w:w="127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65" w:firstLine="0"/>
              <w:jc w:val="left"/>
            </w:pPr>
            <w:r>
              <w:rPr>
                <w:sz w:val="19"/>
              </w:rPr>
              <w:t xml:space="preserve">528 000 Kč </w:t>
            </w:r>
          </w:p>
        </w:tc>
        <w:tc>
          <w:tcPr>
            <w:tcW w:w="1277"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47" w:firstLine="0"/>
              <w:jc w:val="center"/>
            </w:pPr>
            <w:r>
              <w:rPr>
                <w:sz w:val="19"/>
              </w:rPr>
              <w:t xml:space="preserve">5 000 Kč </w:t>
            </w:r>
          </w:p>
        </w:tc>
        <w:tc>
          <w:tcPr>
            <w:tcW w:w="1277"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53" w:firstLine="0"/>
              <w:jc w:val="center"/>
            </w:pPr>
            <w:r>
              <w:rPr>
                <w:sz w:val="19"/>
              </w:rPr>
              <w:t xml:space="preserve">nová cena </w:t>
            </w:r>
          </w:p>
        </w:tc>
        <w:tc>
          <w:tcPr>
            <w:tcW w:w="1275"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center"/>
            </w:pPr>
            <w:r>
              <w:rPr>
                <w:sz w:val="19"/>
              </w:rPr>
              <w:t xml:space="preserve">nesjednává se </w:t>
            </w:r>
          </w:p>
        </w:tc>
        <w:tc>
          <w:tcPr>
            <w:tcW w:w="1560"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54" w:firstLine="0"/>
              <w:jc w:val="center"/>
            </w:pPr>
            <w:r>
              <w:rPr>
                <w:sz w:val="19"/>
              </w:rPr>
              <w:t xml:space="preserve">nesjednává se </w:t>
            </w:r>
          </w:p>
        </w:tc>
      </w:tr>
      <w:tr w:rsidR="007043CB">
        <w:trPr>
          <w:trHeight w:val="1202"/>
        </w:trPr>
        <w:tc>
          <w:tcPr>
            <w:tcW w:w="10176"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0" w:line="237" w:lineRule="auto"/>
              <w:ind w:left="0" w:firstLine="0"/>
            </w:pPr>
            <w:r>
              <w:rPr>
                <w:b/>
                <w:sz w:val="19"/>
              </w:rPr>
              <w:t xml:space="preserve">Poznámky:  </w:t>
            </w:r>
            <w:r>
              <w:rPr>
                <w:sz w:val="19"/>
              </w:rPr>
              <w:t>Spoluúčast pro</w:t>
            </w:r>
            <w:r>
              <w:rPr>
                <w:b/>
                <w:sz w:val="19"/>
              </w:rPr>
              <w:t xml:space="preserve"> </w:t>
            </w:r>
            <w:r>
              <w:rPr>
                <w:sz w:val="19"/>
              </w:rPr>
              <w:t xml:space="preserve">DST2, DST3, DST4, DST5, DST6, DST8 (živel, odcizení)   ve výši 1.000,-Kč, avšak  pro "povodeň - záplavu"  ve výši </w:t>
            </w:r>
            <w:r>
              <w:rPr>
                <w:b/>
                <w:sz w:val="19"/>
              </w:rPr>
              <w:t>10% - 20 000 Kč</w:t>
            </w:r>
            <w:r>
              <w:rPr>
                <w:sz w:val="19"/>
              </w:rPr>
              <w:t xml:space="preserve">.  </w:t>
            </w:r>
          </w:p>
          <w:p w:rsidR="007043CB" w:rsidRDefault="004B5C2E">
            <w:pPr>
              <w:spacing w:after="141" w:line="259" w:lineRule="auto"/>
              <w:ind w:left="0" w:firstLine="0"/>
              <w:jc w:val="left"/>
            </w:pPr>
            <w:r>
              <w:rPr>
                <w:sz w:val="4"/>
              </w:rPr>
              <w:t xml:space="preserve"> </w:t>
            </w:r>
          </w:p>
          <w:p w:rsidR="007043CB" w:rsidRDefault="004B5C2E">
            <w:pPr>
              <w:spacing w:after="0" w:line="259" w:lineRule="auto"/>
              <w:ind w:left="0" w:firstLine="0"/>
              <w:jc w:val="left"/>
            </w:pPr>
            <w:r>
              <w:rPr>
                <w:sz w:val="19"/>
              </w:rPr>
              <w:t xml:space="preserve"> </w:t>
            </w:r>
          </w:p>
          <w:p w:rsidR="007043CB" w:rsidRDefault="004B5C2E">
            <w:pPr>
              <w:spacing w:after="0" w:line="259" w:lineRule="auto"/>
              <w:ind w:left="0" w:firstLine="0"/>
              <w:jc w:val="left"/>
            </w:pPr>
            <w:r>
              <w:rPr>
                <w:sz w:val="19"/>
              </w:rPr>
              <w:t xml:space="preserve"> </w:t>
            </w:r>
          </w:p>
          <w:p w:rsidR="007043CB" w:rsidRDefault="004B5C2E">
            <w:pPr>
              <w:spacing w:after="0" w:line="259" w:lineRule="auto"/>
              <w:ind w:left="0" w:firstLine="0"/>
              <w:jc w:val="left"/>
            </w:pPr>
            <w:r>
              <w:rPr>
                <w:sz w:val="19"/>
              </w:rPr>
              <w:t xml:space="preserve">Další ujednání v článku II. odst. 3. Limity plnění  a dále v článku V. Zvláštní ujednání  této pojistné smlouvy . </w:t>
            </w:r>
          </w:p>
        </w:tc>
      </w:tr>
    </w:tbl>
    <w:p w:rsidR="007043CB" w:rsidRDefault="004B5C2E">
      <w:pPr>
        <w:numPr>
          <w:ilvl w:val="0"/>
          <w:numId w:val="4"/>
        </w:numPr>
        <w:ind w:hanging="135"/>
      </w:pPr>
      <w:r>
        <w:t xml:space="preserve">není-li uvedeno, platí ustanovení čl. II. odst. 1.1. </w:t>
      </w:r>
    </w:p>
    <w:p w:rsidR="007043CB" w:rsidRDefault="004B5C2E">
      <w:pPr>
        <w:spacing w:after="0" w:line="259" w:lineRule="auto"/>
        <w:ind w:left="142" w:firstLine="0"/>
        <w:jc w:val="left"/>
      </w:pPr>
      <w:r>
        <w:rPr>
          <w:b/>
          <w:sz w:val="20"/>
        </w:rPr>
        <w:t xml:space="preserve"> </w:t>
      </w:r>
    </w:p>
    <w:p w:rsidR="007043CB" w:rsidRDefault="004B5C2E">
      <w:pPr>
        <w:spacing w:after="0" w:line="259" w:lineRule="auto"/>
        <w:ind w:left="142" w:firstLine="0"/>
        <w:jc w:val="left"/>
      </w:pPr>
      <w:r>
        <w:rPr>
          <w:b/>
          <w:sz w:val="20"/>
        </w:rPr>
        <w:t xml:space="preserve"> </w:t>
      </w:r>
    </w:p>
    <w:p w:rsidR="007043CB" w:rsidRDefault="004B5C2E">
      <w:pPr>
        <w:spacing w:after="0" w:line="259" w:lineRule="auto"/>
        <w:ind w:left="142" w:firstLine="0"/>
        <w:jc w:val="left"/>
      </w:pPr>
      <w:r>
        <w:rPr>
          <w:b/>
          <w:sz w:val="20"/>
        </w:rPr>
        <w:t xml:space="preserve"> </w:t>
      </w:r>
    </w:p>
    <w:p w:rsidR="007043CB" w:rsidRDefault="004B5C2E">
      <w:pPr>
        <w:spacing w:after="0" w:line="259" w:lineRule="auto"/>
        <w:ind w:left="142" w:firstLine="0"/>
        <w:jc w:val="left"/>
      </w:pPr>
      <w:r>
        <w:rPr>
          <w:b/>
          <w:sz w:val="20"/>
        </w:rPr>
        <w:t xml:space="preserve"> </w:t>
      </w:r>
    </w:p>
    <w:p w:rsidR="007043CB" w:rsidRDefault="007043CB">
      <w:pPr>
        <w:sectPr w:rsidR="007043CB">
          <w:headerReference w:type="even" r:id="rId8"/>
          <w:headerReference w:type="default" r:id="rId9"/>
          <w:headerReference w:type="first" r:id="rId10"/>
          <w:pgSz w:w="11906" w:h="16838"/>
          <w:pgMar w:top="568" w:right="531" w:bottom="441" w:left="991" w:header="708" w:footer="708" w:gutter="0"/>
          <w:cols w:space="708"/>
          <w:titlePg/>
        </w:sectPr>
      </w:pPr>
    </w:p>
    <w:p w:rsidR="007043CB" w:rsidRDefault="004B5C2E">
      <w:pPr>
        <w:ind w:left="10" w:hanging="10"/>
        <w:jc w:val="left"/>
      </w:pPr>
      <w:r>
        <w:rPr>
          <w:b/>
          <w:sz w:val="20"/>
        </w:rPr>
        <w:lastRenderedPageBreak/>
        <w:t xml:space="preserve">2.6.1.  Pojištění elektronických zařízení </w:t>
      </w:r>
      <w:r>
        <w:rPr>
          <w:i/>
          <w:sz w:val="19"/>
        </w:rPr>
        <w:t>– upravuje se, včetně ujednání poznámky</w:t>
      </w:r>
      <w:r>
        <w:rPr>
          <w:b/>
          <w:sz w:val="20"/>
        </w:rPr>
        <w:t xml:space="preserve"> </w:t>
      </w:r>
    </w:p>
    <w:tbl>
      <w:tblPr>
        <w:tblStyle w:val="TableGrid"/>
        <w:tblW w:w="10209" w:type="dxa"/>
        <w:tblInd w:w="-108" w:type="dxa"/>
        <w:tblCellMar>
          <w:top w:w="43" w:type="dxa"/>
          <w:left w:w="108" w:type="dxa"/>
          <w:right w:w="12" w:type="dxa"/>
        </w:tblCellMar>
        <w:tblLook w:val="04A0" w:firstRow="1" w:lastRow="0" w:firstColumn="1" w:lastColumn="0" w:noHBand="0" w:noVBand="1"/>
      </w:tblPr>
      <w:tblGrid>
        <w:gridCol w:w="824"/>
        <w:gridCol w:w="2830"/>
        <w:gridCol w:w="1274"/>
        <w:gridCol w:w="1277"/>
        <w:gridCol w:w="1140"/>
        <w:gridCol w:w="1270"/>
        <w:gridCol w:w="1594"/>
      </w:tblGrid>
      <w:tr w:rsidR="007043CB">
        <w:trPr>
          <w:trHeight w:val="238"/>
        </w:trPr>
        <w:tc>
          <w:tcPr>
            <w:tcW w:w="10209"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left"/>
            </w:pPr>
            <w:r>
              <w:rPr>
                <w:b/>
                <w:sz w:val="19"/>
              </w:rPr>
              <w:t xml:space="preserve">Místo pojištění: </w:t>
            </w:r>
            <w:r>
              <w:rPr>
                <w:sz w:val="19"/>
              </w:rPr>
              <w:t>Katastrální území spravované městem Aš, 352 01, ČR</w:t>
            </w:r>
            <w:r>
              <w:rPr>
                <w:b/>
                <w:sz w:val="19"/>
              </w:rPr>
              <w:t xml:space="preserve"> </w:t>
            </w:r>
          </w:p>
        </w:tc>
      </w:tr>
      <w:tr w:rsidR="007043CB">
        <w:trPr>
          <w:trHeight w:val="240"/>
        </w:trPr>
        <w:tc>
          <w:tcPr>
            <w:tcW w:w="10209"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left"/>
            </w:pPr>
            <w:r>
              <w:rPr>
                <w:b/>
                <w:sz w:val="19"/>
              </w:rPr>
              <w:t xml:space="preserve">Rozsah pojištění: </w:t>
            </w:r>
            <w:r>
              <w:rPr>
                <w:sz w:val="19"/>
              </w:rPr>
              <w:t xml:space="preserve">poj. nebezpečí dle čl. II. ZPP P-320/05  </w:t>
            </w:r>
            <w:r>
              <w:rPr>
                <w:b/>
                <w:sz w:val="19"/>
              </w:rPr>
              <w:t xml:space="preserve"> </w:t>
            </w:r>
          </w:p>
        </w:tc>
      </w:tr>
      <w:tr w:rsidR="007043CB">
        <w:trPr>
          <w:trHeight w:val="240"/>
        </w:trPr>
        <w:tc>
          <w:tcPr>
            <w:tcW w:w="10209"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left"/>
            </w:pPr>
            <w:r>
              <w:rPr>
                <w:b/>
                <w:sz w:val="19"/>
              </w:rPr>
              <w:t xml:space="preserve">Pojištění se řídí: </w:t>
            </w:r>
            <w:r>
              <w:rPr>
                <w:sz w:val="19"/>
              </w:rPr>
              <w:t xml:space="preserve">VPP P-100/09, ZPP P-320/05 a doložkami DOB1, DOB3, DOB6, </w:t>
            </w:r>
            <w:r>
              <w:rPr>
                <w:b/>
                <w:sz w:val="19"/>
              </w:rPr>
              <w:t>DEL7, DEL8</w:t>
            </w:r>
            <w:r>
              <w:rPr>
                <w:sz w:val="19"/>
              </w:rPr>
              <w:t xml:space="preserve"> </w:t>
            </w:r>
          </w:p>
        </w:tc>
      </w:tr>
      <w:tr w:rsidR="007043CB">
        <w:trPr>
          <w:trHeight w:val="922"/>
        </w:trPr>
        <w:tc>
          <w:tcPr>
            <w:tcW w:w="824"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center"/>
            </w:pPr>
            <w:r>
              <w:rPr>
                <w:b/>
                <w:sz w:val="19"/>
              </w:rPr>
              <w:t xml:space="preserve">Poř. číslo </w:t>
            </w:r>
          </w:p>
        </w:tc>
        <w:tc>
          <w:tcPr>
            <w:tcW w:w="2830"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97" w:firstLine="0"/>
              <w:jc w:val="center"/>
            </w:pPr>
            <w:r>
              <w:rPr>
                <w:b/>
                <w:sz w:val="19"/>
              </w:rPr>
              <w:t xml:space="preserve">Předmět pojištění </w:t>
            </w:r>
          </w:p>
        </w:tc>
        <w:tc>
          <w:tcPr>
            <w:tcW w:w="1274"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44" w:hanging="44"/>
              <w:jc w:val="center"/>
            </w:pPr>
            <w:r>
              <w:rPr>
                <w:b/>
                <w:sz w:val="19"/>
              </w:rPr>
              <w:t xml:space="preserve">Agregovaná/  celková/ pojistná částka </w:t>
            </w:r>
          </w:p>
        </w:tc>
        <w:tc>
          <w:tcPr>
            <w:tcW w:w="1277"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19" w:firstLine="0"/>
              <w:jc w:val="left"/>
            </w:pPr>
            <w:r>
              <w:rPr>
                <w:b/>
                <w:sz w:val="19"/>
              </w:rPr>
              <w:t>Spoluúčast</w:t>
            </w:r>
            <w:r>
              <w:rPr>
                <w:sz w:val="17"/>
                <w:vertAlign w:val="superscript"/>
              </w:rPr>
              <w:t>5)</w:t>
            </w:r>
            <w:r>
              <w:rPr>
                <w:b/>
                <w:sz w:val="19"/>
              </w:rPr>
              <w:t xml:space="preserve"> </w:t>
            </w:r>
          </w:p>
        </w:tc>
        <w:tc>
          <w:tcPr>
            <w:tcW w:w="1140"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37" w:lineRule="auto"/>
              <w:ind w:left="0" w:right="39" w:firstLine="0"/>
              <w:jc w:val="center"/>
            </w:pPr>
            <w:r>
              <w:rPr>
                <w:b/>
                <w:sz w:val="19"/>
              </w:rPr>
              <w:t xml:space="preserve">Pojištění se </w:t>
            </w:r>
          </w:p>
          <w:p w:rsidR="007043CB" w:rsidRDefault="004B5C2E">
            <w:pPr>
              <w:spacing w:after="0" w:line="259" w:lineRule="auto"/>
              <w:ind w:left="0" w:firstLine="0"/>
              <w:jc w:val="left"/>
            </w:pPr>
            <w:r>
              <w:rPr>
                <w:b/>
                <w:sz w:val="19"/>
              </w:rPr>
              <w:t>sjednává*</w:t>
            </w:r>
            <w:r>
              <w:rPr>
                <w:b/>
                <w:sz w:val="17"/>
                <w:vertAlign w:val="superscript"/>
              </w:rPr>
              <w:t>1)</w:t>
            </w:r>
            <w:r>
              <w:rPr>
                <w:b/>
                <w:sz w:val="19"/>
              </w:rPr>
              <w:t xml:space="preserve"> </w:t>
            </w:r>
          </w:p>
        </w:tc>
        <w:tc>
          <w:tcPr>
            <w:tcW w:w="1270"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center"/>
            </w:pPr>
            <w:r>
              <w:rPr>
                <w:b/>
                <w:sz w:val="19"/>
              </w:rPr>
              <w:t>Maximální roční limit pojistného plnění</w:t>
            </w:r>
            <w:r>
              <w:rPr>
                <w:b/>
                <w:sz w:val="17"/>
                <w:vertAlign w:val="superscript"/>
              </w:rPr>
              <w:t>3)</w:t>
            </w:r>
            <w:r>
              <w:rPr>
                <w:b/>
                <w:sz w:val="19"/>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67" w:right="166" w:firstLine="110"/>
            </w:pPr>
            <w:r>
              <w:rPr>
                <w:b/>
                <w:sz w:val="19"/>
              </w:rPr>
              <w:t>Limit</w:t>
            </w:r>
            <w:r>
              <w:rPr>
                <w:b/>
                <w:sz w:val="8"/>
              </w:rPr>
              <w:t xml:space="preserve"> </w:t>
            </w:r>
            <w:r>
              <w:rPr>
                <w:b/>
                <w:sz w:val="19"/>
              </w:rPr>
              <w:t>plnění pojistného pro jednu poj. událost</w:t>
            </w:r>
            <w:r>
              <w:rPr>
                <w:b/>
                <w:sz w:val="17"/>
                <w:vertAlign w:val="superscript"/>
              </w:rPr>
              <w:t>4)</w:t>
            </w:r>
            <w:r>
              <w:rPr>
                <w:b/>
                <w:sz w:val="19"/>
              </w:rPr>
              <w:t xml:space="preserve"> </w:t>
            </w:r>
          </w:p>
        </w:tc>
      </w:tr>
      <w:tr w:rsidR="007043CB">
        <w:trPr>
          <w:trHeight w:val="1606"/>
        </w:trPr>
        <w:tc>
          <w:tcPr>
            <w:tcW w:w="82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48" w:firstLine="0"/>
              <w:jc w:val="center"/>
            </w:pPr>
            <w:r>
              <w:rPr>
                <w:sz w:val="19"/>
              </w:rPr>
              <w:t xml:space="preserve"> </w:t>
            </w:r>
          </w:p>
          <w:p w:rsidR="007043CB" w:rsidRDefault="004B5C2E">
            <w:pPr>
              <w:spacing w:after="0" w:line="259" w:lineRule="auto"/>
              <w:ind w:left="0" w:right="98" w:firstLine="0"/>
              <w:jc w:val="center"/>
            </w:pPr>
            <w:r>
              <w:rPr>
                <w:sz w:val="19"/>
              </w:rPr>
              <w:t xml:space="preserve">1 </w:t>
            </w:r>
          </w:p>
          <w:p w:rsidR="007043CB" w:rsidRDefault="004B5C2E">
            <w:pPr>
              <w:spacing w:after="0" w:line="259" w:lineRule="auto"/>
              <w:ind w:left="0" w:right="48" w:firstLine="0"/>
              <w:jc w:val="center"/>
            </w:pPr>
            <w:r>
              <w:rPr>
                <w:sz w:val="19"/>
              </w:rPr>
              <w:t xml:space="preserve"> </w:t>
            </w:r>
          </w:p>
        </w:tc>
        <w:tc>
          <w:tcPr>
            <w:tcW w:w="2830"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left"/>
            </w:pPr>
            <w:r>
              <w:rPr>
                <w:sz w:val="19"/>
              </w:rPr>
              <w:t xml:space="preserve">Soubor stacionární elektroniky vlastní či cizí užívané, vč. TVLCD, výpočetní a kancelářské techniky, tel/ fax/ PC ústředen, kamerových/ dohledových/ docházkových systémů a radarů,  jevištní techniky. </w:t>
            </w:r>
          </w:p>
        </w:tc>
        <w:tc>
          <w:tcPr>
            <w:tcW w:w="127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4" w:firstLine="0"/>
              <w:jc w:val="center"/>
            </w:pPr>
            <w:r>
              <w:rPr>
                <w:sz w:val="19"/>
              </w:rPr>
              <w:t xml:space="preserve">17 800 000 Kč </w:t>
            </w:r>
          </w:p>
        </w:tc>
        <w:tc>
          <w:tcPr>
            <w:tcW w:w="1277"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94" w:firstLine="0"/>
              <w:jc w:val="center"/>
            </w:pPr>
            <w:r>
              <w:rPr>
                <w:sz w:val="19"/>
              </w:rPr>
              <w:t xml:space="preserve">1 000 Kč </w:t>
            </w:r>
          </w:p>
        </w:tc>
        <w:tc>
          <w:tcPr>
            <w:tcW w:w="1140"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60" w:firstLine="0"/>
              <w:jc w:val="left"/>
            </w:pPr>
            <w:r>
              <w:rPr>
                <w:sz w:val="19"/>
              </w:rPr>
              <w:t xml:space="preserve">nová cena </w:t>
            </w:r>
          </w:p>
        </w:tc>
        <w:tc>
          <w:tcPr>
            <w:tcW w:w="1270"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11" w:right="55" w:firstLine="0"/>
              <w:jc w:val="center"/>
            </w:pPr>
            <w:r>
              <w:rPr>
                <w:sz w:val="19"/>
              </w:rPr>
              <w:t xml:space="preserve">7 000 000 Kč </w:t>
            </w:r>
          </w:p>
        </w:tc>
        <w:tc>
          <w:tcPr>
            <w:tcW w:w="159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101" w:firstLine="0"/>
              <w:jc w:val="center"/>
            </w:pPr>
            <w:r>
              <w:rPr>
                <w:sz w:val="19"/>
              </w:rPr>
              <w:t xml:space="preserve">nesjednává se </w:t>
            </w:r>
          </w:p>
        </w:tc>
      </w:tr>
      <w:tr w:rsidR="007043CB">
        <w:trPr>
          <w:trHeight w:val="2093"/>
        </w:trPr>
        <w:tc>
          <w:tcPr>
            <w:tcW w:w="10209" w:type="dxa"/>
            <w:gridSpan w:val="7"/>
            <w:tcBorders>
              <w:top w:val="single" w:sz="4" w:space="0" w:color="000000"/>
              <w:left w:val="single" w:sz="4" w:space="0" w:color="000000"/>
              <w:bottom w:val="single" w:sz="4" w:space="0" w:color="000000"/>
              <w:right w:val="single" w:sz="4" w:space="0" w:color="000000"/>
            </w:tcBorders>
          </w:tcPr>
          <w:p w:rsidR="007043CB" w:rsidRDefault="004B5C2E">
            <w:pPr>
              <w:spacing w:after="4" w:line="259" w:lineRule="auto"/>
              <w:ind w:left="0" w:firstLine="0"/>
              <w:jc w:val="left"/>
            </w:pPr>
            <w:r>
              <w:rPr>
                <w:b/>
                <w:sz w:val="19"/>
              </w:rPr>
              <w:t xml:space="preserve">Poznámky:  </w:t>
            </w:r>
            <w:r>
              <w:rPr>
                <w:sz w:val="19"/>
              </w:rPr>
              <w:t xml:space="preserve">Pojištění se vztahuje též na : </w:t>
            </w:r>
          </w:p>
          <w:p w:rsidR="007043CB" w:rsidRDefault="004B5C2E">
            <w:pPr>
              <w:spacing w:after="0" w:line="259" w:lineRule="auto"/>
              <w:ind w:left="0" w:firstLine="0"/>
              <w:jc w:val="left"/>
            </w:pPr>
            <w:r>
              <w:rPr>
                <w:sz w:val="19"/>
              </w:rPr>
              <w:t>-</w:t>
            </w:r>
            <w:r>
              <w:rPr>
                <w:rFonts w:ascii="Arial" w:eastAsia="Arial" w:hAnsi="Arial" w:cs="Arial"/>
                <w:sz w:val="19"/>
              </w:rPr>
              <w:t xml:space="preserve"> </w:t>
            </w:r>
            <w:r>
              <w:rPr>
                <w:sz w:val="19"/>
              </w:rPr>
              <w:t xml:space="preserve">úřední desku - LCD panel vč. systému operačního, software, konstrukční upevněnív NH: 704.514 Kč, specifikace přílohou </w:t>
            </w:r>
          </w:p>
          <w:p w:rsidR="007043CB" w:rsidRDefault="004B5C2E">
            <w:pPr>
              <w:spacing w:after="0" w:line="265" w:lineRule="auto"/>
              <w:ind w:left="0" w:right="2008" w:firstLine="142"/>
              <w:jc w:val="left"/>
            </w:pPr>
            <w:r>
              <w:rPr>
                <w:sz w:val="19"/>
              </w:rPr>
              <w:t xml:space="preserve">č.1 dodatku č.5 této smlouvy, instalovanou 30.3.2016 u hlavního vchodu MU - Kamenná 52, Aš.; </w:t>
            </w:r>
            <w:r>
              <w:rPr>
                <w:b/>
                <w:sz w:val="19"/>
              </w:rPr>
              <w:t xml:space="preserve"> </w:t>
            </w:r>
            <w:r>
              <w:rPr>
                <w:sz w:val="19"/>
              </w:rPr>
              <w:t>-</w:t>
            </w:r>
            <w:r>
              <w:rPr>
                <w:rFonts w:ascii="Arial" w:eastAsia="Arial" w:hAnsi="Arial" w:cs="Arial"/>
                <w:sz w:val="19"/>
              </w:rPr>
              <w:t xml:space="preserve"> </w:t>
            </w:r>
            <w:r>
              <w:rPr>
                <w:sz w:val="19"/>
              </w:rPr>
              <w:t xml:space="preserve">přenosné zařízení typu „notebook, netbook, ultrabook.  </w:t>
            </w:r>
          </w:p>
          <w:p w:rsidR="007043CB" w:rsidRDefault="004B5C2E">
            <w:pPr>
              <w:spacing w:after="0" w:line="259" w:lineRule="auto"/>
              <w:ind w:left="0" w:firstLine="0"/>
              <w:jc w:val="left"/>
            </w:pPr>
            <w:r>
              <w:rPr>
                <w:b/>
                <w:sz w:val="19"/>
              </w:rPr>
              <w:t xml:space="preserve"> </w:t>
            </w:r>
          </w:p>
          <w:p w:rsidR="007043CB" w:rsidRDefault="004B5C2E">
            <w:pPr>
              <w:spacing w:after="0" w:line="240" w:lineRule="auto"/>
              <w:ind w:left="0" w:firstLine="0"/>
            </w:pPr>
            <w:r>
              <w:rPr>
                <w:sz w:val="20"/>
              </w:rPr>
              <w:t xml:space="preserve">Odchylně od ujednání čl. I.  bodu (7) ZPP P-320/05 se pojištění nevztahuje na věci starší </w:t>
            </w:r>
            <w:r>
              <w:rPr>
                <w:b/>
                <w:sz w:val="20"/>
              </w:rPr>
              <w:t xml:space="preserve">10 let  </w:t>
            </w:r>
            <w:r>
              <w:rPr>
                <w:sz w:val="20"/>
              </w:rPr>
              <w:t xml:space="preserve">(avšak </w:t>
            </w:r>
            <w:r>
              <w:rPr>
                <w:b/>
                <w:sz w:val="20"/>
              </w:rPr>
              <w:t xml:space="preserve">7 let </w:t>
            </w:r>
            <w:r>
              <w:rPr>
                <w:sz w:val="20"/>
              </w:rPr>
              <w:t>pro TVLCD, výpočetní a kancelářskou techniku)  od data výroby/ prvního uvedení do provozu</w:t>
            </w:r>
            <w:r>
              <w:rPr>
                <w:b/>
                <w:sz w:val="20"/>
              </w:rPr>
              <w:t xml:space="preserve">. </w:t>
            </w:r>
          </w:p>
          <w:p w:rsidR="007043CB" w:rsidRDefault="004B5C2E">
            <w:pPr>
              <w:spacing w:after="0" w:line="259" w:lineRule="auto"/>
              <w:ind w:left="0" w:firstLine="0"/>
              <w:jc w:val="left"/>
            </w:pPr>
            <w:r>
              <w:rPr>
                <w:sz w:val="19"/>
              </w:rPr>
              <w:t xml:space="preserve"> </w:t>
            </w:r>
          </w:p>
          <w:p w:rsidR="007043CB" w:rsidRDefault="004B5C2E">
            <w:pPr>
              <w:spacing w:after="0" w:line="259" w:lineRule="auto"/>
              <w:ind w:left="0" w:firstLine="0"/>
              <w:jc w:val="left"/>
            </w:pPr>
            <w:r>
              <w:rPr>
                <w:sz w:val="19"/>
              </w:rPr>
              <w:t xml:space="preserve">Další ujednání v článku II. odst. 3. Limity plnění  a dále v článku V. Zvláštní ujednání  této pojistné smlouvy . </w:t>
            </w:r>
          </w:p>
        </w:tc>
      </w:tr>
    </w:tbl>
    <w:p w:rsidR="007043CB" w:rsidRDefault="004B5C2E">
      <w:pPr>
        <w:numPr>
          <w:ilvl w:val="0"/>
          <w:numId w:val="4"/>
        </w:numPr>
        <w:ind w:hanging="135"/>
      </w:pPr>
      <w:r>
        <w:t xml:space="preserve">není-li uvedeno, platí ustanovení čl. II. odst. 1.1. </w:t>
      </w:r>
    </w:p>
    <w:p w:rsidR="007043CB" w:rsidRDefault="004B5C2E">
      <w:pPr>
        <w:spacing w:after="0" w:line="259" w:lineRule="auto"/>
        <w:ind w:left="0" w:firstLine="0"/>
        <w:jc w:val="left"/>
      </w:pPr>
      <w:r>
        <w:rPr>
          <w:b/>
          <w:sz w:val="20"/>
        </w:rPr>
        <w:t xml:space="preserve"> </w:t>
      </w:r>
    </w:p>
    <w:p w:rsidR="007043CB" w:rsidRDefault="004B5C2E">
      <w:pPr>
        <w:spacing w:after="0" w:line="259" w:lineRule="auto"/>
        <w:ind w:left="0" w:firstLine="0"/>
        <w:jc w:val="left"/>
      </w:pPr>
      <w:r>
        <w:rPr>
          <w:b/>
          <w:sz w:val="20"/>
        </w:rPr>
        <w:t xml:space="preserve"> </w:t>
      </w:r>
    </w:p>
    <w:p w:rsidR="007043CB" w:rsidRDefault="004B5C2E">
      <w:pPr>
        <w:spacing w:after="0" w:line="259" w:lineRule="auto"/>
        <w:ind w:left="0" w:firstLine="0"/>
        <w:jc w:val="left"/>
      </w:pPr>
      <w:r>
        <w:rPr>
          <w:b/>
          <w:sz w:val="20"/>
        </w:rPr>
        <w:t xml:space="preserve"> </w:t>
      </w:r>
    </w:p>
    <w:p w:rsidR="007043CB" w:rsidRDefault="004B5C2E">
      <w:pPr>
        <w:ind w:left="10" w:hanging="10"/>
        <w:jc w:val="left"/>
      </w:pPr>
      <w:r>
        <w:rPr>
          <w:b/>
          <w:sz w:val="20"/>
        </w:rPr>
        <w:t xml:space="preserve">2.7.1.  Pojištění odpovědnosti za škodu </w:t>
      </w:r>
      <w:r>
        <w:rPr>
          <w:i/>
          <w:sz w:val="19"/>
        </w:rPr>
        <w:t>– upravuje se, včetně ujednání poznámky</w:t>
      </w:r>
      <w:r>
        <w:t xml:space="preserve"> </w:t>
      </w:r>
    </w:p>
    <w:tbl>
      <w:tblPr>
        <w:tblStyle w:val="TableGrid"/>
        <w:tblW w:w="10034" w:type="dxa"/>
        <w:tblInd w:w="-108" w:type="dxa"/>
        <w:tblCellMar>
          <w:top w:w="10" w:type="dxa"/>
          <w:left w:w="108" w:type="dxa"/>
          <w:right w:w="16" w:type="dxa"/>
        </w:tblCellMar>
        <w:tblLook w:val="04A0" w:firstRow="1" w:lastRow="0" w:firstColumn="1" w:lastColumn="0" w:noHBand="0" w:noVBand="1"/>
      </w:tblPr>
      <w:tblGrid>
        <w:gridCol w:w="828"/>
        <w:gridCol w:w="3109"/>
        <w:gridCol w:w="1560"/>
        <w:gridCol w:w="1414"/>
        <w:gridCol w:w="1419"/>
        <w:gridCol w:w="1704"/>
      </w:tblGrid>
      <w:tr w:rsidR="007043CB">
        <w:trPr>
          <w:trHeight w:val="696"/>
        </w:trPr>
        <w:tc>
          <w:tcPr>
            <w:tcW w:w="10034" w:type="dxa"/>
            <w:gridSpan w:val="6"/>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93" w:firstLine="0"/>
            </w:pPr>
            <w:r>
              <w:rPr>
                <w:b/>
                <w:sz w:val="19"/>
              </w:rPr>
              <w:t xml:space="preserve">Pojištění se řídí: </w:t>
            </w:r>
            <w:r>
              <w:rPr>
                <w:sz w:val="19"/>
              </w:rPr>
              <w:t>VPP P-100/09, ZPP P-600/05 a doložkami DOB1, DOB6, DODP2, DODP3, DODP4, DODP5, DODP6, DODP8,</w:t>
            </w:r>
            <w:r>
              <w:rPr>
                <w:rFonts w:ascii="Times New Roman" w:eastAsia="Times New Roman" w:hAnsi="Times New Roman" w:cs="Times New Roman"/>
                <w:sz w:val="19"/>
              </w:rPr>
              <w:t xml:space="preserve"> </w:t>
            </w:r>
            <w:r>
              <w:rPr>
                <w:sz w:val="19"/>
              </w:rPr>
              <w:t xml:space="preserve">DX1, DX2,  Nemajetková újma- ochrana osobnosti,  Poskytování zdravotních služeb,  Připojištění odpovědnosti členů orgánů za jinou než čistou finanční újmu.     </w:t>
            </w:r>
          </w:p>
        </w:tc>
      </w:tr>
      <w:tr w:rsidR="007043CB">
        <w:trPr>
          <w:trHeight w:val="694"/>
        </w:trPr>
        <w:tc>
          <w:tcPr>
            <w:tcW w:w="828"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center"/>
            </w:pPr>
            <w:r>
              <w:rPr>
                <w:b/>
              </w:rPr>
              <w:t xml:space="preserve">Poř. Číslo </w:t>
            </w:r>
          </w:p>
        </w:tc>
        <w:tc>
          <w:tcPr>
            <w:tcW w:w="3109"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95" w:firstLine="0"/>
              <w:jc w:val="center"/>
            </w:pPr>
            <w:r>
              <w:rPr>
                <w:b/>
                <w:sz w:val="19"/>
              </w:rPr>
              <w:t xml:space="preserve">Rozsah pojištění </w:t>
            </w:r>
          </w:p>
        </w:tc>
        <w:tc>
          <w:tcPr>
            <w:tcW w:w="1560"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32" w:firstLine="0"/>
              <w:jc w:val="center"/>
            </w:pPr>
            <w:r>
              <w:rPr>
                <w:b/>
                <w:sz w:val="19"/>
              </w:rPr>
              <w:t>Limit pojistného plnění</w:t>
            </w:r>
            <w:r>
              <w:rPr>
                <w:b/>
                <w:sz w:val="17"/>
                <w:vertAlign w:val="superscript"/>
              </w:rPr>
              <w:t>6)</w:t>
            </w:r>
            <w:r>
              <w:rPr>
                <w:b/>
                <w:sz w:val="19"/>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center"/>
            </w:pPr>
            <w:r>
              <w:rPr>
                <w:b/>
                <w:sz w:val="19"/>
              </w:rPr>
              <w:t>Sublimit pojistného plnění</w:t>
            </w:r>
            <w:r>
              <w:rPr>
                <w:b/>
                <w:sz w:val="17"/>
                <w:vertAlign w:val="superscript"/>
              </w:rPr>
              <w:t>7)</w:t>
            </w:r>
            <w:r>
              <w:rPr>
                <w:b/>
                <w:sz w:val="19"/>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94" w:firstLine="0"/>
              <w:jc w:val="center"/>
            </w:pPr>
            <w:r>
              <w:rPr>
                <w:b/>
                <w:sz w:val="19"/>
              </w:rPr>
              <w:t>Spoluúčast</w:t>
            </w:r>
            <w:r>
              <w:rPr>
                <w:b/>
                <w:sz w:val="17"/>
                <w:vertAlign w:val="superscript"/>
              </w:rPr>
              <w:t>5)</w:t>
            </w:r>
            <w:r>
              <w:rPr>
                <w:b/>
                <w:sz w:val="19"/>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center"/>
            </w:pPr>
            <w:r>
              <w:rPr>
                <w:b/>
                <w:sz w:val="19"/>
              </w:rPr>
              <w:t xml:space="preserve">Územní platnost pojištění </w:t>
            </w:r>
          </w:p>
        </w:tc>
      </w:tr>
      <w:tr w:rsidR="007043CB">
        <w:trPr>
          <w:trHeight w:val="694"/>
        </w:trPr>
        <w:tc>
          <w:tcPr>
            <w:tcW w:w="828"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43" w:firstLine="0"/>
              <w:jc w:val="center"/>
            </w:pPr>
            <w:r>
              <w:rPr>
                <w:sz w:val="19"/>
              </w:rPr>
              <w:t xml:space="preserve"> </w:t>
            </w:r>
          </w:p>
          <w:p w:rsidR="007043CB" w:rsidRDefault="004B5C2E">
            <w:pPr>
              <w:spacing w:after="0" w:line="259" w:lineRule="auto"/>
              <w:ind w:left="0" w:right="43" w:firstLine="0"/>
              <w:jc w:val="center"/>
            </w:pPr>
            <w:r>
              <w:rPr>
                <w:sz w:val="19"/>
              </w:rPr>
              <w:t xml:space="preserve"> </w:t>
            </w:r>
          </w:p>
          <w:p w:rsidR="007043CB" w:rsidRDefault="004B5C2E">
            <w:pPr>
              <w:spacing w:after="0" w:line="259" w:lineRule="auto"/>
              <w:ind w:left="0" w:right="94" w:firstLine="0"/>
              <w:jc w:val="center"/>
            </w:pPr>
            <w:r>
              <w:rPr>
                <w:sz w:val="19"/>
              </w:rPr>
              <w:t xml:space="preserve">1 </w:t>
            </w:r>
          </w:p>
        </w:tc>
        <w:tc>
          <w:tcPr>
            <w:tcW w:w="3109"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left"/>
            </w:pPr>
            <w:r>
              <w:rPr>
                <w:sz w:val="19"/>
              </w:rPr>
              <w:t xml:space="preserve">Pojištění obecné odpovědnosti za škodu, za škodu způsobenou vadou výrobku, v rozsahu doložky DODP2 </w:t>
            </w:r>
          </w:p>
        </w:tc>
        <w:tc>
          <w:tcPr>
            <w:tcW w:w="1560"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92" w:firstLine="0"/>
              <w:jc w:val="center"/>
            </w:pPr>
            <w:r>
              <w:rPr>
                <w:sz w:val="19"/>
              </w:rPr>
              <w:t xml:space="preserve">30 000 000 Kč </w:t>
            </w:r>
          </w:p>
        </w:tc>
        <w:tc>
          <w:tcPr>
            <w:tcW w:w="1414"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firstLine="0"/>
              <w:jc w:val="center"/>
            </w:pPr>
            <w:r>
              <w:rPr>
                <w:sz w:val="19"/>
              </w:rPr>
              <w:t xml:space="preserve">nesjednává se, není-li dále uvedeno jinak </w:t>
            </w:r>
          </w:p>
        </w:tc>
        <w:tc>
          <w:tcPr>
            <w:tcW w:w="1419"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92" w:firstLine="0"/>
              <w:jc w:val="center"/>
            </w:pPr>
            <w:r>
              <w:rPr>
                <w:sz w:val="19"/>
              </w:rPr>
              <w:t xml:space="preserve">1 000 Kč </w:t>
            </w:r>
          </w:p>
        </w:tc>
        <w:tc>
          <w:tcPr>
            <w:tcW w:w="1704" w:type="dxa"/>
            <w:vMerge w:val="restart"/>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96" w:firstLine="0"/>
              <w:jc w:val="center"/>
            </w:pPr>
            <w:r>
              <w:rPr>
                <w:sz w:val="19"/>
              </w:rPr>
              <w:t>Česká  republika</w:t>
            </w:r>
            <w:r>
              <w:rPr>
                <w:b/>
                <w:sz w:val="19"/>
              </w:rPr>
              <w:t xml:space="preserve"> </w:t>
            </w:r>
          </w:p>
          <w:p w:rsidR="007043CB" w:rsidRDefault="004B5C2E">
            <w:pPr>
              <w:spacing w:after="0" w:line="259" w:lineRule="auto"/>
              <w:ind w:left="0" w:right="41" w:firstLine="0"/>
              <w:jc w:val="center"/>
            </w:pPr>
            <w:r>
              <w:rPr>
                <w:sz w:val="19"/>
              </w:rPr>
              <w:t xml:space="preserve"> </w:t>
            </w:r>
          </w:p>
        </w:tc>
      </w:tr>
      <w:tr w:rsidR="007043CB">
        <w:trPr>
          <w:trHeight w:val="742"/>
        </w:trPr>
        <w:tc>
          <w:tcPr>
            <w:tcW w:w="828"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43" w:firstLine="0"/>
              <w:jc w:val="center"/>
            </w:pPr>
            <w:r>
              <w:rPr>
                <w:sz w:val="19"/>
              </w:rPr>
              <w:t xml:space="preserve"> </w:t>
            </w:r>
          </w:p>
          <w:p w:rsidR="007043CB" w:rsidRDefault="004B5C2E">
            <w:pPr>
              <w:spacing w:after="0" w:line="259" w:lineRule="auto"/>
              <w:ind w:left="0" w:right="94" w:firstLine="0"/>
              <w:jc w:val="center"/>
            </w:pPr>
            <w:r>
              <w:rPr>
                <w:sz w:val="19"/>
              </w:rPr>
              <w:t xml:space="preserve">2 </w:t>
            </w:r>
          </w:p>
        </w:tc>
        <w:tc>
          <w:tcPr>
            <w:tcW w:w="3109" w:type="dxa"/>
            <w:tcBorders>
              <w:top w:val="single" w:sz="4" w:space="0" w:color="000000"/>
              <w:left w:val="single" w:sz="4" w:space="0" w:color="000000"/>
              <w:bottom w:val="single" w:sz="4" w:space="0" w:color="000000"/>
              <w:right w:val="single" w:sz="4" w:space="0" w:color="000000"/>
            </w:tcBorders>
          </w:tcPr>
          <w:p w:rsidR="007043CB" w:rsidRDefault="004B5C2E">
            <w:pPr>
              <w:spacing w:after="141" w:line="259" w:lineRule="auto"/>
              <w:ind w:left="0" w:firstLine="0"/>
              <w:jc w:val="left"/>
            </w:pPr>
            <w:r>
              <w:rPr>
                <w:sz w:val="4"/>
              </w:rPr>
              <w:t xml:space="preserve"> </w:t>
            </w:r>
          </w:p>
          <w:p w:rsidR="007043CB" w:rsidRDefault="004B5C2E">
            <w:pPr>
              <w:spacing w:after="0" w:line="259" w:lineRule="auto"/>
              <w:ind w:left="0" w:firstLine="0"/>
              <w:jc w:val="left"/>
            </w:pPr>
            <w:r>
              <w:rPr>
                <w:sz w:val="19"/>
              </w:rPr>
              <w:t xml:space="preserve">Pojištění v rozsahu doložek: *DODP3- Cizí věci převzaté; *DODP4 - Cizí věci užívané. </w:t>
            </w:r>
          </w:p>
        </w:tc>
        <w:tc>
          <w:tcPr>
            <w:tcW w:w="1560"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42" w:firstLine="0"/>
              <w:jc w:val="center"/>
            </w:pPr>
            <w:r>
              <w:rPr>
                <w:sz w:val="19"/>
              </w:rPr>
              <w:t xml:space="preserve"> </w:t>
            </w:r>
          </w:p>
        </w:tc>
        <w:tc>
          <w:tcPr>
            <w:tcW w:w="141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92" w:firstLine="0"/>
              <w:jc w:val="center"/>
            </w:pPr>
            <w:r>
              <w:rPr>
                <w:sz w:val="19"/>
              </w:rPr>
              <w:t xml:space="preserve">500 000 Kč </w:t>
            </w:r>
          </w:p>
        </w:tc>
        <w:tc>
          <w:tcPr>
            <w:tcW w:w="1419"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92" w:firstLine="0"/>
              <w:jc w:val="center"/>
            </w:pPr>
            <w:r>
              <w:rPr>
                <w:sz w:val="19"/>
              </w:rPr>
              <w:t xml:space="preserve">1 000 Kč </w:t>
            </w:r>
          </w:p>
        </w:tc>
        <w:tc>
          <w:tcPr>
            <w:tcW w:w="0" w:type="auto"/>
            <w:vMerge/>
            <w:tcBorders>
              <w:top w:val="nil"/>
              <w:left w:val="single" w:sz="4" w:space="0" w:color="000000"/>
              <w:bottom w:val="nil"/>
              <w:right w:val="single" w:sz="4" w:space="0" w:color="000000"/>
            </w:tcBorders>
          </w:tcPr>
          <w:p w:rsidR="007043CB" w:rsidRDefault="007043CB">
            <w:pPr>
              <w:spacing w:after="160" w:line="259" w:lineRule="auto"/>
              <w:ind w:left="0" w:firstLine="0"/>
              <w:jc w:val="left"/>
            </w:pPr>
          </w:p>
        </w:tc>
      </w:tr>
      <w:tr w:rsidR="007043CB">
        <w:trPr>
          <w:trHeight w:val="744"/>
        </w:trPr>
        <w:tc>
          <w:tcPr>
            <w:tcW w:w="828"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43" w:firstLine="0"/>
              <w:jc w:val="center"/>
            </w:pPr>
            <w:r>
              <w:rPr>
                <w:sz w:val="19"/>
              </w:rPr>
              <w:t xml:space="preserve"> </w:t>
            </w:r>
          </w:p>
          <w:p w:rsidR="007043CB" w:rsidRDefault="004B5C2E">
            <w:pPr>
              <w:spacing w:after="0" w:line="259" w:lineRule="auto"/>
              <w:ind w:left="0" w:right="43" w:firstLine="0"/>
              <w:jc w:val="center"/>
            </w:pPr>
            <w:r>
              <w:rPr>
                <w:sz w:val="19"/>
              </w:rPr>
              <w:t xml:space="preserve"> </w:t>
            </w:r>
          </w:p>
          <w:p w:rsidR="007043CB" w:rsidRDefault="004B5C2E">
            <w:pPr>
              <w:spacing w:after="0" w:line="259" w:lineRule="auto"/>
              <w:ind w:left="0" w:right="94" w:firstLine="0"/>
              <w:jc w:val="center"/>
            </w:pPr>
            <w:r>
              <w:rPr>
                <w:sz w:val="19"/>
              </w:rPr>
              <w:t xml:space="preserve">3 </w:t>
            </w:r>
          </w:p>
        </w:tc>
        <w:tc>
          <w:tcPr>
            <w:tcW w:w="3109" w:type="dxa"/>
            <w:tcBorders>
              <w:top w:val="single" w:sz="4" w:space="0" w:color="000000"/>
              <w:left w:val="single" w:sz="4" w:space="0" w:color="000000"/>
              <w:bottom w:val="single" w:sz="4" w:space="0" w:color="000000"/>
              <w:right w:val="single" w:sz="4" w:space="0" w:color="000000"/>
            </w:tcBorders>
          </w:tcPr>
          <w:p w:rsidR="007043CB" w:rsidRDefault="004B5C2E">
            <w:pPr>
              <w:spacing w:after="141" w:line="259" w:lineRule="auto"/>
              <w:ind w:left="0" w:firstLine="0"/>
              <w:jc w:val="left"/>
            </w:pPr>
            <w:r>
              <w:rPr>
                <w:sz w:val="4"/>
              </w:rPr>
              <w:t xml:space="preserve"> </w:t>
            </w:r>
          </w:p>
          <w:p w:rsidR="007043CB" w:rsidRDefault="004B5C2E">
            <w:pPr>
              <w:spacing w:after="0" w:line="259" w:lineRule="auto"/>
              <w:ind w:left="0" w:firstLine="0"/>
              <w:jc w:val="left"/>
            </w:pPr>
            <w:r>
              <w:rPr>
                <w:sz w:val="19"/>
              </w:rPr>
              <w:t xml:space="preserve">Náklady zdravotní pojišťovny, orgánů nemocenského pojištění- v rozsahu doložek DODP5, DODP8 </w:t>
            </w:r>
          </w:p>
        </w:tc>
        <w:tc>
          <w:tcPr>
            <w:tcW w:w="1560"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42" w:firstLine="0"/>
              <w:jc w:val="center"/>
            </w:pPr>
            <w:r>
              <w:rPr>
                <w:sz w:val="19"/>
              </w:rPr>
              <w:t xml:space="preserve"> </w:t>
            </w:r>
          </w:p>
        </w:tc>
        <w:tc>
          <w:tcPr>
            <w:tcW w:w="141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56" w:firstLine="0"/>
              <w:jc w:val="left"/>
            </w:pPr>
            <w:r>
              <w:rPr>
                <w:sz w:val="19"/>
              </w:rPr>
              <w:t xml:space="preserve">5 000 000 Kč </w:t>
            </w:r>
          </w:p>
        </w:tc>
        <w:tc>
          <w:tcPr>
            <w:tcW w:w="1419"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92" w:firstLine="0"/>
              <w:jc w:val="center"/>
            </w:pPr>
            <w:r>
              <w:rPr>
                <w:sz w:val="19"/>
              </w:rPr>
              <w:t xml:space="preserve">1 000 Kč </w:t>
            </w:r>
          </w:p>
        </w:tc>
        <w:tc>
          <w:tcPr>
            <w:tcW w:w="0" w:type="auto"/>
            <w:vMerge/>
            <w:tcBorders>
              <w:top w:val="nil"/>
              <w:left w:val="single" w:sz="4" w:space="0" w:color="000000"/>
              <w:bottom w:val="nil"/>
              <w:right w:val="single" w:sz="4" w:space="0" w:color="000000"/>
            </w:tcBorders>
          </w:tcPr>
          <w:p w:rsidR="007043CB" w:rsidRDefault="007043CB">
            <w:pPr>
              <w:spacing w:after="160" w:line="259" w:lineRule="auto"/>
              <w:ind w:left="0" w:firstLine="0"/>
              <w:jc w:val="left"/>
            </w:pPr>
          </w:p>
        </w:tc>
      </w:tr>
      <w:tr w:rsidR="007043CB">
        <w:trPr>
          <w:trHeight w:val="514"/>
        </w:trPr>
        <w:tc>
          <w:tcPr>
            <w:tcW w:w="828"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94" w:firstLine="0"/>
              <w:jc w:val="center"/>
            </w:pPr>
            <w:r>
              <w:rPr>
                <w:sz w:val="19"/>
              </w:rPr>
              <w:t xml:space="preserve">4 </w:t>
            </w:r>
          </w:p>
        </w:tc>
        <w:tc>
          <w:tcPr>
            <w:tcW w:w="3109" w:type="dxa"/>
            <w:tcBorders>
              <w:top w:val="single" w:sz="4" w:space="0" w:color="000000"/>
              <w:left w:val="single" w:sz="4" w:space="0" w:color="000000"/>
              <w:bottom w:val="single" w:sz="4" w:space="0" w:color="000000"/>
              <w:right w:val="single" w:sz="4" w:space="0" w:color="000000"/>
            </w:tcBorders>
          </w:tcPr>
          <w:p w:rsidR="007043CB" w:rsidRDefault="004B5C2E">
            <w:pPr>
              <w:spacing w:after="172" w:line="259" w:lineRule="auto"/>
              <w:ind w:left="0" w:firstLine="0"/>
              <w:jc w:val="left"/>
            </w:pPr>
            <w:r>
              <w:rPr>
                <w:sz w:val="4"/>
              </w:rPr>
              <w:t xml:space="preserve"> </w:t>
            </w:r>
          </w:p>
          <w:p w:rsidR="007043CB" w:rsidRDefault="004B5C2E">
            <w:pPr>
              <w:spacing w:after="0" w:line="259" w:lineRule="auto"/>
              <w:ind w:left="0" w:right="817" w:firstLine="0"/>
              <w:jc w:val="left"/>
            </w:pPr>
            <w:r>
              <w:rPr>
                <w:sz w:val="19"/>
              </w:rPr>
              <w:t>Křížová odpovědnost</w:t>
            </w:r>
            <w:r>
              <w:rPr>
                <w:rFonts w:ascii="Times New Roman" w:eastAsia="Times New Roman" w:hAnsi="Times New Roman" w:cs="Times New Roman"/>
                <w:sz w:val="20"/>
              </w:rPr>
              <w:t xml:space="preserve">   </w:t>
            </w:r>
            <w:r>
              <w:rPr>
                <w:sz w:val="19"/>
              </w:rPr>
              <w:t xml:space="preserve">v rozsahu doložky  DODP6 </w:t>
            </w:r>
          </w:p>
        </w:tc>
        <w:tc>
          <w:tcPr>
            <w:tcW w:w="1560"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42" w:firstLine="0"/>
              <w:jc w:val="center"/>
            </w:pPr>
            <w:r>
              <w:rPr>
                <w:sz w:val="19"/>
              </w:rPr>
              <w:t xml:space="preserve"> </w:t>
            </w:r>
          </w:p>
        </w:tc>
        <w:tc>
          <w:tcPr>
            <w:tcW w:w="141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56" w:firstLine="0"/>
              <w:jc w:val="left"/>
            </w:pPr>
            <w:r>
              <w:rPr>
                <w:sz w:val="19"/>
              </w:rPr>
              <w:t xml:space="preserve">5 000 000 Kč </w:t>
            </w:r>
          </w:p>
        </w:tc>
        <w:tc>
          <w:tcPr>
            <w:tcW w:w="1419"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92" w:firstLine="0"/>
              <w:jc w:val="center"/>
            </w:pPr>
            <w:r>
              <w:rPr>
                <w:sz w:val="19"/>
              </w:rPr>
              <w:t xml:space="preserve">1 000 Kč </w:t>
            </w:r>
          </w:p>
        </w:tc>
        <w:tc>
          <w:tcPr>
            <w:tcW w:w="0" w:type="auto"/>
            <w:vMerge/>
            <w:tcBorders>
              <w:top w:val="nil"/>
              <w:left w:val="single" w:sz="4" w:space="0" w:color="000000"/>
              <w:bottom w:val="nil"/>
              <w:right w:val="single" w:sz="4" w:space="0" w:color="000000"/>
            </w:tcBorders>
          </w:tcPr>
          <w:p w:rsidR="007043CB" w:rsidRDefault="007043CB">
            <w:pPr>
              <w:spacing w:after="160" w:line="259" w:lineRule="auto"/>
              <w:ind w:left="0" w:firstLine="0"/>
              <w:jc w:val="left"/>
            </w:pPr>
          </w:p>
        </w:tc>
      </w:tr>
      <w:tr w:rsidR="007043CB">
        <w:trPr>
          <w:trHeight w:val="742"/>
        </w:trPr>
        <w:tc>
          <w:tcPr>
            <w:tcW w:w="828"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43" w:firstLine="0"/>
              <w:jc w:val="center"/>
            </w:pPr>
            <w:r>
              <w:rPr>
                <w:sz w:val="19"/>
              </w:rPr>
              <w:t xml:space="preserve"> </w:t>
            </w:r>
          </w:p>
          <w:p w:rsidR="007043CB" w:rsidRDefault="004B5C2E">
            <w:pPr>
              <w:spacing w:after="0" w:line="259" w:lineRule="auto"/>
              <w:ind w:left="0" w:right="43" w:firstLine="0"/>
              <w:jc w:val="center"/>
            </w:pPr>
            <w:r>
              <w:rPr>
                <w:sz w:val="19"/>
              </w:rPr>
              <w:t xml:space="preserve"> </w:t>
            </w:r>
          </w:p>
          <w:p w:rsidR="007043CB" w:rsidRDefault="004B5C2E">
            <w:pPr>
              <w:spacing w:after="0" w:line="259" w:lineRule="auto"/>
              <w:ind w:left="0" w:right="94" w:firstLine="0"/>
              <w:jc w:val="center"/>
            </w:pPr>
            <w:r>
              <w:rPr>
                <w:sz w:val="19"/>
              </w:rPr>
              <w:t xml:space="preserve">5 </w:t>
            </w:r>
          </w:p>
        </w:tc>
        <w:tc>
          <w:tcPr>
            <w:tcW w:w="3109" w:type="dxa"/>
            <w:tcBorders>
              <w:top w:val="single" w:sz="4" w:space="0" w:color="000000"/>
              <w:left w:val="single" w:sz="4" w:space="0" w:color="000000"/>
              <w:bottom w:val="single" w:sz="4" w:space="0" w:color="000000"/>
              <w:right w:val="single" w:sz="4" w:space="0" w:color="000000"/>
            </w:tcBorders>
          </w:tcPr>
          <w:p w:rsidR="007043CB" w:rsidRDefault="004B5C2E">
            <w:pPr>
              <w:spacing w:after="141" w:line="259" w:lineRule="auto"/>
              <w:ind w:left="0" w:firstLine="0"/>
              <w:jc w:val="left"/>
            </w:pPr>
            <w:r>
              <w:rPr>
                <w:sz w:val="4"/>
              </w:rPr>
              <w:t xml:space="preserve"> </w:t>
            </w:r>
          </w:p>
          <w:p w:rsidR="007043CB" w:rsidRDefault="004B5C2E">
            <w:pPr>
              <w:spacing w:after="0" w:line="259" w:lineRule="auto"/>
              <w:ind w:left="0" w:firstLine="0"/>
              <w:jc w:val="left"/>
            </w:pPr>
            <w:r>
              <w:rPr>
                <w:sz w:val="19"/>
              </w:rPr>
              <w:t xml:space="preserve">Pojištění odpovědnosti za škody způsobené při výkonu veřejné moci  v rozsahu doložky  DX1 </w:t>
            </w:r>
          </w:p>
        </w:tc>
        <w:tc>
          <w:tcPr>
            <w:tcW w:w="1560"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42" w:firstLine="0"/>
              <w:jc w:val="center"/>
            </w:pPr>
            <w:r>
              <w:rPr>
                <w:sz w:val="19"/>
              </w:rPr>
              <w:t xml:space="preserve"> </w:t>
            </w:r>
          </w:p>
        </w:tc>
        <w:tc>
          <w:tcPr>
            <w:tcW w:w="141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56" w:firstLine="0"/>
              <w:jc w:val="left"/>
            </w:pPr>
            <w:r>
              <w:rPr>
                <w:sz w:val="19"/>
              </w:rPr>
              <w:t xml:space="preserve">5 000 000 Kč </w:t>
            </w:r>
          </w:p>
        </w:tc>
        <w:tc>
          <w:tcPr>
            <w:tcW w:w="1419"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92" w:firstLine="0"/>
              <w:jc w:val="center"/>
            </w:pPr>
            <w:r>
              <w:rPr>
                <w:sz w:val="19"/>
              </w:rPr>
              <w:t xml:space="preserve">5 000 Kč </w:t>
            </w:r>
          </w:p>
        </w:tc>
        <w:tc>
          <w:tcPr>
            <w:tcW w:w="0" w:type="auto"/>
            <w:vMerge/>
            <w:tcBorders>
              <w:top w:val="nil"/>
              <w:left w:val="single" w:sz="4" w:space="0" w:color="000000"/>
              <w:bottom w:val="nil"/>
              <w:right w:val="single" w:sz="4" w:space="0" w:color="000000"/>
            </w:tcBorders>
          </w:tcPr>
          <w:p w:rsidR="007043CB" w:rsidRDefault="007043CB">
            <w:pPr>
              <w:spacing w:after="160" w:line="259" w:lineRule="auto"/>
              <w:ind w:left="0" w:firstLine="0"/>
              <w:jc w:val="left"/>
            </w:pPr>
          </w:p>
        </w:tc>
      </w:tr>
      <w:tr w:rsidR="007043CB">
        <w:trPr>
          <w:trHeight w:val="742"/>
        </w:trPr>
        <w:tc>
          <w:tcPr>
            <w:tcW w:w="828"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43" w:firstLine="0"/>
              <w:jc w:val="center"/>
            </w:pPr>
            <w:r>
              <w:rPr>
                <w:sz w:val="19"/>
              </w:rPr>
              <w:t xml:space="preserve"> </w:t>
            </w:r>
          </w:p>
          <w:p w:rsidR="007043CB" w:rsidRDefault="004B5C2E">
            <w:pPr>
              <w:spacing w:after="0" w:line="259" w:lineRule="auto"/>
              <w:ind w:left="0" w:right="43" w:firstLine="0"/>
              <w:jc w:val="center"/>
            </w:pPr>
            <w:r>
              <w:rPr>
                <w:sz w:val="19"/>
              </w:rPr>
              <w:t xml:space="preserve"> </w:t>
            </w:r>
          </w:p>
          <w:p w:rsidR="007043CB" w:rsidRDefault="004B5C2E">
            <w:pPr>
              <w:spacing w:after="0" w:line="259" w:lineRule="auto"/>
              <w:ind w:left="0" w:right="94" w:firstLine="0"/>
              <w:jc w:val="center"/>
            </w:pPr>
            <w:r>
              <w:rPr>
                <w:sz w:val="19"/>
              </w:rPr>
              <w:t xml:space="preserve">6 </w:t>
            </w:r>
          </w:p>
        </w:tc>
        <w:tc>
          <w:tcPr>
            <w:tcW w:w="3109" w:type="dxa"/>
            <w:tcBorders>
              <w:top w:val="single" w:sz="4" w:space="0" w:color="000000"/>
              <w:left w:val="single" w:sz="4" w:space="0" w:color="000000"/>
              <w:bottom w:val="single" w:sz="4" w:space="0" w:color="000000"/>
              <w:right w:val="single" w:sz="4" w:space="0" w:color="000000"/>
            </w:tcBorders>
          </w:tcPr>
          <w:p w:rsidR="007043CB" w:rsidRDefault="004B5C2E">
            <w:pPr>
              <w:spacing w:after="141" w:line="259" w:lineRule="auto"/>
              <w:ind w:left="0" w:firstLine="0"/>
              <w:jc w:val="left"/>
            </w:pPr>
            <w:r>
              <w:rPr>
                <w:sz w:val="4"/>
              </w:rPr>
              <w:t xml:space="preserve"> </w:t>
            </w:r>
          </w:p>
          <w:p w:rsidR="007043CB" w:rsidRDefault="004B5C2E">
            <w:pPr>
              <w:spacing w:after="0" w:line="259" w:lineRule="auto"/>
              <w:ind w:left="0" w:right="317" w:firstLine="0"/>
              <w:jc w:val="left"/>
            </w:pPr>
            <w:r>
              <w:rPr>
                <w:sz w:val="19"/>
              </w:rPr>
              <w:t xml:space="preserve">Pojištění odpovědnosti za škody způsobené obecní policií   v rozsahu doložky   DX2 </w:t>
            </w:r>
          </w:p>
        </w:tc>
        <w:tc>
          <w:tcPr>
            <w:tcW w:w="1560"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42" w:firstLine="0"/>
              <w:jc w:val="center"/>
            </w:pPr>
            <w:r>
              <w:rPr>
                <w:sz w:val="19"/>
              </w:rPr>
              <w:t xml:space="preserve"> </w:t>
            </w:r>
          </w:p>
        </w:tc>
        <w:tc>
          <w:tcPr>
            <w:tcW w:w="141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56" w:firstLine="0"/>
              <w:jc w:val="left"/>
            </w:pPr>
            <w:r>
              <w:rPr>
                <w:sz w:val="19"/>
              </w:rPr>
              <w:t xml:space="preserve">1 000 000 Kč </w:t>
            </w:r>
          </w:p>
        </w:tc>
        <w:tc>
          <w:tcPr>
            <w:tcW w:w="1419"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92" w:firstLine="0"/>
              <w:jc w:val="center"/>
            </w:pPr>
            <w:r>
              <w:rPr>
                <w:sz w:val="19"/>
              </w:rPr>
              <w:t xml:space="preserve">5 000 Kč </w:t>
            </w:r>
          </w:p>
        </w:tc>
        <w:tc>
          <w:tcPr>
            <w:tcW w:w="0" w:type="auto"/>
            <w:vMerge/>
            <w:tcBorders>
              <w:top w:val="nil"/>
              <w:left w:val="single" w:sz="4" w:space="0" w:color="000000"/>
              <w:bottom w:val="nil"/>
              <w:right w:val="single" w:sz="4" w:space="0" w:color="000000"/>
            </w:tcBorders>
          </w:tcPr>
          <w:p w:rsidR="007043CB" w:rsidRDefault="007043CB">
            <w:pPr>
              <w:spacing w:after="160" w:line="259" w:lineRule="auto"/>
              <w:ind w:left="0" w:firstLine="0"/>
              <w:jc w:val="left"/>
            </w:pPr>
          </w:p>
        </w:tc>
      </w:tr>
      <w:tr w:rsidR="007043CB">
        <w:trPr>
          <w:trHeight w:val="514"/>
        </w:trPr>
        <w:tc>
          <w:tcPr>
            <w:tcW w:w="828"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43" w:firstLine="0"/>
              <w:jc w:val="center"/>
            </w:pPr>
            <w:r>
              <w:rPr>
                <w:sz w:val="19"/>
              </w:rPr>
              <w:lastRenderedPageBreak/>
              <w:t xml:space="preserve"> </w:t>
            </w:r>
          </w:p>
          <w:p w:rsidR="007043CB" w:rsidRDefault="004B5C2E">
            <w:pPr>
              <w:spacing w:after="0" w:line="259" w:lineRule="auto"/>
              <w:ind w:left="0" w:right="94" w:firstLine="0"/>
              <w:jc w:val="center"/>
            </w:pPr>
            <w:r>
              <w:rPr>
                <w:sz w:val="19"/>
              </w:rPr>
              <w:t xml:space="preserve">7 </w:t>
            </w:r>
          </w:p>
        </w:tc>
        <w:tc>
          <w:tcPr>
            <w:tcW w:w="3109" w:type="dxa"/>
            <w:tcBorders>
              <w:top w:val="single" w:sz="4" w:space="0" w:color="000000"/>
              <w:left w:val="single" w:sz="4" w:space="0" w:color="000000"/>
              <w:bottom w:val="single" w:sz="4" w:space="0" w:color="000000"/>
              <w:right w:val="single" w:sz="4" w:space="0" w:color="000000"/>
            </w:tcBorders>
          </w:tcPr>
          <w:p w:rsidR="007043CB" w:rsidRDefault="004B5C2E">
            <w:pPr>
              <w:spacing w:after="141" w:line="259" w:lineRule="auto"/>
              <w:ind w:left="0" w:firstLine="0"/>
              <w:jc w:val="left"/>
            </w:pPr>
            <w:r>
              <w:rPr>
                <w:sz w:val="4"/>
              </w:rPr>
              <w:t xml:space="preserve"> </w:t>
            </w:r>
          </w:p>
          <w:p w:rsidR="007043CB" w:rsidRDefault="004B5C2E">
            <w:pPr>
              <w:spacing w:after="0" w:line="259" w:lineRule="auto"/>
              <w:ind w:left="0" w:firstLine="0"/>
              <w:jc w:val="left"/>
            </w:pPr>
            <w:r>
              <w:rPr>
                <w:sz w:val="19"/>
              </w:rPr>
              <w:t xml:space="preserve">Nemajetková újma- ochrana osobnosti, rozšíření rozsahu pojištění </w:t>
            </w:r>
          </w:p>
        </w:tc>
        <w:tc>
          <w:tcPr>
            <w:tcW w:w="1560"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42" w:firstLine="0"/>
              <w:jc w:val="center"/>
            </w:pPr>
            <w:r>
              <w:rPr>
                <w:sz w:val="19"/>
              </w:rPr>
              <w:t xml:space="preserve"> </w:t>
            </w:r>
          </w:p>
        </w:tc>
        <w:tc>
          <w:tcPr>
            <w:tcW w:w="141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56" w:firstLine="0"/>
              <w:jc w:val="left"/>
            </w:pPr>
            <w:r>
              <w:rPr>
                <w:sz w:val="19"/>
              </w:rPr>
              <w:t xml:space="preserve">5 000 000 Kč </w:t>
            </w:r>
          </w:p>
        </w:tc>
        <w:tc>
          <w:tcPr>
            <w:tcW w:w="1419"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92" w:firstLine="0"/>
              <w:jc w:val="center"/>
            </w:pPr>
            <w:r>
              <w:rPr>
                <w:sz w:val="19"/>
              </w:rPr>
              <w:t xml:space="preserve">1 000 Kč </w:t>
            </w:r>
          </w:p>
        </w:tc>
        <w:tc>
          <w:tcPr>
            <w:tcW w:w="0" w:type="auto"/>
            <w:vMerge/>
            <w:tcBorders>
              <w:top w:val="nil"/>
              <w:left w:val="single" w:sz="4" w:space="0" w:color="000000"/>
              <w:bottom w:val="nil"/>
              <w:right w:val="single" w:sz="4" w:space="0" w:color="000000"/>
            </w:tcBorders>
          </w:tcPr>
          <w:p w:rsidR="007043CB" w:rsidRDefault="007043CB">
            <w:pPr>
              <w:spacing w:after="160" w:line="259" w:lineRule="auto"/>
              <w:ind w:left="0" w:firstLine="0"/>
              <w:jc w:val="left"/>
            </w:pPr>
          </w:p>
        </w:tc>
      </w:tr>
      <w:tr w:rsidR="007043CB">
        <w:trPr>
          <w:trHeight w:val="742"/>
        </w:trPr>
        <w:tc>
          <w:tcPr>
            <w:tcW w:w="828" w:type="dxa"/>
            <w:tcBorders>
              <w:top w:val="single" w:sz="4" w:space="0" w:color="000000"/>
              <w:left w:val="single" w:sz="4" w:space="0" w:color="000000"/>
              <w:bottom w:val="single" w:sz="4" w:space="0" w:color="000000"/>
              <w:right w:val="single" w:sz="4" w:space="0" w:color="000000"/>
            </w:tcBorders>
          </w:tcPr>
          <w:p w:rsidR="007043CB" w:rsidRDefault="004B5C2E">
            <w:pPr>
              <w:spacing w:after="0" w:line="259" w:lineRule="auto"/>
              <w:ind w:left="0" w:right="43" w:firstLine="0"/>
              <w:jc w:val="center"/>
            </w:pPr>
            <w:r>
              <w:rPr>
                <w:sz w:val="19"/>
              </w:rPr>
              <w:t xml:space="preserve"> </w:t>
            </w:r>
          </w:p>
          <w:p w:rsidR="007043CB" w:rsidRDefault="004B5C2E">
            <w:pPr>
              <w:spacing w:after="0" w:line="259" w:lineRule="auto"/>
              <w:ind w:left="0" w:right="94" w:firstLine="0"/>
              <w:jc w:val="center"/>
            </w:pPr>
            <w:r>
              <w:rPr>
                <w:sz w:val="19"/>
              </w:rPr>
              <w:t xml:space="preserve">8 </w:t>
            </w:r>
          </w:p>
          <w:p w:rsidR="007043CB" w:rsidRDefault="004B5C2E">
            <w:pPr>
              <w:spacing w:after="0" w:line="259" w:lineRule="auto"/>
              <w:ind w:left="0" w:right="43" w:firstLine="0"/>
              <w:jc w:val="center"/>
            </w:pPr>
            <w:r>
              <w:rPr>
                <w:sz w:val="19"/>
              </w:rPr>
              <w:t xml:space="preserve"> </w:t>
            </w:r>
          </w:p>
        </w:tc>
        <w:tc>
          <w:tcPr>
            <w:tcW w:w="3109" w:type="dxa"/>
            <w:tcBorders>
              <w:top w:val="single" w:sz="4" w:space="0" w:color="000000"/>
              <w:left w:val="single" w:sz="4" w:space="0" w:color="000000"/>
              <w:bottom w:val="single" w:sz="4" w:space="0" w:color="000000"/>
              <w:right w:val="single" w:sz="4" w:space="0" w:color="000000"/>
            </w:tcBorders>
          </w:tcPr>
          <w:p w:rsidR="007043CB" w:rsidRDefault="004B5C2E">
            <w:pPr>
              <w:spacing w:after="141" w:line="259" w:lineRule="auto"/>
              <w:ind w:left="0" w:firstLine="0"/>
              <w:jc w:val="left"/>
            </w:pPr>
            <w:r>
              <w:rPr>
                <w:sz w:val="4"/>
              </w:rPr>
              <w:t xml:space="preserve"> </w:t>
            </w:r>
          </w:p>
          <w:p w:rsidR="007043CB" w:rsidRDefault="004B5C2E">
            <w:pPr>
              <w:spacing w:after="0" w:line="259" w:lineRule="auto"/>
              <w:ind w:left="0" w:firstLine="0"/>
              <w:jc w:val="left"/>
            </w:pPr>
            <w:r>
              <w:rPr>
                <w:sz w:val="19"/>
              </w:rPr>
              <w:t xml:space="preserve">Připojištění odpovědnosti členů orgánů za jinou než čistou finanční újmu – rozšíření rozsahu pojištění </w:t>
            </w:r>
          </w:p>
        </w:tc>
        <w:tc>
          <w:tcPr>
            <w:tcW w:w="1560"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42" w:firstLine="0"/>
              <w:jc w:val="center"/>
            </w:pPr>
            <w:r>
              <w:rPr>
                <w:sz w:val="19"/>
              </w:rPr>
              <w:t xml:space="preserve"> </w:t>
            </w:r>
          </w:p>
        </w:tc>
        <w:tc>
          <w:tcPr>
            <w:tcW w:w="1414"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92" w:firstLine="0"/>
              <w:jc w:val="center"/>
            </w:pPr>
            <w:r>
              <w:rPr>
                <w:sz w:val="19"/>
              </w:rPr>
              <w:t xml:space="preserve">300 000 Kč </w:t>
            </w:r>
          </w:p>
        </w:tc>
        <w:tc>
          <w:tcPr>
            <w:tcW w:w="1419" w:type="dxa"/>
            <w:tcBorders>
              <w:top w:val="single" w:sz="4" w:space="0" w:color="000000"/>
              <w:left w:val="single" w:sz="4" w:space="0" w:color="000000"/>
              <w:bottom w:val="single" w:sz="4" w:space="0" w:color="000000"/>
              <w:right w:val="single" w:sz="4" w:space="0" w:color="000000"/>
            </w:tcBorders>
            <w:vAlign w:val="center"/>
          </w:tcPr>
          <w:p w:rsidR="007043CB" w:rsidRDefault="004B5C2E">
            <w:pPr>
              <w:spacing w:after="0" w:line="259" w:lineRule="auto"/>
              <w:ind w:left="0" w:right="93" w:firstLine="0"/>
              <w:jc w:val="center"/>
            </w:pPr>
            <w:r>
              <w:rPr>
                <w:sz w:val="19"/>
              </w:rPr>
              <w:t xml:space="preserve">10 % </w:t>
            </w:r>
          </w:p>
        </w:tc>
        <w:tc>
          <w:tcPr>
            <w:tcW w:w="0" w:type="auto"/>
            <w:vMerge/>
            <w:tcBorders>
              <w:top w:val="nil"/>
              <w:left w:val="single" w:sz="4" w:space="0" w:color="000000"/>
              <w:bottom w:val="single" w:sz="4" w:space="0" w:color="000000"/>
              <w:right w:val="single" w:sz="4" w:space="0" w:color="000000"/>
            </w:tcBorders>
          </w:tcPr>
          <w:p w:rsidR="007043CB" w:rsidRDefault="007043CB">
            <w:pPr>
              <w:spacing w:after="160" w:line="259" w:lineRule="auto"/>
              <w:ind w:left="0" w:firstLine="0"/>
              <w:jc w:val="left"/>
            </w:pPr>
          </w:p>
        </w:tc>
      </w:tr>
      <w:tr w:rsidR="007043CB">
        <w:trPr>
          <w:trHeight w:val="2143"/>
        </w:trPr>
        <w:tc>
          <w:tcPr>
            <w:tcW w:w="10034" w:type="dxa"/>
            <w:gridSpan w:val="6"/>
            <w:tcBorders>
              <w:top w:val="single" w:sz="4" w:space="0" w:color="000000"/>
              <w:left w:val="single" w:sz="4" w:space="0" w:color="000000"/>
              <w:bottom w:val="single" w:sz="4" w:space="0" w:color="000000"/>
              <w:right w:val="single" w:sz="4" w:space="0" w:color="000000"/>
            </w:tcBorders>
          </w:tcPr>
          <w:p w:rsidR="007043CB" w:rsidRDefault="004B5C2E">
            <w:pPr>
              <w:spacing w:line="259" w:lineRule="auto"/>
              <w:ind w:left="0" w:firstLine="0"/>
              <w:jc w:val="left"/>
            </w:pPr>
            <w:r>
              <w:rPr>
                <w:b/>
                <w:sz w:val="19"/>
              </w:rPr>
              <w:t xml:space="preserve">Poznámky:  </w:t>
            </w:r>
            <w:r>
              <w:rPr>
                <w:sz w:val="19"/>
              </w:rPr>
              <w:t xml:space="preserve"> Ujednává se pro</w:t>
            </w:r>
            <w:r>
              <w:rPr>
                <w:b/>
                <w:sz w:val="19"/>
              </w:rPr>
              <w:t xml:space="preserve"> subjekty zařazené jako školy, školky domov dětí a mládeže: </w:t>
            </w:r>
          </w:p>
          <w:p w:rsidR="007043CB" w:rsidRDefault="004B5C2E">
            <w:pPr>
              <w:numPr>
                <w:ilvl w:val="0"/>
                <w:numId w:val="50"/>
              </w:numPr>
              <w:spacing w:after="1" w:line="259" w:lineRule="auto"/>
              <w:ind w:hanging="142"/>
              <w:jc w:val="left"/>
            </w:pPr>
            <w:r>
              <w:rPr>
                <w:sz w:val="19"/>
              </w:rPr>
              <w:t xml:space="preserve">Spoluúčast </w:t>
            </w:r>
            <w:r>
              <w:rPr>
                <w:sz w:val="17"/>
                <w:vertAlign w:val="superscript"/>
              </w:rPr>
              <w:t>5</w:t>
            </w:r>
            <w:r>
              <w:rPr>
                <w:b/>
                <w:sz w:val="17"/>
                <w:vertAlign w:val="superscript"/>
              </w:rPr>
              <w:t>)</w:t>
            </w:r>
            <w:r>
              <w:rPr>
                <w:sz w:val="19"/>
              </w:rPr>
              <w:t xml:space="preserve">  pro pojištění obecné odpovědnosti za škodu a za škodu způsobenou vadným výrobkem ve výši </w:t>
            </w:r>
            <w:r>
              <w:rPr>
                <w:b/>
                <w:sz w:val="19"/>
              </w:rPr>
              <w:t>0 Kč</w:t>
            </w:r>
            <w:r>
              <w:rPr>
                <w:sz w:val="19"/>
              </w:rPr>
              <w:t xml:space="preserve">. </w:t>
            </w:r>
          </w:p>
          <w:p w:rsidR="007043CB" w:rsidRDefault="004B5C2E">
            <w:pPr>
              <w:numPr>
                <w:ilvl w:val="0"/>
                <w:numId w:val="50"/>
              </w:numPr>
              <w:spacing w:after="0" w:line="259" w:lineRule="auto"/>
              <w:ind w:hanging="142"/>
              <w:jc w:val="left"/>
            </w:pPr>
            <w:r>
              <w:rPr>
                <w:sz w:val="19"/>
              </w:rPr>
              <w:t xml:space="preserve">Územní platnost pojištění Česká republika a sousední státy </w:t>
            </w:r>
          </w:p>
          <w:p w:rsidR="007043CB" w:rsidRDefault="004B5C2E">
            <w:pPr>
              <w:spacing w:after="0" w:line="259" w:lineRule="auto"/>
              <w:ind w:left="0" w:firstLine="0"/>
              <w:jc w:val="left"/>
            </w:pPr>
            <w:r>
              <w:rPr>
                <w:b/>
                <w:sz w:val="19"/>
              </w:rPr>
              <w:t xml:space="preserve"> </w:t>
            </w:r>
          </w:p>
          <w:p w:rsidR="007043CB" w:rsidRDefault="004B5C2E">
            <w:pPr>
              <w:spacing w:after="17" w:line="259" w:lineRule="auto"/>
              <w:ind w:left="0" w:firstLine="0"/>
              <w:jc w:val="left"/>
            </w:pPr>
            <w:r>
              <w:rPr>
                <w:b/>
                <w:sz w:val="19"/>
              </w:rPr>
              <w:t>Dále se ujednává</w:t>
            </w:r>
            <w:r>
              <w:rPr>
                <w:sz w:val="19"/>
              </w:rPr>
              <w:t xml:space="preserve">: </w:t>
            </w:r>
          </w:p>
          <w:p w:rsidR="007043CB" w:rsidRDefault="004B5C2E">
            <w:pPr>
              <w:numPr>
                <w:ilvl w:val="0"/>
                <w:numId w:val="50"/>
              </w:numPr>
              <w:spacing w:after="0" w:line="224" w:lineRule="auto"/>
              <w:ind w:hanging="142"/>
              <w:jc w:val="left"/>
            </w:pPr>
            <w:r>
              <w:rPr>
                <w:b/>
                <w:sz w:val="19"/>
              </w:rPr>
              <w:t>Bez předchozího souhlasu pojistitele</w:t>
            </w:r>
            <w:r>
              <w:rPr>
                <w:sz w:val="19"/>
              </w:rPr>
              <w:t xml:space="preserve"> se pojištění nevztahuje na újmu vzniklou v souvislosti s provozováním paintballových střelnic, ohňostrojů, bobových drah,</w:t>
            </w:r>
            <w:r>
              <w:rPr>
                <w:sz w:val="22"/>
              </w:rPr>
              <w:t xml:space="preserve"> </w:t>
            </w:r>
            <w:r>
              <w:rPr>
                <w:sz w:val="19"/>
              </w:rPr>
              <w:t>lanových parků (</w:t>
            </w:r>
            <w:r>
              <w:rPr>
                <w:i/>
              </w:rPr>
              <w:t>nezahrnuje dětská hřiště</w:t>
            </w:r>
            <w:r>
              <w:rPr>
                <w:sz w:val="19"/>
              </w:rPr>
              <w:t xml:space="preserve">), cirkusových představení, </w:t>
            </w:r>
          </w:p>
          <w:p w:rsidR="007043CB" w:rsidRDefault="004B5C2E">
            <w:pPr>
              <w:spacing w:after="0" w:line="236" w:lineRule="auto"/>
              <w:ind w:left="142" w:firstLine="0"/>
            </w:pPr>
            <w:r>
              <w:rPr>
                <w:sz w:val="19"/>
              </w:rPr>
              <w:t xml:space="preserve">pouťových atrakcí,  bungee jumpingu, zorbingu a motokárových drah nebo v souvislosti s organizováním a pořádáním motoristických akcí a  činnost kaskadérů.                                                                                                              </w:t>
            </w:r>
            <w:r>
              <w:rPr>
                <w:b/>
                <w:sz w:val="19"/>
              </w:rPr>
              <w:t>↓</w:t>
            </w:r>
            <w:r>
              <w:rPr>
                <w:sz w:val="19"/>
              </w:rPr>
              <w:t xml:space="preserve"> </w:t>
            </w:r>
          </w:p>
          <w:p w:rsidR="007043CB" w:rsidRDefault="004B5C2E">
            <w:pPr>
              <w:spacing w:after="0" w:line="259" w:lineRule="auto"/>
              <w:ind w:left="0" w:firstLine="0"/>
              <w:jc w:val="left"/>
            </w:pPr>
            <w:r>
              <w:rPr>
                <w:sz w:val="4"/>
              </w:rPr>
              <w:t xml:space="preserve"> </w:t>
            </w:r>
          </w:p>
        </w:tc>
      </w:tr>
    </w:tbl>
    <w:p w:rsidR="007043CB" w:rsidRDefault="007043CB">
      <w:pPr>
        <w:spacing w:after="0" w:line="259" w:lineRule="auto"/>
        <w:ind w:left="-1133" w:right="10951" w:firstLine="0"/>
        <w:jc w:val="left"/>
      </w:pPr>
    </w:p>
    <w:tbl>
      <w:tblPr>
        <w:tblStyle w:val="TableGrid"/>
        <w:tblW w:w="10034" w:type="dxa"/>
        <w:tblInd w:w="-108" w:type="dxa"/>
        <w:tblCellMar>
          <w:top w:w="53" w:type="dxa"/>
          <w:left w:w="108" w:type="dxa"/>
        </w:tblCellMar>
        <w:tblLook w:val="04A0" w:firstRow="1" w:lastRow="0" w:firstColumn="1" w:lastColumn="0" w:noHBand="0" w:noVBand="1"/>
      </w:tblPr>
      <w:tblGrid>
        <w:gridCol w:w="10034"/>
      </w:tblGrid>
      <w:tr w:rsidR="007043CB">
        <w:trPr>
          <w:trHeight w:val="15588"/>
        </w:trPr>
        <w:tc>
          <w:tcPr>
            <w:tcW w:w="10034" w:type="dxa"/>
            <w:tcBorders>
              <w:top w:val="single" w:sz="4" w:space="0" w:color="000000"/>
              <w:left w:val="single" w:sz="4" w:space="0" w:color="000000"/>
              <w:bottom w:val="single" w:sz="4" w:space="0" w:color="000000"/>
              <w:right w:val="single" w:sz="4" w:space="0" w:color="000000"/>
            </w:tcBorders>
          </w:tcPr>
          <w:p w:rsidR="007043CB" w:rsidRDefault="004B5C2E">
            <w:pPr>
              <w:numPr>
                <w:ilvl w:val="0"/>
                <w:numId w:val="51"/>
              </w:numPr>
              <w:spacing w:after="0" w:line="239" w:lineRule="auto"/>
              <w:ind w:hanging="142"/>
              <w:jc w:val="left"/>
            </w:pPr>
            <w:r>
              <w:rPr>
                <w:sz w:val="19"/>
              </w:rPr>
              <w:lastRenderedPageBreak/>
              <w:t xml:space="preserve">Pro pojištění odpovědnosti  za škodu způsobenou vadou výrobku se ujednává sublimit pojistného plnění </w:t>
            </w:r>
            <w:r>
              <w:rPr>
                <w:sz w:val="17"/>
                <w:vertAlign w:val="superscript"/>
              </w:rPr>
              <w:t>7)</w:t>
            </w:r>
            <w:r>
              <w:rPr>
                <w:sz w:val="19"/>
              </w:rPr>
              <w:t xml:space="preserve">  ve výši </w:t>
            </w:r>
            <w:r>
              <w:rPr>
                <w:b/>
                <w:sz w:val="19"/>
              </w:rPr>
              <w:t>10.000.000,-Kč.</w:t>
            </w:r>
            <w:r>
              <w:rPr>
                <w:sz w:val="19"/>
              </w:rPr>
              <w:t xml:space="preserve">  Odchylně od  písmene  f) odst. (1) článku IV. ZPP P-600/05 se pojištění odpovědnosti za škodu způsobenou vadou výrobku vztahuje též na odpovědnost za škodu způsobenou zavlečením nebo rozšířením nakažlivé choroby zvířat, lidí nebo rostlin, v důsledku pozření závadných potravin, krmiv nebo nápojů vyrobených či dodaných pojištěným (např. salmonelóza, listerióza).  </w:t>
            </w:r>
          </w:p>
          <w:p w:rsidR="007043CB" w:rsidRDefault="004B5C2E">
            <w:pPr>
              <w:spacing w:after="0" w:line="236" w:lineRule="auto"/>
              <w:ind w:left="142" w:right="108" w:firstLine="0"/>
            </w:pPr>
            <w:r>
              <w:rPr>
                <w:sz w:val="19"/>
              </w:rPr>
              <w:t xml:space="preserve">Pojištění odpovědnosti  za škodu způsobenou vadou výrobku se nevztahuje na činnost pojištěného: „Zastavárenská činnost a maloobchod s použitým zbožím“; „Pronájem a půjčování věcí movitých“;   „Mimoškolní výchova a vzdělávání, pořádání odborných kurzů, školení a jiných vzdělávacích akcí,  včetně lektorské činnosti“;   „Poskytování telekomunikačních služeb“;  „Silniční motorová doprava nákladní“;   „Poskytování software, poradenství v oblasti informačních technologií, zpracování dat, hostingové a související činnosti a webové portály“;  „Reklamní činnost, marketing, mediální zastoupení“; „Provozování cestovní agentury a průvodcovská činnost v oblasti cestovního ruchu“;   </w:t>
            </w:r>
          </w:p>
          <w:p w:rsidR="007043CB" w:rsidRDefault="004B5C2E">
            <w:pPr>
              <w:spacing w:after="135" w:line="259" w:lineRule="auto"/>
              <w:ind w:left="720" w:firstLine="0"/>
              <w:jc w:val="left"/>
            </w:pPr>
            <w:r>
              <w:rPr>
                <w:sz w:val="8"/>
              </w:rPr>
              <w:t xml:space="preserve"> </w:t>
            </w:r>
          </w:p>
          <w:p w:rsidR="007043CB" w:rsidRDefault="004B5C2E">
            <w:pPr>
              <w:numPr>
                <w:ilvl w:val="0"/>
                <w:numId w:val="51"/>
              </w:numPr>
              <w:spacing w:after="0" w:line="239" w:lineRule="auto"/>
              <w:ind w:hanging="142"/>
              <w:jc w:val="left"/>
            </w:pPr>
            <w:r>
              <w:rPr>
                <w:sz w:val="19"/>
              </w:rPr>
              <w:t xml:space="preserve">V případě újmy na životě nebo zdraví člověka, se pojištění vztahuje i na právním předpisem stanovenou povinnost pojištěného poskytnout </w:t>
            </w:r>
            <w:r>
              <w:rPr>
                <w:b/>
                <w:sz w:val="19"/>
              </w:rPr>
              <w:t>náhradu duševních útrap</w:t>
            </w:r>
            <w:r>
              <w:rPr>
                <w:sz w:val="19"/>
              </w:rPr>
              <w:t xml:space="preserve"> manžela, rodiče, dítěte nebo jiné osoby blízké poškozenému v případě usmrcení nebo zvlášť závažného ublížení na zdraví poškozeného.  Nárok na náhradu této újmy (duševních útrap) se pro účely pojištění odpovědnosti za škodu sjednaného touto pojistnou smlouvou posuzuje obdobně jako nárok na náhradu škody a platí pro něj přiměřeně příslušná ustanovení pojistné smlouvy a pojistných podmínek vztahující se k pojištění odpovědnosti za škodu sjednanému touto pojistnou smlouvou. Sublimit pojistného plnění</w:t>
            </w:r>
            <w:r>
              <w:rPr>
                <w:sz w:val="17"/>
                <w:vertAlign w:val="superscript"/>
              </w:rPr>
              <w:t>7</w:t>
            </w:r>
            <w:r>
              <w:rPr>
                <w:b/>
                <w:sz w:val="17"/>
                <w:vertAlign w:val="superscript"/>
              </w:rPr>
              <w:t>)</w:t>
            </w:r>
            <w:r>
              <w:rPr>
                <w:sz w:val="19"/>
              </w:rPr>
              <w:t xml:space="preserve"> ve výši </w:t>
            </w:r>
            <w:r>
              <w:rPr>
                <w:b/>
                <w:sz w:val="19"/>
              </w:rPr>
              <w:t>20 000 000 Kč</w:t>
            </w:r>
            <w:r>
              <w:rPr>
                <w:sz w:val="19"/>
              </w:rPr>
              <w:t xml:space="preserve">; </w:t>
            </w:r>
          </w:p>
          <w:p w:rsidR="007043CB" w:rsidRDefault="004B5C2E">
            <w:pPr>
              <w:spacing w:after="135" w:line="259" w:lineRule="auto"/>
              <w:ind w:left="142" w:firstLine="0"/>
              <w:jc w:val="left"/>
            </w:pPr>
            <w:r>
              <w:rPr>
                <w:sz w:val="8"/>
              </w:rPr>
              <w:t xml:space="preserve"> </w:t>
            </w:r>
          </w:p>
          <w:p w:rsidR="007043CB" w:rsidRDefault="004B5C2E">
            <w:pPr>
              <w:numPr>
                <w:ilvl w:val="0"/>
                <w:numId w:val="51"/>
              </w:numPr>
              <w:spacing w:after="0" w:line="237" w:lineRule="auto"/>
              <w:ind w:hanging="142"/>
              <w:jc w:val="left"/>
            </w:pPr>
            <w:r>
              <w:rPr>
                <w:sz w:val="19"/>
              </w:rPr>
              <w:t xml:space="preserve">Pojištění se vztahuje i na povinnost pojištěného uhradit poškozenému peněžní částku, pokud mu tato povinnost vznikla ve smyslu </w:t>
            </w:r>
            <w:r>
              <w:rPr>
                <w:b/>
                <w:sz w:val="19"/>
              </w:rPr>
              <w:t>§ 27 odst. 6 zákona č. 13/1997 Sb., o pozemních komunikacích</w:t>
            </w:r>
            <w:r>
              <w:rPr>
                <w:sz w:val="19"/>
              </w:rPr>
              <w:t xml:space="preserve">, z důvodu ručení pojištěného za splnění povinnosti správce pozemní komunikace nahradit škodu (újmu). Pojistitel však poskytne pojistné plnění maximálně v rozsahu, v jakém by je poskytl v případě, kdy by výkon správy pozemní komunikace nebyl zajišťován prostřednictvím správce, ale přímo pojištěným“; </w:t>
            </w:r>
          </w:p>
          <w:p w:rsidR="007043CB" w:rsidRDefault="004B5C2E">
            <w:pPr>
              <w:spacing w:after="128" w:line="259" w:lineRule="auto"/>
              <w:ind w:left="0" w:firstLine="0"/>
              <w:jc w:val="left"/>
            </w:pPr>
            <w:r>
              <w:rPr>
                <w:rFonts w:ascii="Times New Roman" w:eastAsia="Times New Roman" w:hAnsi="Times New Roman" w:cs="Times New Roman"/>
                <w:sz w:val="8"/>
              </w:rPr>
              <w:t xml:space="preserve"> </w:t>
            </w:r>
          </w:p>
          <w:p w:rsidR="007043CB" w:rsidRDefault="004B5C2E">
            <w:pPr>
              <w:numPr>
                <w:ilvl w:val="0"/>
                <w:numId w:val="51"/>
              </w:numPr>
              <w:spacing w:after="0" w:line="249" w:lineRule="auto"/>
              <w:ind w:hanging="142"/>
              <w:jc w:val="left"/>
            </w:pPr>
            <w:r>
              <w:rPr>
                <w:sz w:val="19"/>
              </w:rPr>
              <w:t>Sublimit pojistného plnění</w:t>
            </w:r>
            <w:r>
              <w:rPr>
                <w:sz w:val="17"/>
                <w:vertAlign w:val="superscript"/>
              </w:rPr>
              <w:t>7</w:t>
            </w:r>
            <w:r>
              <w:rPr>
                <w:b/>
                <w:sz w:val="17"/>
                <w:vertAlign w:val="superscript"/>
              </w:rPr>
              <w:t>)</w:t>
            </w:r>
            <w:r>
              <w:rPr>
                <w:sz w:val="19"/>
              </w:rPr>
              <w:t xml:space="preserve"> ve výši </w:t>
            </w:r>
            <w:r>
              <w:rPr>
                <w:b/>
                <w:sz w:val="19"/>
              </w:rPr>
              <w:t>10 000 000 Kč</w:t>
            </w:r>
            <w:r>
              <w:rPr>
                <w:sz w:val="19"/>
              </w:rPr>
              <w:t xml:space="preserve"> a spoluúčast </w:t>
            </w:r>
            <w:r>
              <w:rPr>
                <w:sz w:val="17"/>
                <w:vertAlign w:val="superscript"/>
              </w:rPr>
              <w:t>5)</w:t>
            </w:r>
            <w:r>
              <w:rPr>
                <w:sz w:val="19"/>
              </w:rPr>
              <w:t xml:space="preserve">  </w:t>
            </w:r>
            <w:r>
              <w:rPr>
                <w:b/>
                <w:sz w:val="19"/>
              </w:rPr>
              <w:t>5 000 Kč</w:t>
            </w:r>
            <w:r>
              <w:rPr>
                <w:sz w:val="19"/>
              </w:rPr>
              <w:t xml:space="preserve"> pro následnou finanční škodu   v rozsahu bodu iii) odst. (2)  Článku I.  ZPP P-600/05; </w:t>
            </w:r>
          </w:p>
          <w:p w:rsidR="007043CB" w:rsidRDefault="004B5C2E">
            <w:pPr>
              <w:spacing w:after="135" w:line="259" w:lineRule="auto"/>
              <w:ind w:left="720" w:firstLine="0"/>
              <w:jc w:val="left"/>
            </w:pPr>
            <w:r>
              <w:rPr>
                <w:sz w:val="8"/>
              </w:rPr>
              <w:t xml:space="preserve"> </w:t>
            </w:r>
          </w:p>
          <w:p w:rsidR="007043CB" w:rsidRDefault="004B5C2E">
            <w:pPr>
              <w:numPr>
                <w:ilvl w:val="0"/>
                <w:numId w:val="51"/>
              </w:numPr>
              <w:spacing w:after="0" w:line="238" w:lineRule="auto"/>
              <w:ind w:hanging="142"/>
              <w:jc w:val="left"/>
            </w:pPr>
            <w:r>
              <w:rPr>
                <w:sz w:val="19"/>
              </w:rPr>
              <w:t>Odchylně od čl. IV.   odst. 2   písm. d)   ZPP P-600/05 se pojištění vztahuje i odpovědnost za škodu způsobenou v souvislosti s poskytováním sociálních služeb v rozsahu „</w:t>
            </w:r>
            <w:r>
              <w:rPr>
                <w:b/>
                <w:sz w:val="19"/>
              </w:rPr>
              <w:t xml:space="preserve">Doložky pro pojištění odpovědnosti za škodu - Poskytování zdravotních služeb poskytovatelem sociálních služeb bez potřeby oprávnění dle zákona o zdravotních službách“, </w:t>
            </w:r>
            <w:r>
              <w:rPr>
                <w:sz w:val="19"/>
              </w:rPr>
              <w:t>sublimit pojistného plnění</w:t>
            </w:r>
            <w:r>
              <w:rPr>
                <w:sz w:val="17"/>
                <w:vertAlign w:val="superscript"/>
              </w:rPr>
              <w:t>7)</w:t>
            </w:r>
            <w:r>
              <w:rPr>
                <w:sz w:val="19"/>
              </w:rPr>
              <w:t xml:space="preserve"> ve výši</w:t>
            </w:r>
            <w:r>
              <w:rPr>
                <w:b/>
                <w:sz w:val="19"/>
              </w:rPr>
              <w:t xml:space="preserve"> 20 000 000 Kč. </w:t>
            </w:r>
          </w:p>
          <w:p w:rsidR="007043CB" w:rsidRDefault="004B5C2E">
            <w:pPr>
              <w:spacing w:after="140" w:line="259" w:lineRule="auto"/>
              <w:ind w:left="0" w:firstLine="0"/>
              <w:jc w:val="left"/>
            </w:pPr>
            <w:r>
              <w:rPr>
                <w:rFonts w:ascii="Times New Roman" w:eastAsia="Times New Roman" w:hAnsi="Times New Roman" w:cs="Times New Roman"/>
                <w:sz w:val="8"/>
              </w:rPr>
              <w:t xml:space="preserve"> </w:t>
            </w:r>
          </w:p>
          <w:p w:rsidR="007043CB" w:rsidRDefault="004B5C2E">
            <w:pPr>
              <w:numPr>
                <w:ilvl w:val="0"/>
                <w:numId w:val="51"/>
              </w:numPr>
              <w:spacing w:after="0" w:line="237" w:lineRule="auto"/>
              <w:ind w:hanging="142"/>
              <w:jc w:val="left"/>
            </w:pPr>
            <w:r>
              <w:rPr>
                <w:sz w:val="19"/>
              </w:rPr>
              <w:t xml:space="preserve">„Pojištění obecné odpovědnosti za škodu  se (odchylně od čl. 8 odst. 1) písm. b) VPP P-100/14) rovněž vztahuje na odpovědnost pojištěného za újmu způsobenou v souvislosti s </w:t>
            </w:r>
            <w:r>
              <w:rPr>
                <w:b/>
                <w:sz w:val="19"/>
              </w:rPr>
              <w:t>činností jednotky sboru dobrovolných hasičů obce</w:t>
            </w:r>
            <w:r>
              <w:rPr>
                <w:sz w:val="19"/>
              </w:rPr>
              <w:t xml:space="preserve"> – pojistníka. Sublimit pojistného plnění</w:t>
            </w:r>
            <w:r>
              <w:rPr>
                <w:sz w:val="17"/>
                <w:vertAlign w:val="superscript"/>
              </w:rPr>
              <w:t>7</w:t>
            </w:r>
            <w:r>
              <w:rPr>
                <w:b/>
                <w:sz w:val="17"/>
                <w:vertAlign w:val="superscript"/>
              </w:rPr>
              <w:t>)</w:t>
            </w:r>
            <w:r>
              <w:rPr>
                <w:sz w:val="19"/>
              </w:rPr>
              <w:t xml:space="preserve"> ve výši </w:t>
            </w:r>
            <w:r>
              <w:rPr>
                <w:b/>
                <w:sz w:val="19"/>
              </w:rPr>
              <w:t>10 000 000 Kč</w:t>
            </w:r>
            <w:r>
              <w:rPr>
                <w:sz w:val="19"/>
              </w:rPr>
              <w:t xml:space="preserve"> a spoluúčast </w:t>
            </w:r>
            <w:r>
              <w:rPr>
                <w:sz w:val="17"/>
                <w:vertAlign w:val="superscript"/>
              </w:rPr>
              <w:t>5)</w:t>
            </w:r>
            <w:r>
              <w:rPr>
                <w:sz w:val="19"/>
              </w:rPr>
              <w:t xml:space="preserve">   </w:t>
            </w:r>
            <w:r>
              <w:rPr>
                <w:b/>
                <w:sz w:val="19"/>
              </w:rPr>
              <w:t>5 000 Kč</w:t>
            </w:r>
            <w:r>
              <w:rPr>
                <w:sz w:val="19"/>
              </w:rPr>
              <w:t xml:space="preserve">“ </w:t>
            </w:r>
          </w:p>
          <w:p w:rsidR="007043CB" w:rsidRDefault="004B5C2E">
            <w:pPr>
              <w:spacing w:after="142" w:line="259" w:lineRule="auto"/>
              <w:ind w:left="0" w:firstLine="0"/>
              <w:jc w:val="left"/>
            </w:pPr>
            <w:r>
              <w:rPr>
                <w:rFonts w:ascii="Times New Roman" w:eastAsia="Times New Roman" w:hAnsi="Times New Roman" w:cs="Times New Roman"/>
                <w:sz w:val="8"/>
              </w:rPr>
              <w:t xml:space="preserve"> </w:t>
            </w:r>
          </w:p>
          <w:p w:rsidR="007043CB" w:rsidRDefault="004B5C2E">
            <w:pPr>
              <w:numPr>
                <w:ilvl w:val="0"/>
                <w:numId w:val="51"/>
              </w:numPr>
              <w:spacing w:after="0" w:line="234" w:lineRule="auto"/>
              <w:ind w:hanging="142"/>
              <w:jc w:val="left"/>
            </w:pPr>
            <w:r>
              <w:rPr>
                <w:b/>
                <w:sz w:val="19"/>
              </w:rPr>
              <w:t xml:space="preserve">Křížová odpovědnost  DODP6 </w:t>
            </w:r>
            <w:r>
              <w:rPr>
                <w:sz w:val="19"/>
              </w:rPr>
              <w:t xml:space="preserve">se nevztahuje na jinou majetkovou škodu ve smyslu čl. I odst. (2) písm. a)   bod iii) ZPP P-600/05,   čistou finanční škodu či náhradu nemajetkové újmy a duševní útrapy. </w:t>
            </w:r>
          </w:p>
          <w:p w:rsidR="007043CB" w:rsidRDefault="004B5C2E">
            <w:pPr>
              <w:spacing w:after="211" w:line="259" w:lineRule="auto"/>
              <w:ind w:left="720" w:firstLine="0"/>
              <w:jc w:val="left"/>
            </w:pPr>
            <w:r>
              <w:rPr>
                <w:b/>
                <w:sz w:val="8"/>
              </w:rPr>
              <w:t xml:space="preserve"> </w:t>
            </w:r>
          </w:p>
          <w:p w:rsidR="007043CB" w:rsidRDefault="004B5C2E">
            <w:pPr>
              <w:numPr>
                <w:ilvl w:val="0"/>
                <w:numId w:val="51"/>
              </w:numPr>
              <w:spacing w:after="38" w:line="259" w:lineRule="auto"/>
              <w:ind w:hanging="142"/>
              <w:jc w:val="left"/>
            </w:pPr>
            <w:r>
              <w:rPr>
                <w:b/>
                <w:sz w:val="19"/>
              </w:rPr>
              <w:t xml:space="preserve">Provoz pracovních strojů - Rozšíření rozsahu pojištění </w:t>
            </w:r>
          </w:p>
          <w:p w:rsidR="007043CB" w:rsidRDefault="004B5C2E">
            <w:pPr>
              <w:spacing w:after="42" w:line="235" w:lineRule="auto"/>
              <w:ind w:left="142" w:right="114" w:firstLine="0"/>
            </w:pPr>
            <w:r>
              <w:rPr>
                <w:sz w:val="19"/>
              </w:rPr>
              <w:t xml:space="preserve">Odchylně od čl. IV, odst. 1) písm. b) ZPP P-600/05 se pojištění vztahuje i na povinnost pojištěného nahradit újmu způsobenou v souvislosti s vlastnictvím nebo provozem motorového vozidla sloužícího jako pracovní stroj, včetně újmy způsobené výkonem činnosti pracovního stroje. </w:t>
            </w:r>
          </w:p>
          <w:p w:rsidR="007043CB" w:rsidRDefault="004B5C2E">
            <w:pPr>
              <w:spacing w:after="19" w:line="259" w:lineRule="auto"/>
              <w:ind w:left="142" w:firstLine="0"/>
              <w:jc w:val="left"/>
            </w:pPr>
            <w:r>
              <w:rPr>
                <w:sz w:val="19"/>
              </w:rPr>
              <w:t xml:space="preserve">Pojištění se však nevztahuje na povinnost pojištěného nahradit újmu, pokud: </w:t>
            </w:r>
          </w:p>
          <w:p w:rsidR="007043CB" w:rsidRDefault="004B5C2E">
            <w:pPr>
              <w:numPr>
                <w:ilvl w:val="0"/>
                <w:numId w:val="52"/>
              </w:numPr>
              <w:spacing w:after="42" w:line="235" w:lineRule="auto"/>
              <w:ind w:right="197" w:firstLine="0"/>
              <w:jc w:val="left"/>
            </w:pPr>
            <w:r>
              <w:rPr>
                <w:sz w:val="19"/>
              </w:rPr>
              <w:t xml:space="preserve">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 </w:t>
            </w:r>
          </w:p>
          <w:p w:rsidR="007043CB" w:rsidRDefault="004B5C2E">
            <w:pPr>
              <w:numPr>
                <w:ilvl w:val="0"/>
                <w:numId w:val="52"/>
              </w:numPr>
              <w:spacing w:after="8"/>
              <w:ind w:right="197" w:firstLine="0"/>
              <w:jc w:val="left"/>
            </w:pPr>
            <w:r>
              <w:rPr>
                <w:sz w:val="19"/>
              </w:rPr>
              <w:t xml:space="preserve">jde o újmu, jejíž náhrada je předmětem povinného pojištění odpovědnosti za újmu způsobenou provozem vozidla, ale právo na plnění z takového pojištění nemohlo být uplatněno z důvodu, že: i)   byla porušena povinnost takové pojištění uzavřít,  </w:t>
            </w:r>
          </w:p>
          <w:p w:rsidR="007043CB" w:rsidRDefault="004B5C2E">
            <w:pPr>
              <w:numPr>
                <w:ilvl w:val="0"/>
                <w:numId w:val="53"/>
              </w:numPr>
              <w:spacing w:after="22" w:line="236" w:lineRule="auto"/>
              <w:ind w:right="251" w:firstLine="0"/>
              <w:jc w:val="left"/>
            </w:pPr>
            <w:r>
              <w:rPr>
                <w:sz w:val="19"/>
              </w:rPr>
              <w:t xml:space="preserve">jde o vozidlo, pro které právní předpis stanoví výjimku z povinného pojištění odpovědnosti za újmu způsobenou provozem vozidla, nebo </w:t>
            </w:r>
          </w:p>
          <w:p w:rsidR="007043CB" w:rsidRDefault="004B5C2E">
            <w:pPr>
              <w:numPr>
                <w:ilvl w:val="0"/>
                <w:numId w:val="53"/>
              </w:numPr>
              <w:spacing w:after="0" w:line="259" w:lineRule="auto"/>
              <w:ind w:right="251" w:firstLine="0"/>
              <w:jc w:val="left"/>
            </w:pPr>
            <w:r>
              <w:rPr>
                <w:sz w:val="19"/>
              </w:rPr>
              <w:t xml:space="preserve">k újmě došlo při provozu vozidla na pozemní komunikaci, na které bylo toto vozidlo provozováno </w:t>
            </w:r>
          </w:p>
          <w:p w:rsidR="007043CB" w:rsidRDefault="004B5C2E">
            <w:pPr>
              <w:spacing w:after="20" w:line="259" w:lineRule="auto"/>
              <w:ind w:left="142" w:firstLine="0"/>
              <w:jc w:val="left"/>
            </w:pPr>
            <w:r>
              <w:rPr>
                <w:sz w:val="19"/>
              </w:rPr>
              <w:t>v rozporu s právními předpisy,</w:t>
            </w:r>
            <w:r>
              <w:rPr>
                <w:b/>
                <w:sz w:val="19"/>
              </w:rPr>
              <w:t xml:space="preserve">                                                                                                                                                              </w:t>
            </w:r>
          </w:p>
          <w:p w:rsidR="007043CB" w:rsidRDefault="004B5C2E">
            <w:pPr>
              <w:numPr>
                <w:ilvl w:val="0"/>
                <w:numId w:val="54"/>
              </w:numPr>
              <w:spacing w:after="40" w:line="237" w:lineRule="auto"/>
              <w:ind w:right="597" w:firstLine="0"/>
              <w:jc w:val="left"/>
            </w:pPr>
            <w:r>
              <w:rPr>
                <w:sz w:val="19"/>
              </w:rPr>
              <w:t xml:space="preserve">jde o újmu, jejíž náhrada je právním předpisem vyloučena z povinného pojištění odpovědnosti za újmu způsobenou provozem vozidla, nebo </w:t>
            </w:r>
          </w:p>
          <w:p w:rsidR="007043CB" w:rsidRDefault="004B5C2E">
            <w:pPr>
              <w:numPr>
                <w:ilvl w:val="0"/>
                <w:numId w:val="54"/>
              </w:numPr>
              <w:spacing w:after="0" w:line="276" w:lineRule="auto"/>
              <w:ind w:right="597" w:firstLine="0"/>
              <w:jc w:val="left"/>
            </w:pPr>
            <w:r>
              <w:rPr>
                <w:sz w:val="19"/>
              </w:rPr>
              <w:t xml:space="preserve">ke vzniku újmy došlo při účasti na motoristickém závodě nebo soutěži nebo v průběhu přípravy na ně. Toto pojištění se pro případ újmy způsobené: </w:t>
            </w:r>
          </w:p>
          <w:p w:rsidR="007043CB" w:rsidRDefault="004B5C2E">
            <w:pPr>
              <w:numPr>
                <w:ilvl w:val="0"/>
                <w:numId w:val="55"/>
              </w:numPr>
              <w:spacing w:after="7" w:line="237" w:lineRule="auto"/>
              <w:ind w:firstLine="0"/>
              <w:jc w:val="left"/>
            </w:pPr>
            <w:r>
              <w:rPr>
                <w:sz w:val="19"/>
              </w:rPr>
              <w:t xml:space="preserve">výkonem činnosti pracovního stroje, která (újma) nemá původ v jeho jízdě, sjednává se </w:t>
            </w:r>
            <w:r>
              <w:rPr>
                <w:b/>
                <w:sz w:val="19"/>
              </w:rPr>
              <w:t xml:space="preserve">sublimitem ve výši        rovnající se limitu pojistného plnění pro pojištění odpovědnosti za škodu, </w:t>
            </w:r>
          </w:p>
          <w:p w:rsidR="007043CB" w:rsidRDefault="004B5C2E">
            <w:pPr>
              <w:numPr>
                <w:ilvl w:val="0"/>
                <w:numId w:val="55"/>
              </w:numPr>
              <w:spacing w:after="0" w:line="259" w:lineRule="auto"/>
              <w:ind w:firstLine="0"/>
              <w:jc w:val="left"/>
            </w:pPr>
            <w:r>
              <w:rPr>
                <w:sz w:val="19"/>
              </w:rPr>
              <w:t xml:space="preserve">jinak než v případě uvedeném pod písm. a) sjednává se sublimitem pojistného plnění </w:t>
            </w:r>
            <w:r>
              <w:rPr>
                <w:sz w:val="17"/>
                <w:vertAlign w:val="superscript"/>
              </w:rPr>
              <w:t>7)</w:t>
            </w:r>
            <w:r>
              <w:rPr>
                <w:sz w:val="19"/>
              </w:rPr>
              <w:t xml:space="preserve"> ve výši </w:t>
            </w:r>
            <w:r>
              <w:rPr>
                <w:b/>
                <w:sz w:val="19"/>
              </w:rPr>
              <w:t>500.000Kč</w:t>
            </w:r>
            <w:r>
              <w:rPr>
                <w:sz w:val="19"/>
              </w:rPr>
              <w:t xml:space="preserve">.              </w:t>
            </w:r>
          </w:p>
          <w:p w:rsidR="007043CB" w:rsidRDefault="004B5C2E">
            <w:pPr>
              <w:spacing w:after="15" w:line="259" w:lineRule="auto"/>
              <w:ind w:left="0" w:firstLine="0"/>
              <w:jc w:val="left"/>
            </w:pPr>
            <w:r>
              <w:rPr>
                <w:sz w:val="19"/>
              </w:rPr>
              <w:lastRenderedPageBreak/>
              <w:t xml:space="preserve"> </w:t>
            </w:r>
          </w:p>
          <w:p w:rsidR="007043CB" w:rsidRDefault="004B5C2E">
            <w:pPr>
              <w:spacing w:after="0" w:line="239" w:lineRule="auto"/>
              <w:ind w:left="142" w:hanging="142"/>
              <w:jc w:val="left"/>
            </w:pPr>
            <w:r>
              <w:rPr>
                <w:rFonts w:ascii="Segoe UI Symbol" w:eastAsia="Segoe UI Symbol" w:hAnsi="Segoe UI Symbol" w:cs="Segoe UI Symbol"/>
                <w:sz w:val="19"/>
              </w:rPr>
              <w:t></w:t>
            </w:r>
            <w:r>
              <w:rPr>
                <w:rFonts w:ascii="Arial" w:eastAsia="Arial" w:hAnsi="Arial" w:cs="Arial"/>
                <w:sz w:val="19"/>
              </w:rPr>
              <w:t xml:space="preserve"> </w:t>
            </w:r>
            <w:r>
              <w:rPr>
                <w:sz w:val="19"/>
              </w:rPr>
              <w:t xml:space="preserve">Odchylně od čl. IV. odst. (2) písm. d) ZPP P - 600/05 se sjednává dodatkové pojištění odpovědnosti za škodu na majetku nebo na zdraví, kterou způsobí </w:t>
            </w:r>
            <w:r>
              <w:rPr>
                <w:b/>
                <w:sz w:val="19"/>
              </w:rPr>
              <w:t>osoba vykonávající veřejnou službu</w:t>
            </w:r>
            <w:r>
              <w:rPr>
                <w:sz w:val="19"/>
              </w:rPr>
              <w:t xml:space="preserve"> ve prospěch pojištěných nebo která bude takové osobě při výkonu veřejné služby způsobena (</w:t>
            </w:r>
            <w:r>
              <w:t>dále jen dodatkové „pojištění odpovědnosti z výkonu veřejné služby</w:t>
            </w:r>
            <w:r>
              <w:rPr>
                <w:sz w:val="19"/>
              </w:rPr>
              <w:t xml:space="preserve">“). </w:t>
            </w:r>
          </w:p>
          <w:p w:rsidR="007043CB" w:rsidRDefault="004B5C2E">
            <w:pPr>
              <w:spacing w:after="0" w:line="259" w:lineRule="auto"/>
              <w:ind w:left="0" w:firstLine="0"/>
              <w:jc w:val="left"/>
            </w:pPr>
            <w:r>
              <w:rPr>
                <w:sz w:val="19"/>
              </w:rPr>
              <w:t xml:space="preserve">   Pro účely tohoto dodatkového pojištění odpovědnosti z výkonu veřejné služby je pojištěným také: </w:t>
            </w:r>
          </w:p>
          <w:p w:rsidR="007043CB" w:rsidRDefault="004B5C2E">
            <w:pPr>
              <w:spacing w:after="0" w:line="259" w:lineRule="auto"/>
              <w:ind w:left="142" w:firstLine="0"/>
              <w:jc w:val="left"/>
            </w:pPr>
            <w:r>
              <w:rPr>
                <w:sz w:val="19"/>
              </w:rPr>
              <w:t xml:space="preserve">- Úřad práce České republiky (Česká republika)   / </w:t>
            </w:r>
            <w:r>
              <w:rPr>
                <w:b/>
                <w:sz w:val="19"/>
              </w:rPr>
              <w:t xml:space="preserve">    </w:t>
            </w:r>
            <w:r>
              <w:rPr>
                <w:sz w:val="19"/>
              </w:rPr>
              <w:t>- Osoba vykonávající veřejnou službu ve prospěch pojištěného, na kterého se vztahuje toto dodatkové pojištění odpovědnosti z výkonu veřejné služby.</w:t>
            </w:r>
            <w:r>
              <w:rPr>
                <w:b/>
                <w:sz w:val="19"/>
              </w:rPr>
              <w:t xml:space="preserve">                                                      ↓</w:t>
            </w:r>
            <w:r>
              <w:rPr>
                <w:sz w:val="19"/>
              </w:rPr>
              <w:t xml:space="preserve"> </w:t>
            </w:r>
          </w:p>
        </w:tc>
      </w:tr>
    </w:tbl>
    <w:p w:rsidR="007043CB" w:rsidRDefault="004B5C2E">
      <w:pPr>
        <w:pBdr>
          <w:top w:val="single" w:sz="4" w:space="0" w:color="000000"/>
          <w:left w:val="single" w:sz="4" w:space="0" w:color="000000"/>
          <w:bottom w:val="single" w:sz="4" w:space="0" w:color="000000"/>
          <w:right w:val="single" w:sz="4" w:space="0" w:color="000000"/>
        </w:pBdr>
        <w:spacing w:line="247" w:lineRule="auto"/>
        <w:ind w:left="152" w:hanging="152"/>
      </w:pPr>
      <w:r>
        <w:rPr>
          <w:sz w:val="19"/>
        </w:rPr>
        <w:lastRenderedPageBreak/>
        <w:t xml:space="preserve">   Sublimit pojistného plnění (horní hranice pojistného plnění z jedné pojistné události a ze všech pojistných událostí vzniklých během jednoho pojistného roku, který se sjednává v rámci limitu pojistného plnění pro pojištění odpovědnosti za škodu, činí pro toto dodatkové pojištění </w:t>
      </w:r>
      <w:r>
        <w:rPr>
          <w:b/>
          <w:sz w:val="19"/>
        </w:rPr>
        <w:t>odpovědnosti z výkonu veřejné služby   3 000 000 Kč</w:t>
      </w:r>
      <w:r>
        <w:rPr>
          <w:sz w:val="19"/>
        </w:rPr>
        <w:t xml:space="preserve">. </w:t>
      </w:r>
    </w:p>
    <w:p w:rsidR="007043CB" w:rsidRDefault="004B5C2E">
      <w:pPr>
        <w:pBdr>
          <w:top w:val="single" w:sz="4" w:space="0" w:color="000000"/>
          <w:left w:val="single" w:sz="4" w:space="0" w:color="000000"/>
          <w:bottom w:val="single" w:sz="4" w:space="0" w:color="000000"/>
          <w:right w:val="single" w:sz="4" w:space="0" w:color="000000"/>
        </w:pBdr>
        <w:spacing w:line="247" w:lineRule="auto"/>
        <w:ind w:left="152" w:hanging="152"/>
      </w:pPr>
      <w:r>
        <w:rPr>
          <w:sz w:val="19"/>
        </w:rPr>
        <w:t xml:space="preserve">   Spoluúčast pojištěného na plnění z každé pojistné události činí pro toto dodatkové pojištění odpovědnosti z výkonu veřejné služby </w:t>
      </w:r>
      <w:r>
        <w:rPr>
          <w:b/>
          <w:sz w:val="19"/>
        </w:rPr>
        <w:t>1 000 Kč</w:t>
      </w:r>
      <w:r>
        <w:rPr>
          <w:sz w:val="19"/>
        </w:rPr>
        <w:t xml:space="preserve">.   Roční pojistné za dodatkové pojištění odpovědnosti z výkonu veřejné služby činí </w:t>
      </w:r>
      <w:r>
        <w:rPr>
          <w:b/>
          <w:sz w:val="19"/>
        </w:rPr>
        <w:t>7 280 Kč</w:t>
      </w:r>
      <w:r>
        <w:rPr>
          <w:sz w:val="19"/>
        </w:rPr>
        <w:t>.</w:t>
      </w:r>
      <w:r>
        <w:rPr>
          <w:sz w:val="20"/>
        </w:rPr>
        <w:t xml:space="preserve"> </w:t>
      </w:r>
    </w:p>
    <w:p w:rsidR="007043CB" w:rsidRDefault="004B5C2E">
      <w:pPr>
        <w:spacing w:after="66" w:line="259" w:lineRule="auto"/>
        <w:ind w:left="0" w:firstLine="0"/>
        <w:jc w:val="left"/>
      </w:pPr>
      <w:r>
        <w:rPr>
          <w:sz w:val="10"/>
        </w:rPr>
        <w:t xml:space="preserve"> </w:t>
      </w:r>
    </w:p>
    <w:p w:rsidR="007043CB" w:rsidRDefault="004B5C2E">
      <w:pPr>
        <w:numPr>
          <w:ilvl w:val="0"/>
          <w:numId w:val="5"/>
        </w:numPr>
        <w:spacing w:after="3" w:line="243" w:lineRule="auto"/>
        <w:ind w:hanging="284"/>
      </w:pPr>
      <w:r>
        <w:t xml:space="preserve">časová cena je vyjádření pojistné hodnoty věci ve smyslu ustanovení čl. XVI. odst. 2. b) VPP P – 100/09, obvyklá cena je vyjádření pojistné hodnoty věci ve smyslu ustanovení čl. XVI. odst. 2. c) VPP P – 100/09, jiná cena je vyjádření pojistné hodnoty věci ve smyslu čl. V. Zvláštní ujednání této pojistné smlouvy, </w:t>
      </w:r>
    </w:p>
    <w:p w:rsidR="007043CB" w:rsidRDefault="004B5C2E">
      <w:pPr>
        <w:numPr>
          <w:ilvl w:val="0"/>
          <w:numId w:val="5"/>
        </w:numPr>
        <w:ind w:hanging="284"/>
      </w:pPr>
      <w:r>
        <w:t xml:space="preserve">první riziko je limit pojistného plnění ve smyslu ustanovení čl. XVIII . odst, 1 a). VPP P – 100/09, </w:t>
      </w:r>
    </w:p>
    <w:p w:rsidR="007043CB" w:rsidRDefault="004B5C2E">
      <w:pPr>
        <w:numPr>
          <w:ilvl w:val="0"/>
          <w:numId w:val="5"/>
        </w:numPr>
        <w:ind w:hanging="284"/>
      </w:pPr>
      <w:r>
        <w:t xml:space="preserve">maximální limit pojistného plnění je limitem pro všechny pojistné události vzniklé v jednom pojistném roce ve smyslu ustanovení čl. XVIII. VPP P-100/09 </w:t>
      </w:r>
    </w:p>
    <w:p w:rsidR="007043CB" w:rsidRDefault="004B5C2E">
      <w:pPr>
        <w:numPr>
          <w:ilvl w:val="0"/>
          <w:numId w:val="5"/>
        </w:numPr>
        <w:ind w:hanging="284"/>
      </w:pPr>
      <w:r>
        <w:t xml:space="preserve">limit pojistného plnění pro jednu a každou pojistnou událost, </w:t>
      </w:r>
    </w:p>
    <w:p w:rsidR="007043CB" w:rsidRDefault="004B5C2E">
      <w:pPr>
        <w:numPr>
          <w:ilvl w:val="0"/>
          <w:numId w:val="5"/>
        </w:numPr>
        <w:ind w:hanging="284"/>
      </w:pPr>
      <w:r>
        <w:t xml:space="preserve">odčetná spoluúčast v %, minimální odčetná spoluúčast v Kč, odčetná časová spoluúčast, </w:t>
      </w:r>
    </w:p>
    <w:p w:rsidR="007043CB" w:rsidRDefault="004B5C2E">
      <w:pPr>
        <w:numPr>
          <w:ilvl w:val="0"/>
          <w:numId w:val="5"/>
        </w:numPr>
        <w:spacing w:after="0" w:line="252" w:lineRule="auto"/>
        <w:ind w:hanging="284"/>
      </w:pPr>
      <w:r>
        <w:rPr>
          <w:b/>
          <w:sz w:val="17"/>
        </w:rPr>
        <w:t>odchylně od čl. VII. odst. 2. ZPP P - 600/05 poskytne pojistitel na úhradu všech pojistných událostí vzniklých během jednoho pojistného roku pojistné plnění do výše limitu pojistného plnění,</w:t>
      </w:r>
      <w:r>
        <w:t xml:space="preserve"> </w:t>
      </w:r>
    </w:p>
    <w:p w:rsidR="007043CB" w:rsidRDefault="004B5C2E">
      <w:pPr>
        <w:numPr>
          <w:ilvl w:val="0"/>
          <w:numId w:val="5"/>
        </w:numPr>
        <w:ind w:hanging="284"/>
      </w:pPr>
      <w:r>
        <w:t xml:space="preserve">sublimit pojistného plnění se sjednává v rámci limitu pojistného plnění a je horní hranicí pojistného plnění z jedné a ze všech pojistných událostí vzniklých během jednoho pojistného roku, </w:t>
      </w:r>
    </w:p>
    <w:p w:rsidR="007043CB" w:rsidRDefault="004B5C2E">
      <w:pPr>
        <w:numPr>
          <w:ilvl w:val="0"/>
          <w:numId w:val="5"/>
        </w:numPr>
        <w:ind w:hanging="284"/>
      </w:pPr>
      <w:r>
        <w:t>doba ručení - ve smyslu čl. XIII. odst. 4. ZPP P – 400/10</w:t>
      </w:r>
      <w:r>
        <w:rPr>
          <w:i/>
        </w:rPr>
        <w:t>,</w:t>
      </w:r>
      <w:r>
        <w:t xml:space="preserve"> </w:t>
      </w:r>
    </w:p>
    <w:p w:rsidR="007043CB" w:rsidRDefault="004B5C2E">
      <w:pPr>
        <w:numPr>
          <w:ilvl w:val="0"/>
          <w:numId w:val="5"/>
        </w:numPr>
        <w:ind w:hanging="284"/>
      </w:pPr>
      <w:r>
        <w:t xml:space="preserve">zlomkové pojištění se vztahuje pouze na uvedený podíl z pojistné částky ve smyslu čl. XVIII. VPP P - 100/09, </w:t>
      </w:r>
      <w:r>
        <w:rPr>
          <w:vertAlign w:val="superscript"/>
        </w:rPr>
        <w:t xml:space="preserve">10)    </w:t>
      </w:r>
      <w:r>
        <w:t xml:space="preserve">limit pojistného plnění pro jednu pojistnou událost na vozidlo, </w:t>
      </w:r>
    </w:p>
    <w:p w:rsidR="007043CB" w:rsidRDefault="004B5C2E">
      <w:pPr>
        <w:spacing w:after="3" w:line="243" w:lineRule="auto"/>
        <w:ind w:left="279" w:right="5" w:hanging="294"/>
        <w:jc w:val="left"/>
      </w:pPr>
      <w:r>
        <w:rPr>
          <w:vertAlign w:val="superscript"/>
        </w:rPr>
        <w:t xml:space="preserve">11)   </w:t>
      </w:r>
      <w:r>
        <w:t xml:space="preserve"> integrální franšíza se od plnění neodečítá, do její výše se však plnění neposkytuje. Časová franšíza je časový úsek specifikovaný několika pracovními dny. Právo na pojistné plnění vzniká jen tehdy, je-li provoz zařízení přerušen déle než po tento počet pracovních dní. Pracovním dnem se rozumí časové období, kdy je zařízení běžně v provozu. </w:t>
      </w:r>
    </w:p>
    <w:p w:rsidR="007043CB" w:rsidRDefault="004B5C2E">
      <w:pPr>
        <w:spacing w:after="0" w:line="259" w:lineRule="auto"/>
        <w:ind w:left="0" w:firstLine="0"/>
        <w:jc w:val="left"/>
      </w:pPr>
      <w:r>
        <w:t xml:space="preserve"> </w:t>
      </w:r>
    </w:p>
    <w:p w:rsidR="007043CB" w:rsidRDefault="004B5C2E">
      <w:pPr>
        <w:spacing w:after="33" w:line="259" w:lineRule="auto"/>
        <w:ind w:left="0" w:firstLine="0"/>
        <w:jc w:val="left"/>
      </w:pPr>
      <w:r>
        <w:t xml:space="preserve"> </w:t>
      </w:r>
    </w:p>
    <w:p w:rsidR="007043CB" w:rsidRDefault="004B5C2E">
      <w:pPr>
        <w:pStyle w:val="Nadpis2"/>
        <w:tabs>
          <w:tab w:val="center" w:pos="1136"/>
        </w:tabs>
        <w:spacing w:after="90" w:line="259" w:lineRule="auto"/>
        <w:ind w:left="0" w:firstLine="0"/>
        <w:jc w:val="left"/>
      </w:pPr>
      <w:r>
        <w:t>3.</w:t>
      </w:r>
      <w:r>
        <w:rPr>
          <w:rFonts w:ascii="Arial" w:eastAsia="Arial" w:hAnsi="Arial" w:cs="Arial"/>
        </w:rPr>
        <w:t xml:space="preserve"> </w:t>
      </w:r>
      <w:r>
        <w:rPr>
          <w:rFonts w:ascii="Arial" w:eastAsia="Arial" w:hAnsi="Arial" w:cs="Arial"/>
        </w:rPr>
        <w:tab/>
      </w:r>
      <w:r>
        <w:rPr>
          <w:sz w:val="22"/>
        </w:rPr>
        <w:t xml:space="preserve">Pojistné plnění  </w:t>
      </w:r>
    </w:p>
    <w:p w:rsidR="007043CB" w:rsidRDefault="004B5C2E">
      <w:pPr>
        <w:spacing w:after="139"/>
        <w:ind w:left="425" w:right="180" w:hanging="425"/>
      </w:pPr>
      <w:r>
        <w:rPr>
          <w:sz w:val="19"/>
        </w:rPr>
        <w:t>3.1.</w:t>
      </w:r>
      <w:r>
        <w:rPr>
          <w:rFonts w:ascii="Arial" w:eastAsia="Arial" w:hAnsi="Arial" w:cs="Arial"/>
          <w:sz w:val="19"/>
        </w:rPr>
        <w:t xml:space="preserve"> </w:t>
      </w:r>
      <w:r>
        <w:rPr>
          <w:sz w:val="19"/>
        </w:rPr>
        <w:t xml:space="preserve">Bez ohledu na jiná ujednání této pojistné smlouvy je pojistné plnění ze všech druhů pojištění sjednaných touto pojistnou smlouvou, za všechny pojistné události způsobené </w:t>
      </w:r>
      <w:r>
        <w:rPr>
          <w:b/>
          <w:sz w:val="19"/>
        </w:rPr>
        <w:t>povodní nebo záplavou</w:t>
      </w:r>
      <w:r>
        <w:rPr>
          <w:sz w:val="19"/>
        </w:rPr>
        <w:t xml:space="preserve">, nastalé v průběhu jednoho pojistného roku, omezeno maximálním ročním limitem pojistného plnění ve výši </w:t>
      </w:r>
      <w:r>
        <w:rPr>
          <w:b/>
          <w:sz w:val="19"/>
        </w:rPr>
        <w:t>20 000 000 Kč</w:t>
      </w:r>
      <w:r>
        <w:rPr>
          <w:sz w:val="19"/>
        </w:rPr>
        <w:t>.</w:t>
      </w:r>
      <w:r>
        <w:rPr>
          <w:b/>
          <w:sz w:val="19"/>
        </w:rPr>
        <w:t xml:space="preserve"> </w:t>
      </w:r>
      <w:r>
        <w:rPr>
          <w:sz w:val="19"/>
        </w:rPr>
        <w:t>Spoluúčast pojištěného nově činí</w:t>
      </w:r>
      <w:r>
        <w:rPr>
          <w:b/>
          <w:sz w:val="19"/>
        </w:rPr>
        <w:t xml:space="preserve"> 10%, min. 20 000 Kč. </w:t>
      </w:r>
      <w:r>
        <w:rPr>
          <w:sz w:val="19"/>
        </w:rPr>
        <w:t>V případě vzniku pojistné události na více místech pojištění se od celkové výše pojistného plnění za pojistnou událost odečítá pouze ta spoluúčast, která je nejvyšší ze všech spoluúčastí</w:t>
      </w:r>
      <w:r>
        <w:rPr>
          <w:sz w:val="8"/>
        </w:rPr>
        <w:t xml:space="preserve"> </w:t>
      </w:r>
      <w:r>
        <w:rPr>
          <w:sz w:val="19"/>
        </w:rPr>
        <w:t>sjednaných</w:t>
      </w:r>
      <w:r>
        <w:rPr>
          <w:sz w:val="8"/>
        </w:rPr>
        <w:t xml:space="preserve"> </w:t>
      </w:r>
      <w:r>
        <w:rPr>
          <w:sz w:val="19"/>
        </w:rPr>
        <w:t>a</w:t>
      </w:r>
      <w:r>
        <w:rPr>
          <w:sz w:val="8"/>
        </w:rPr>
        <w:t xml:space="preserve"> </w:t>
      </w:r>
      <w:r>
        <w:rPr>
          <w:sz w:val="19"/>
        </w:rPr>
        <w:t>následně</w:t>
      </w:r>
      <w:r>
        <w:rPr>
          <w:sz w:val="8"/>
        </w:rPr>
        <w:t xml:space="preserve"> </w:t>
      </w:r>
      <w:r>
        <w:rPr>
          <w:sz w:val="19"/>
        </w:rPr>
        <w:t>vypočtených pro jednotlivá místa pojištění postižená touto pojistnou událostí.</w:t>
      </w:r>
      <w:r>
        <w:rPr>
          <w:b/>
          <w:sz w:val="19"/>
        </w:rPr>
        <w:t xml:space="preserve"> </w:t>
      </w:r>
    </w:p>
    <w:p w:rsidR="007043CB" w:rsidRDefault="004B5C2E">
      <w:pPr>
        <w:spacing w:after="139"/>
        <w:ind w:left="425" w:right="181" w:hanging="425"/>
      </w:pPr>
      <w:r>
        <w:rPr>
          <w:sz w:val="19"/>
        </w:rPr>
        <w:t>3.2.</w:t>
      </w:r>
      <w:r>
        <w:rPr>
          <w:rFonts w:ascii="Arial" w:eastAsia="Arial" w:hAnsi="Arial" w:cs="Arial"/>
          <w:sz w:val="19"/>
        </w:rPr>
        <w:t xml:space="preserve"> </w:t>
      </w:r>
      <w:r>
        <w:rPr>
          <w:sz w:val="19"/>
        </w:rPr>
        <w:t xml:space="preserve">Bez ohledu na jiná ujednání této pojistné smlouvy je pojistné plnění ze všech druhů pojištění sjednaných touto pojistnou smlouvou, za všechny pojistné události způsobené </w:t>
      </w:r>
      <w:r>
        <w:rPr>
          <w:b/>
          <w:sz w:val="19"/>
        </w:rPr>
        <w:t>vichřicí nebo krupobitím</w:t>
      </w:r>
      <w:r>
        <w:rPr>
          <w:sz w:val="19"/>
        </w:rPr>
        <w:t xml:space="preserve">, nastalé v průběhu jednoho pojistného roku, omezeno maximálním ročním limitem pojistného plnění  ve výši </w:t>
      </w:r>
      <w:r>
        <w:rPr>
          <w:b/>
          <w:sz w:val="19"/>
        </w:rPr>
        <w:t>30 000 000 Kč</w:t>
      </w:r>
      <w:r>
        <w:rPr>
          <w:sz w:val="19"/>
        </w:rPr>
        <w:t xml:space="preserve">. V případě vzniku pojistné události na více místech pojištění se od celkové výše pojistného plnění za pojistnou událost odečítá pouze ta spoluúčast, která je nejvyšší ze všech spoluúčastí sjednaných (vypočtených) pro jednotlivá místa pojištění postižená touto pojistnou událostí. </w:t>
      </w:r>
    </w:p>
    <w:p w:rsidR="007043CB" w:rsidRDefault="004B5C2E">
      <w:pPr>
        <w:spacing w:after="142"/>
        <w:ind w:left="425" w:right="181" w:hanging="425"/>
      </w:pPr>
      <w:r>
        <w:rPr>
          <w:sz w:val="19"/>
        </w:rPr>
        <w:t>3.3.</w:t>
      </w:r>
      <w:r>
        <w:rPr>
          <w:rFonts w:ascii="Arial" w:eastAsia="Arial" w:hAnsi="Arial" w:cs="Arial"/>
          <w:sz w:val="19"/>
        </w:rPr>
        <w:t xml:space="preserve"> </w:t>
      </w:r>
      <w:r>
        <w:rPr>
          <w:sz w:val="19"/>
        </w:rPr>
        <w:t xml:space="preserve">Bez ohledu na jiná ujednání této pojistné smlouvy je pojistné plnění ze všech druhů pojištění sjednaných touto pojistnou smlouvou, za všechny pojistné události způsobené </w:t>
      </w:r>
      <w:r>
        <w:rPr>
          <w:b/>
          <w:sz w:val="19"/>
        </w:rPr>
        <w:t>sesouváním půdy, zřícením skal nebo zemin, sesouváním nebo zřícením lavin, zemětřesením, a je-li pojištěnou věcí budova, též tíhou sněhu nebo námrazy,</w:t>
      </w:r>
      <w:r>
        <w:rPr>
          <w:sz w:val="19"/>
        </w:rPr>
        <w:t xml:space="preserve"> nastalé v průběhu jednoho pojistného roku, omezeno maximálním ročním limitem pojistného plnění ve výši </w:t>
      </w:r>
      <w:r>
        <w:rPr>
          <w:b/>
          <w:sz w:val="19"/>
        </w:rPr>
        <w:t>30 000 000 Kč</w:t>
      </w:r>
      <w:r>
        <w:rPr>
          <w:sz w:val="19"/>
        </w:rPr>
        <w:t xml:space="preserve">. </w:t>
      </w:r>
    </w:p>
    <w:p w:rsidR="007043CB" w:rsidRDefault="004B5C2E">
      <w:pPr>
        <w:spacing w:after="142"/>
        <w:ind w:left="425" w:right="179" w:hanging="425"/>
      </w:pPr>
      <w:r>
        <w:rPr>
          <w:sz w:val="19"/>
        </w:rPr>
        <w:t>3.4.</w:t>
      </w:r>
      <w:r>
        <w:rPr>
          <w:rFonts w:ascii="Arial" w:eastAsia="Arial" w:hAnsi="Arial" w:cs="Arial"/>
          <w:sz w:val="19"/>
        </w:rPr>
        <w:t xml:space="preserve"> </w:t>
      </w:r>
      <w:r>
        <w:rPr>
          <w:sz w:val="19"/>
        </w:rPr>
        <w:t xml:space="preserve">Pro pojistné nebezpečí sjednané doložkou </w:t>
      </w:r>
      <w:r>
        <w:rPr>
          <w:b/>
          <w:sz w:val="19"/>
        </w:rPr>
        <w:t>DZ13- Atmosférické srážky</w:t>
      </w:r>
      <w:r>
        <w:rPr>
          <w:sz w:val="19"/>
        </w:rPr>
        <w:t xml:space="preserve"> se sjednává maximální roční limit pojistného plnění ve výši </w:t>
      </w:r>
      <w:r>
        <w:rPr>
          <w:b/>
          <w:sz w:val="19"/>
        </w:rPr>
        <w:t>200 000 Kč</w:t>
      </w:r>
      <w:r>
        <w:rPr>
          <w:sz w:val="19"/>
        </w:rPr>
        <w:t xml:space="preserve">. Bez ohledu na ujednání týkající se spoluúčastí uvedených v bodu 3 tohoto článku se od celkové výše pojistného plnění za pojistnou událost z pojištění dle doložky DZ13 odečítá spoluúčast ve výši </w:t>
      </w:r>
      <w:r>
        <w:rPr>
          <w:b/>
          <w:sz w:val="19"/>
        </w:rPr>
        <w:t>10% min 2 000 Kč</w:t>
      </w:r>
      <w:r>
        <w:rPr>
          <w:sz w:val="19"/>
        </w:rPr>
        <w:t xml:space="preserve">. </w:t>
      </w:r>
    </w:p>
    <w:p w:rsidR="007043CB" w:rsidRDefault="004B5C2E">
      <w:pPr>
        <w:spacing w:after="139"/>
        <w:ind w:left="425" w:right="181" w:hanging="425"/>
      </w:pPr>
      <w:r>
        <w:rPr>
          <w:sz w:val="19"/>
        </w:rPr>
        <w:t>3.5.</w:t>
      </w:r>
      <w:r>
        <w:rPr>
          <w:rFonts w:ascii="Arial" w:eastAsia="Arial" w:hAnsi="Arial" w:cs="Arial"/>
          <w:sz w:val="19"/>
        </w:rPr>
        <w:t xml:space="preserve"> </w:t>
      </w:r>
      <w:r>
        <w:rPr>
          <w:sz w:val="19"/>
        </w:rPr>
        <w:t xml:space="preserve">Pro pojistné nebezpečí sjednané doložkou </w:t>
      </w:r>
      <w:r>
        <w:rPr>
          <w:b/>
          <w:sz w:val="19"/>
        </w:rPr>
        <w:t>DOD1- Pojištění okrasných dřevin</w:t>
      </w:r>
      <w:r>
        <w:rPr>
          <w:sz w:val="19"/>
        </w:rPr>
        <w:t xml:space="preserve"> se sjednává maximální roční limit pojistného plnění ve výši </w:t>
      </w:r>
      <w:r>
        <w:rPr>
          <w:b/>
          <w:sz w:val="19"/>
        </w:rPr>
        <w:t>300 000 Kč</w:t>
      </w:r>
      <w:r>
        <w:rPr>
          <w:sz w:val="19"/>
        </w:rPr>
        <w:t xml:space="preserve">. Bez ohledu na ujednání týkající se spoluúčastí uvedených v bodu 3 tohoto článku se od celkové výše pojistného plnění za pojistnou událost z pojištění dle doložky DOD1 odečítá spoluúčast ve výši </w:t>
      </w:r>
      <w:r>
        <w:rPr>
          <w:b/>
          <w:sz w:val="19"/>
        </w:rPr>
        <w:t>10% min 1 000 Kč</w:t>
      </w:r>
      <w:r>
        <w:rPr>
          <w:sz w:val="19"/>
        </w:rPr>
        <w:t xml:space="preserve">. </w:t>
      </w:r>
    </w:p>
    <w:p w:rsidR="007043CB" w:rsidRDefault="004B5C2E">
      <w:pPr>
        <w:spacing w:after="141"/>
        <w:ind w:left="425" w:right="182" w:hanging="425"/>
      </w:pPr>
      <w:r>
        <w:rPr>
          <w:sz w:val="19"/>
        </w:rPr>
        <w:t>3.6.</w:t>
      </w:r>
      <w:r>
        <w:rPr>
          <w:rFonts w:ascii="Arial" w:eastAsia="Arial" w:hAnsi="Arial" w:cs="Arial"/>
          <w:sz w:val="19"/>
        </w:rPr>
        <w:t xml:space="preserve"> </w:t>
      </w:r>
      <w:r>
        <w:rPr>
          <w:sz w:val="19"/>
        </w:rPr>
        <w:t xml:space="preserve">Pro pojistné nebezpečí sjednané doložkou </w:t>
      </w:r>
      <w:r>
        <w:rPr>
          <w:b/>
          <w:sz w:val="19"/>
        </w:rPr>
        <w:t>DODC1-</w:t>
      </w:r>
      <w:r>
        <w:rPr>
          <w:rFonts w:ascii="Times New Roman" w:eastAsia="Times New Roman" w:hAnsi="Times New Roman" w:cs="Times New Roman"/>
          <w:sz w:val="19"/>
        </w:rPr>
        <w:t xml:space="preserve"> </w:t>
      </w:r>
      <w:r>
        <w:rPr>
          <w:b/>
          <w:sz w:val="19"/>
        </w:rPr>
        <w:t xml:space="preserve">Poškození vnějšího kontaktního zateplovacího systému (zateplení fasády) ptactvem, hmyzem a hlodavci </w:t>
      </w:r>
      <w:r>
        <w:rPr>
          <w:sz w:val="19"/>
        </w:rPr>
        <w:t xml:space="preserve">se pro všechny pojistné události nastalé v průběhu jednoho pojistného roku, sjednává maximální roční limit pojistného plnění ve výši </w:t>
      </w:r>
      <w:r>
        <w:rPr>
          <w:b/>
          <w:sz w:val="19"/>
        </w:rPr>
        <w:t>300 000 Kč.</w:t>
      </w:r>
      <w:r>
        <w:rPr>
          <w:sz w:val="19"/>
        </w:rPr>
        <w:t xml:space="preserve"> Bez ohledu na ujednání týkající se spoluúčastí uvedených v bodu 3 tohoto článku se od celkové výše pojistného plnění za pojistnou událost z pojištění dle doložky DODC1 odečítá spoluúčast ve výši </w:t>
      </w:r>
      <w:r>
        <w:rPr>
          <w:b/>
          <w:sz w:val="19"/>
        </w:rPr>
        <w:t>10%, min. 1 000 Kč</w:t>
      </w:r>
      <w:r>
        <w:rPr>
          <w:sz w:val="19"/>
        </w:rPr>
        <w:t xml:space="preserve">. </w:t>
      </w:r>
    </w:p>
    <w:p w:rsidR="007043CB" w:rsidRDefault="004B5C2E">
      <w:pPr>
        <w:spacing w:after="139"/>
        <w:ind w:left="425" w:right="182" w:hanging="425"/>
      </w:pPr>
      <w:r>
        <w:rPr>
          <w:sz w:val="19"/>
        </w:rPr>
        <w:t>3.7.</w:t>
      </w:r>
      <w:r>
        <w:rPr>
          <w:rFonts w:ascii="Arial" w:eastAsia="Arial" w:hAnsi="Arial" w:cs="Arial"/>
          <w:sz w:val="19"/>
        </w:rPr>
        <w:t xml:space="preserve"> </w:t>
      </w:r>
      <w:r>
        <w:rPr>
          <w:sz w:val="19"/>
        </w:rPr>
        <w:t xml:space="preserve">Pro pojistné nebezpečí sjednané doložkou </w:t>
      </w:r>
      <w:r>
        <w:rPr>
          <w:b/>
          <w:sz w:val="19"/>
        </w:rPr>
        <w:t>DODC2- Malby, nástřiky nebo polepení</w:t>
      </w:r>
      <w:r>
        <w:rPr>
          <w:sz w:val="19"/>
        </w:rPr>
        <w:t xml:space="preserve"> se pro všechny pojistné události nastalé v průběhu jednoho pojistného roku,  sjednává maximální roční limit pojistného plnění ve výši </w:t>
      </w:r>
      <w:r>
        <w:rPr>
          <w:b/>
          <w:sz w:val="19"/>
        </w:rPr>
        <w:t>300 000 Kč</w:t>
      </w:r>
      <w:r>
        <w:rPr>
          <w:sz w:val="19"/>
        </w:rPr>
        <w:t xml:space="preserve">, a to v rámci maximálního ročního limitu pojistného plnění sjednaného pro úmyslné poškození nebo úmyslné zničení pojištěné věci.  Pojištění dle DODC2 se sjednává se spoluúčastí ve výši </w:t>
      </w:r>
      <w:r>
        <w:rPr>
          <w:b/>
          <w:sz w:val="19"/>
        </w:rPr>
        <w:t>10%, min. 1 000 Kč</w:t>
      </w:r>
      <w:r>
        <w:rPr>
          <w:sz w:val="19"/>
        </w:rPr>
        <w:t xml:space="preserve"> </w:t>
      </w:r>
    </w:p>
    <w:p w:rsidR="007043CB" w:rsidRDefault="004B5C2E">
      <w:pPr>
        <w:ind w:left="425" w:right="182" w:hanging="425"/>
      </w:pPr>
      <w:r>
        <w:rPr>
          <w:sz w:val="19"/>
        </w:rPr>
        <w:t>3.8.</w:t>
      </w:r>
      <w:r>
        <w:rPr>
          <w:rFonts w:ascii="Arial" w:eastAsia="Arial" w:hAnsi="Arial" w:cs="Arial"/>
          <w:sz w:val="19"/>
        </w:rPr>
        <w:t xml:space="preserve"> </w:t>
      </w:r>
      <w:r>
        <w:rPr>
          <w:sz w:val="19"/>
        </w:rPr>
        <w:t>V případě pojistné události na více předmětech pojištění současně na jednom místě pojištění z téže příčiny se od celkové výše pojistného plnění za pojistnou událost odečítá pouze ta spoluúčast, která je nejvyšší ze všech spoluúčastí sjednaných (vypočtených) pro každý jednotlivý předmět pojištění postižený touto pojistnou událostí. (Netýká se pojištění přerušení nebo omezení provozu sjednaných dle ZPP P – 400/10).</w:t>
      </w:r>
      <w:r>
        <w:rPr>
          <w:b/>
          <w:sz w:val="19"/>
        </w:rPr>
        <w:t xml:space="preserve"> </w:t>
      </w:r>
    </w:p>
    <w:p w:rsidR="007043CB" w:rsidRDefault="004B5C2E">
      <w:pPr>
        <w:ind w:left="10" w:right="180" w:hanging="10"/>
        <w:jc w:val="center"/>
      </w:pPr>
      <w:r>
        <w:rPr>
          <w:b/>
          <w:sz w:val="20"/>
        </w:rPr>
        <w:lastRenderedPageBreak/>
        <w:t xml:space="preserve">Článek III. </w:t>
      </w:r>
    </w:p>
    <w:p w:rsidR="007043CB" w:rsidRDefault="004B5C2E">
      <w:pPr>
        <w:pStyle w:val="Nadpis3"/>
        <w:ind w:left="10" w:right="183"/>
      </w:pPr>
      <w:r>
        <w:t xml:space="preserve">Výše a způsob placení pojistného </w:t>
      </w:r>
    </w:p>
    <w:p w:rsidR="007043CB" w:rsidRDefault="004B5C2E">
      <w:pPr>
        <w:spacing w:after="112" w:line="259" w:lineRule="auto"/>
        <w:ind w:left="0" w:firstLine="0"/>
        <w:jc w:val="left"/>
      </w:pPr>
      <w:r>
        <w:rPr>
          <w:b/>
          <w:sz w:val="10"/>
        </w:rPr>
        <w:t xml:space="preserve"> </w:t>
      </w:r>
    </w:p>
    <w:p w:rsidR="007043CB" w:rsidRDefault="004B5C2E">
      <w:pPr>
        <w:numPr>
          <w:ilvl w:val="0"/>
          <w:numId w:val="6"/>
        </w:numPr>
        <w:ind w:right="1" w:hanging="425"/>
      </w:pPr>
      <w:r>
        <w:rPr>
          <w:sz w:val="20"/>
        </w:rPr>
        <w:t>Pojistné za pojistný rok po realizaci dodatku pojistné smlouvy nově činí</w:t>
      </w:r>
      <w:r>
        <w:rPr>
          <w:b/>
          <w:sz w:val="20"/>
        </w:rPr>
        <w:t xml:space="preserve">: </w:t>
      </w:r>
    </w:p>
    <w:p w:rsidR="007043CB" w:rsidRDefault="004B5C2E">
      <w:pPr>
        <w:spacing w:after="114" w:line="259" w:lineRule="auto"/>
        <w:ind w:left="0" w:firstLine="0"/>
        <w:jc w:val="left"/>
      </w:pPr>
      <w:r>
        <w:rPr>
          <w:sz w:val="10"/>
        </w:rPr>
        <w:t xml:space="preserve"> </w:t>
      </w:r>
    </w:p>
    <w:p w:rsidR="007043CB" w:rsidRDefault="004B5C2E">
      <w:pPr>
        <w:numPr>
          <w:ilvl w:val="1"/>
          <w:numId w:val="6"/>
        </w:numPr>
        <w:ind w:right="1" w:hanging="425"/>
      </w:pPr>
      <w:r>
        <w:rPr>
          <w:sz w:val="20"/>
        </w:rPr>
        <w:t xml:space="preserve">Živelní pojištění </w:t>
      </w:r>
    </w:p>
    <w:p w:rsidR="007043CB" w:rsidRDefault="004B5C2E">
      <w:pPr>
        <w:ind w:left="435" w:right="1" w:hanging="10"/>
      </w:pPr>
      <w:r>
        <w:rPr>
          <w:sz w:val="20"/>
        </w:rPr>
        <w:t xml:space="preserve">Roční pojistné se mění na nově ..................................................................................................... .........................610.159,- Kč </w:t>
      </w:r>
    </w:p>
    <w:p w:rsidR="007043CB" w:rsidRDefault="004B5C2E">
      <w:pPr>
        <w:numPr>
          <w:ilvl w:val="1"/>
          <w:numId w:val="6"/>
        </w:numPr>
        <w:ind w:right="1" w:hanging="425"/>
      </w:pPr>
      <w:r>
        <w:rPr>
          <w:sz w:val="20"/>
        </w:rPr>
        <w:t xml:space="preserve">Pojištění pro případ odcizení  </w:t>
      </w:r>
    </w:p>
    <w:p w:rsidR="007043CB" w:rsidRDefault="004B5C2E">
      <w:pPr>
        <w:ind w:left="435" w:right="1" w:hanging="10"/>
      </w:pPr>
      <w:r>
        <w:rPr>
          <w:sz w:val="20"/>
        </w:rPr>
        <w:t xml:space="preserve">Roční pojistné se mění na nově ...................................................................................................... ......................... 37.657,- Kč </w:t>
      </w:r>
    </w:p>
    <w:p w:rsidR="007043CB" w:rsidRDefault="004B5C2E">
      <w:pPr>
        <w:numPr>
          <w:ilvl w:val="1"/>
          <w:numId w:val="6"/>
        </w:numPr>
        <w:ind w:right="1" w:hanging="425"/>
      </w:pPr>
      <w:r>
        <w:rPr>
          <w:sz w:val="20"/>
        </w:rPr>
        <w:t xml:space="preserve">Pojištění pro případ vandalismu </w:t>
      </w:r>
    </w:p>
    <w:p w:rsidR="007043CB" w:rsidRDefault="004B5C2E">
      <w:pPr>
        <w:ind w:left="435" w:right="1" w:hanging="10"/>
      </w:pPr>
      <w:r>
        <w:rPr>
          <w:sz w:val="20"/>
        </w:rPr>
        <w:t xml:space="preserve">Roční pojistné ....................................................................................................................................... ......................... 30.256,- Kč </w:t>
      </w:r>
    </w:p>
    <w:p w:rsidR="007043CB" w:rsidRDefault="004B5C2E">
      <w:pPr>
        <w:numPr>
          <w:ilvl w:val="1"/>
          <w:numId w:val="6"/>
        </w:numPr>
        <w:ind w:right="1" w:hanging="425"/>
      </w:pPr>
      <w:r>
        <w:rPr>
          <w:sz w:val="20"/>
        </w:rPr>
        <w:t xml:space="preserve">Pojištění skla </w:t>
      </w:r>
    </w:p>
    <w:p w:rsidR="007043CB" w:rsidRDefault="004B5C2E">
      <w:pPr>
        <w:ind w:left="435" w:right="1" w:hanging="10"/>
      </w:pPr>
      <w:r>
        <w:rPr>
          <w:sz w:val="20"/>
        </w:rPr>
        <w:t xml:space="preserve">Roční pojistné se mění na nově ...................................................................................................... ......................... 14.000,- Kč </w:t>
      </w:r>
    </w:p>
    <w:p w:rsidR="007043CB" w:rsidRDefault="004B5C2E">
      <w:pPr>
        <w:numPr>
          <w:ilvl w:val="1"/>
          <w:numId w:val="6"/>
        </w:numPr>
        <w:ind w:right="1" w:hanging="425"/>
      </w:pPr>
      <w:r>
        <w:rPr>
          <w:sz w:val="20"/>
        </w:rPr>
        <w:t xml:space="preserve">Pojištění strojů </w:t>
      </w:r>
    </w:p>
    <w:p w:rsidR="007043CB" w:rsidRDefault="004B5C2E">
      <w:pPr>
        <w:ind w:left="435" w:right="1" w:hanging="10"/>
      </w:pPr>
      <w:r>
        <w:rPr>
          <w:sz w:val="20"/>
        </w:rPr>
        <w:t xml:space="preserve">Roční pojistné se mění na nově ...................................................................................................... ......................... 21.280,- Kč </w:t>
      </w:r>
    </w:p>
    <w:p w:rsidR="007043CB" w:rsidRDefault="004B5C2E">
      <w:pPr>
        <w:numPr>
          <w:ilvl w:val="1"/>
          <w:numId w:val="6"/>
        </w:numPr>
        <w:ind w:right="1" w:hanging="425"/>
      </w:pPr>
      <w:r>
        <w:rPr>
          <w:sz w:val="20"/>
        </w:rPr>
        <w:t xml:space="preserve">Pojištění  elektronických zařízení </w:t>
      </w:r>
    </w:p>
    <w:p w:rsidR="007043CB" w:rsidRDefault="004B5C2E">
      <w:pPr>
        <w:ind w:left="435" w:right="1" w:hanging="10"/>
      </w:pPr>
      <w:r>
        <w:rPr>
          <w:sz w:val="20"/>
        </w:rPr>
        <w:t xml:space="preserve">Roční pojistné se mění na nově ....................................................................................................... .........................89.000,- Kč </w:t>
      </w:r>
    </w:p>
    <w:p w:rsidR="007043CB" w:rsidRDefault="004B5C2E">
      <w:pPr>
        <w:numPr>
          <w:ilvl w:val="1"/>
          <w:numId w:val="6"/>
        </w:numPr>
        <w:ind w:right="1" w:hanging="425"/>
      </w:pPr>
      <w:r>
        <w:rPr>
          <w:sz w:val="20"/>
        </w:rPr>
        <w:t xml:space="preserve">Pojištění odpovědnosti za škodu </w:t>
      </w:r>
    </w:p>
    <w:p w:rsidR="007043CB" w:rsidRDefault="004B5C2E">
      <w:pPr>
        <w:spacing w:after="0" w:line="259" w:lineRule="auto"/>
        <w:ind w:left="0" w:right="179" w:firstLine="0"/>
        <w:jc w:val="right"/>
      </w:pPr>
      <w:r>
        <w:rPr>
          <w:sz w:val="20"/>
        </w:rPr>
        <w:t xml:space="preserve">Roční pojistné se mění na nově .................................................................................................. ......................... 506 502,- Kč </w:t>
      </w:r>
    </w:p>
    <w:p w:rsidR="007043CB" w:rsidRDefault="004B5C2E">
      <w:pPr>
        <w:spacing w:after="0" w:line="259" w:lineRule="auto"/>
        <w:ind w:left="0" w:firstLine="0"/>
        <w:jc w:val="left"/>
      </w:pPr>
      <w:r>
        <w:rPr>
          <w:sz w:val="20"/>
        </w:rPr>
        <w:t xml:space="preserve"> </w:t>
      </w:r>
    </w:p>
    <w:p w:rsidR="007043CB" w:rsidRDefault="004B5C2E">
      <w:pPr>
        <w:ind w:left="10" w:hanging="10"/>
        <w:jc w:val="left"/>
      </w:pPr>
      <w:r>
        <w:rPr>
          <w:b/>
          <w:sz w:val="20"/>
        </w:rPr>
        <w:t xml:space="preserve">Pojistné za sjednané druhy pojištění činí celkem .................................................................................... </w:t>
      </w:r>
      <w:r>
        <w:rPr>
          <w:sz w:val="20"/>
        </w:rPr>
        <w:t xml:space="preserve"> </w:t>
      </w:r>
      <w:r>
        <w:rPr>
          <w:b/>
          <w:sz w:val="20"/>
        </w:rPr>
        <w:t>1.308.854,- Kč</w:t>
      </w:r>
      <w:r>
        <w:rPr>
          <w:sz w:val="20"/>
        </w:rPr>
        <w:t xml:space="preserve"> </w:t>
      </w:r>
    </w:p>
    <w:p w:rsidR="007043CB" w:rsidRDefault="004B5C2E">
      <w:pPr>
        <w:spacing w:after="19" w:line="259" w:lineRule="auto"/>
        <w:ind w:left="396" w:firstLine="0"/>
        <w:jc w:val="left"/>
      </w:pPr>
      <w:r>
        <w:rPr>
          <w:b/>
          <w:sz w:val="16"/>
        </w:rPr>
        <w:t xml:space="preserve"> </w:t>
      </w:r>
    </w:p>
    <w:p w:rsidR="007043CB" w:rsidRDefault="004B5C2E">
      <w:pPr>
        <w:ind w:left="-5" w:right="1" w:hanging="10"/>
      </w:pPr>
      <w:r>
        <w:rPr>
          <w:sz w:val="20"/>
        </w:rPr>
        <w:t xml:space="preserve">Obchodní sleva ……………………………………………………………………………………………………………………. 25% </w:t>
      </w:r>
    </w:p>
    <w:p w:rsidR="007043CB" w:rsidRDefault="004B5C2E">
      <w:pPr>
        <w:spacing w:after="67" w:line="259" w:lineRule="auto"/>
        <w:ind w:left="396" w:firstLine="0"/>
        <w:jc w:val="left"/>
      </w:pPr>
      <w:r>
        <w:rPr>
          <w:sz w:val="12"/>
        </w:rPr>
        <w:t xml:space="preserve"> </w:t>
      </w:r>
    </w:p>
    <w:p w:rsidR="007043CB" w:rsidRDefault="004B5C2E">
      <w:pPr>
        <w:ind w:left="10" w:hanging="10"/>
        <w:jc w:val="left"/>
      </w:pPr>
      <w:r>
        <w:rPr>
          <w:b/>
          <w:sz w:val="20"/>
        </w:rPr>
        <w:t xml:space="preserve">Roční pojistné celkem po slevách a přirážkách  .......................................................................................... 981.640, - Kč </w:t>
      </w:r>
    </w:p>
    <w:p w:rsidR="007043CB" w:rsidRDefault="004B5C2E">
      <w:pPr>
        <w:spacing w:after="0" w:line="259" w:lineRule="auto"/>
        <w:ind w:left="0" w:firstLine="0"/>
        <w:jc w:val="left"/>
      </w:pPr>
      <w:r>
        <w:rPr>
          <w:sz w:val="20"/>
        </w:rPr>
        <w:t xml:space="preserve"> </w:t>
      </w:r>
    </w:p>
    <w:p w:rsidR="007043CB" w:rsidRDefault="004B5C2E">
      <w:pPr>
        <w:spacing w:after="6" w:line="259" w:lineRule="auto"/>
        <w:ind w:left="0" w:firstLine="0"/>
        <w:jc w:val="left"/>
      </w:pPr>
      <w:r>
        <w:rPr>
          <w:sz w:val="20"/>
        </w:rPr>
        <w:t xml:space="preserve"> </w:t>
      </w:r>
    </w:p>
    <w:p w:rsidR="007043CB" w:rsidRDefault="004B5C2E">
      <w:pPr>
        <w:numPr>
          <w:ilvl w:val="0"/>
          <w:numId w:val="6"/>
        </w:numPr>
        <w:ind w:right="1" w:hanging="425"/>
      </w:pPr>
      <w:r>
        <w:rPr>
          <w:sz w:val="20"/>
        </w:rPr>
        <w:t xml:space="preserve">Pojistné je sjednáno jako běžné.   Pojistné období je tříměsíční.  </w:t>
      </w:r>
    </w:p>
    <w:p w:rsidR="007043CB" w:rsidRDefault="004B5C2E">
      <w:pPr>
        <w:ind w:left="435" w:right="1" w:hanging="10"/>
      </w:pPr>
      <w:r>
        <w:rPr>
          <w:sz w:val="20"/>
        </w:rPr>
        <w:t xml:space="preserve">Pojistné ve všech pojistných rocích je splatné k datům a v částkách takto :   </w:t>
      </w:r>
    </w:p>
    <w:p w:rsidR="007043CB" w:rsidRDefault="004B5C2E">
      <w:pPr>
        <w:spacing w:after="86" w:line="259" w:lineRule="auto"/>
        <w:ind w:left="425" w:firstLine="0"/>
        <w:jc w:val="left"/>
      </w:pPr>
      <w:r>
        <w:rPr>
          <w:sz w:val="10"/>
        </w:rPr>
        <w:t xml:space="preserve"> </w:t>
      </w:r>
    </w:p>
    <w:p w:rsidR="007043CB" w:rsidRDefault="004B5C2E">
      <w:pPr>
        <w:ind w:left="435" w:right="1" w:hanging="10"/>
      </w:pPr>
      <w:r>
        <w:rPr>
          <w:sz w:val="20"/>
        </w:rPr>
        <w:t xml:space="preserve">Splátka pojistného                             datum splatnosti </w:t>
      </w:r>
    </w:p>
    <w:p w:rsidR="007043CB" w:rsidRDefault="004B5C2E">
      <w:pPr>
        <w:spacing w:after="74" w:line="259" w:lineRule="auto"/>
        <w:ind w:left="425" w:firstLine="0"/>
        <w:jc w:val="left"/>
      </w:pPr>
      <w:r>
        <w:rPr>
          <w:sz w:val="10"/>
        </w:rPr>
        <w:t xml:space="preserve"> </w:t>
      </w:r>
    </w:p>
    <w:p w:rsidR="007043CB" w:rsidRDefault="004B5C2E">
      <w:pPr>
        <w:spacing w:after="4"/>
        <w:ind w:left="435" w:right="71" w:hanging="10"/>
        <w:jc w:val="left"/>
      </w:pPr>
      <w:r>
        <w:rPr>
          <w:b/>
          <w:sz w:val="19"/>
        </w:rPr>
        <w:t xml:space="preserve">245.410,-Kč                                        vždy k  01.07.,    01.10.,    01.01.,    01.04. </w:t>
      </w:r>
    </w:p>
    <w:p w:rsidR="007043CB" w:rsidRDefault="004B5C2E">
      <w:pPr>
        <w:spacing w:after="0" w:line="259" w:lineRule="auto"/>
        <w:ind w:left="425" w:firstLine="0"/>
        <w:jc w:val="left"/>
      </w:pPr>
      <w:r>
        <w:rPr>
          <w:b/>
          <w:sz w:val="19"/>
        </w:rPr>
        <w:t xml:space="preserve"> </w:t>
      </w:r>
    </w:p>
    <w:p w:rsidR="007043CB" w:rsidRDefault="004B5C2E">
      <w:pPr>
        <w:spacing w:after="0" w:line="259" w:lineRule="auto"/>
        <w:ind w:left="425" w:firstLine="0"/>
        <w:jc w:val="left"/>
      </w:pPr>
      <w:r>
        <w:rPr>
          <w:b/>
          <w:sz w:val="19"/>
        </w:rPr>
        <w:t xml:space="preserve"> </w:t>
      </w:r>
    </w:p>
    <w:p w:rsidR="007043CB" w:rsidRDefault="004B5C2E">
      <w:pPr>
        <w:spacing w:after="4"/>
        <w:ind w:left="435" w:right="71" w:hanging="10"/>
        <w:jc w:val="left"/>
      </w:pPr>
      <w:r>
        <w:rPr>
          <w:b/>
          <w:sz w:val="19"/>
        </w:rPr>
        <w:t xml:space="preserve">Pro první pojistné ve výši 245.410,-Kč se odkládá splatnost  ze dne 01.07.2016 na 12.08.2016. </w:t>
      </w:r>
    </w:p>
    <w:p w:rsidR="007043CB" w:rsidRDefault="004B5C2E">
      <w:pPr>
        <w:spacing w:after="126" w:line="259" w:lineRule="auto"/>
        <w:ind w:left="428" w:firstLine="0"/>
        <w:jc w:val="left"/>
      </w:pPr>
      <w:r>
        <w:rPr>
          <w:sz w:val="20"/>
        </w:rPr>
        <w:t xml:space="preserve"> </w:t>
      </w:r>
    </w:p>
    <w:p w:rsidR="007043CB" w:rsidRDefault="004B5C2E">
      <w:pPr>
        <w:numPr>
          <w:ilvl w:val="0"/>
          <w:numId w:val="6"/>
        </w:numPr>
        <w:ind w:right="1" w:hanging="425"/>
      </w:pPr>
      <w:r>
        <w:rPr>
          <w:sz w:val="20"/>
        </w:rPr>
        <w:t xml:space="preserve">Pojistník je povinen uhradit pojistné v uvedené výši na účet pojišťovacího makléře RESPECT, a.s.                   </w:t>
      </w:r>
    </w:p>
    <w:p w:rsidR="007043CB" w:rsidRDefault="004B5C2E">
      <w:pPr>
        <w:spacing w:after="139"/>
        <w:ind w:left="435" w:right="1" w:hanging="10"/>
      </w:pPr>
      <w:r>
        <w:rPr>
          <w:b/>
          <w:sz w:val="20"/>
        </w:rPr>
        <w:t xml:space="preserve">č.ú. 7220843001 / 5500  </w:t>
      </w:r>
      <w:r>
        <w:rPr>
          <w:sz w:val="20"/>
        </w:rPr>
        <w:t xml:space="preserve">vedený u Raiffeisenbank a.s.  variabilní symbol: </w:t>
      </w:r>
      <w:r>
        <w:rPr>
          <w:b/>
          <w:sz w:val="20"/>
        </w:rPr>
        <w:t xml:space="preserve">7720689486, </w:t>
      </w:r>
      <w:r>
        <w:rPr>
          <w:sz w:val="20"/>
        </w:rPr>
        <w:t>KS:</w:t>
      </w:r>
      <w:r>
        <w:rPr>
          <w:b/>
          <w:sz w:val="20"/>
        </w:rPr>
        <w:t xml:space="preserve"> 3558.</w:t>
      </w:r>
      <w:r>
        <w:rPr>
          <w:sz w:val="20"/>
        </w:rPr>
        <w:t xml:space="preserve"> </w:t>
      </w:r>
    </w:p>
    <w:p w:rsidR="007043CB" w:rsidRDefault="004B5C2E">
      <w:pPr>
        <w:numPr>
          <w:ilvl w:val="0"/>
          <w:numId w:val="6"/>
        </w:numPr>
        <w:ind w:right="1" w:hanging="425"/>
      </w:pPr>
      <w:r>
        <w:rPr>
          <w:sz w:val="20"/>
        </w:rPr>
        <w:t xml:space="preserve">Pojistné se považuje za zaplacené okamžikem připsání pojistného v plné výši na výše uvedený účet.  </w:t>
      </w:r>
    </w:p>
    <w:p w:rsidR="007043CB" w:rsidRDefault="004B5C2E">
      <w:pPr>
        <w:spacing w:after="0" w:line="259" w:lineRule="auto"/>
        <w:ind w:left="0" w:firstLine="0"/>
        <w:jc w:val="left"/>
      </w:pPr>
      <w:r>
        <w:rPr>
          <w:sz w:val="20"/>
        </w:rPr>
        <w:t xml:space="preserve"> </w:t>
      </w:r>
    </w:p>
    <w:p w:rsidR="007043CB" w:rsidRDefault="004B5C2E">
      <w:pPr>
        <w:spacing w:after="0" w:line="259" w:lineRule="auto"/>
        <w:ind w:left="0" w:firstLine="0"/>
        <w:jc w:val="left"/>
      </w:pPr>
      <w:r>
        <w:rPr>
          <w:sz w:val="16"/>
        </w:rPr>
        <w:t xml:space="preserve"> </w:t>
      </w:r>
    </w:p>
    <w:p w:rsidR="007043CB" w:rsidRDefault="004B5C2E">
      <w:pPr>
        <w:spacing w:after="21" w:line="259" w:lineRule="auto"/>
        <w:ind w:left="0" w:firstLine="0"/>
        <w:jc w:val="left"/>
      </w:pPr>
      <w:r>
        <w:rPr>
          <w:sz w:val="16"/>
        </w:rPr>
        <w:t xml:space="preserve"> </w:t>
      </w:r>
    </w:p>
    <w:p w:rsidR="007043CB" w:rsidRDefault="004B5C2E">
      <w:pPr>
        <w:ind w:left="10" w:right="183" w:hanging="10"/>
        <w:jc w:val="center"/>
      </w:pPr>
      <w:r>
        <w:rPr>
          <w:b/>
          <w:sz w:val="20"/>
        </w:rPr>
        <w:t xml:space="preserve">Článek IV. </w:t>
      </w:r>
    </w:p>
    <w:p w:rsidR="007043CB" w:rsidRDefault="004B5C2E">
      <w:pPr>
        <w:pStyle w:val="Nadpis3"/>
        <w:ind w:left="10" w:right="186"/>
      </w:pPr>
      <w:r>
        <w:t xml:space="preserve">Hlášení škodných událostí </w:t>
      </w:r>
    </w:p>
    <w:p w:rsidR="007043CB" w:rsidRDefault="004B5C2E">
      <w:pPr>
        <w:spacing w:after="0" w:line="259" w:lineRule="auto"/>
        <w:ind w:left="0" w:firstLine="0"/>
        <w:jc w:val="left"/>
      </w:pPr>
      <w:r>
        <w:rPr>
          <w:sz w:val="19"/>
        </w:rPr>
        <w:t xml:space="preserve"> </w:t>
      </w:r>
    </w:p>
    <w:p w:rsidR="007043CB" w:rsidRDefault="004B5C2E">
      <w:pPr>
        <w:ind w:left="10" w:right="180" w:hanging="10"/>
      </w:pPr>
      <w:r>
        <w:rPr>
          <w:sz w:val="19"/>
        </w:rPr>
        <w:t xml:space="preserve">Vznik škodné události je pojistník (pojištěný) povinen oznámit přímo nebo prostřednictvím zplnomocněného pojišťovacího makléře bez zbytečného odkladu na příslušném tiskopisu, dopisem, prostřednictvím internetu, telefonem nebo faxem pojistiteli na adresu: </w:t>
      </w:r>
    </w:p>
    <w:p w:rsidR="007043CB" w:rsidRDefault="004B5C2E">
      <w:pPr>
        <w:spacing w:after="141" w:line="259" w:lineRule="auto"/>
        <w:ind w:left="0" w:firstLine="0"/>
        <w:jc w:val="left"/>
      </w:pPr>
      <w:r>
        <w:rPr>
          <w:b/>
          <w:sz w:val="4"/>
        </w:rPr>
        <w:t xml:space="preserve"> </w:t>
      </w:r>
    </w:p>
    <w:p w:rsidR="007043CB" w:rsidRDefault="004B5C2E">
      <w:pPr>
        <w:spacing w:after="0" w:line="259" w:lineRule="auto"/>
        <w:ind w:left="10" w:right="187" w:hanging="10"/>
        <w:jc w:val="center"/>
      </w:pPr>
      <w:r>
        <w:rPr>
          <w:sz w:val="19"/>
        </w:rPr>
        <w:t xml:space="preserve">Kooperativa pojišťovna, a.s., Vienna Insurance Group </w:t>
      </w:r>
    </w:p>
    <w:p w:rsidR="007043CB" w:rsidRDefault="004B5C2E">
      <w:pPr>
        <w:spacing w:after="0" w:line="259" w:lineRule="auto"/>
        <w:ind w:left="10" w:right="181" w:hanging="10"/>
        <w:jc w:val="center"/>
      </w:pPr>
      <w:r>
        <w:rPr>
          <w:sz w:val="19"/>
        </w:rPr>
        <w:t xml:space="preserve">CENTRUM ZÁKAZNICKÉ PODPORY </w:t>
      </w:r>
    </w:p>
    <w:p w:rsidR="007043CB" w:rsidRDefault="004B5C2E">
      <w:pPr>
        <w:spacing w:after="0" w:line="259" w:lineRule="auto"/>
        <w:ind w:left="10" w:right="181" w:hanging="10"/>
        <w:jc w:val="center"/>
      </w:pPr>
      <w:r>
        <w:rPr>
          <w:sz w:val="19"/>
        </w:rPr>
        <w:lastRenderedPageBreak/>
        <w:t xml:space="preserve">Centrální podatelna </w:t>
      </w:r>
    </w:p>
    <w:p w:rsidR="007043CB" w:rsidRDefault="004B5C2E">
      <w:pPr>
        <w:spacing w:after="0" w:line="259" w:lineRule="auto"/>
        <w:ind w:left="10" w:right="184" w:hanging="10"/>
        <w:jc w:val="center"/>
      </w:pPr>
      <w:r>
        <w:rPr>
          <w:sz w:val="19"/>
        </w:rPr>
        <w:t xml:space="preserve">Brněnská 634, </w:t>
      </w:r>
    </w:p>
    <w:p w:rsidR="007043CB" w:rsidRDefault="004B5C2E">
      <w:pPr>
        <w:spacing w:after="0" w:line="236" w:lineRule="auto"/>
        <w:ind w:left="3997" w:right="3792" w:firstLine="161"/>
        <w:jc w:val="left"/>
      </w:pPr>
      <w:r>
        <w:rPr>
          <w:sz w:val="19"/>
        </w:rPr>
        <w:t xml:space="preserve">664 42 Modřice </w:t>
      </w:r>
      <w:hyperlink r:id="rId11">
        <w:r>
          <w:rPr>
            <w:sz w:val="19"/>
          </w:rPr>
          <w:t>http://www.koop.cz/</w:t>
        </w:r>
      </w:hyperlink>
      <w:hyperlink r:id="rId12">
        <w:r>
          <w:rPr>
            <w:sz w:val="19"/>
          </w:rPr>
          <w:t xml:space="preserve"> </w:t>
        </w:r>
      </w:hyperlink>
      <w:r>
        <w:rPr>
          <w:sz w:val="19"/>
        </w:rPr>
        <w:t xml:space="preserve">Tel.: 841 105 105 </w:t>
      </w:r>
    </w:p>
    <w:p w:rsidR="007043CB" w:rsidRDefault="004B5C2E">
      <w:pPr>
        <w:ind w:left="3555" w:right="3552" w:firstLine="154"/>
      </w:pPr>
      <w:r>
        <w:rPr>
          <w:sz w:val="19"/>
        </w:rPr>
        <w:t xml:space="preserve">E-mail: </w:t>
      </w:r>
      <w:r>
        <w:rPr>
          <w:sz w:val="19"/>
          <w:u w:val="single" w:color="000000"/>
        </w:rPr>
        <w:t>podatelna@koop.cz</w:t>
      </w:r>
      <w:r>
        <w:rPr>
          <w:sz w:val="19"/>
        </w:rPr>
        <w:t xml:space="preserve"> fax: 547 212 602, 547 212 561 </w:t>
      </w:r>
    </w:p>
    <w:p w:rsidR="007043CB" w:rsidRDefault="004B5C2E">
      <w:pPr>
        <w:spacing w:after="97" w:line="259" w:lineRule="auto"/>
        <w:ind w:left="0" w:firstLine="0"/>
        <w:jc w:val="left"/>
      </w:pPr>
      <w:r>
        <w:rPr>
          <w:sz w:val="8"/>
        </w:rPr>
        <w:t xml:space="preserve"> </w:t>
      </w:r>
    </w:p>
    <w:p w:rsidR="007043CB" w:rsidRDefault="004B5C2E">
      <w:pPr>
        <w:ind w:left="10" w:right="179" w:hanging="10"/>
      </w:pPr>
      <w:r>
        <w:rPr>
          <w:sz w:val="19"/>
        </w:rPr>
        <w:t xml:space="preserve">V případě, že byla škodná událost oznámena telefonem či faxem, je pojistník (pojištěný) povinen dodatečně bez zbytečného odkladu oznámit škodnou událost písemně. Hlášení škodné události se považuje za doručené v okamžiku, kdy je doručeno na předepsaném tiskopisu či dopisem podepsaným pojistníkem či pojištěným na adresu uvedenou výše.  </w:t>
      </w:r>
    </w:p>
    <w:p w:rsidR="007043CB" w:rsidRDefault="004B5C2E">
      <w:pPr>
        <w:spacing w:after="0" w:line="259" w:lineRule="auto"/>
        <w:ind w:left="0" w:firstLine="0"/>
        <w:jc w:val="left"/>
      </w:pPr>
      <w:r>
        <w:rPr>
          <w:sz w:val="20"/>
        </w:rPr>
        <w:t xml:space="preserve"> </w:t>
      </w:r>
    </w:p>
    <w:p w:rsidR="007043CB" w:rsidRDefault="004B5C2E">
      <w:pPr>
        <w:spacing w:after="0" w:line="259" w:lineRule="auto"/>
        <w:ind w:left="0" w:firstLine="0"/>
        <w:jc w:val="left"/>
      </w:pPr>
      <w:r>
        <w:rPr>
          <w:sz w:val="20"/>
        </w:rPr>
        <w:t xml:space="preserve"> </w:t>
      </w:r>
    </w:p>
    <w:p w:rsidR="007043CB" w:rsidRDefault="004B5C2E">
      <w:pPr>
        <w:spacing w:after="0" w:line="259" w:lineRule="auto"/>
        <w:ind w:left="0" w:firstLine="0"/>
        <w:jc w:val="left"/>
      </w:pPr>
      <w:r>
        <w:rPr>
          <w:sz w:val="20"/>
        </w:rPr>
        <w:t xml:space="preserve"> </w:t>
      </w:r>
    </w:p>
    <w:p w:rsidR="007043CB" w:rsidRDefault="004B5C2E">
      <w:pPr>
        <w:spacing w:after="0" w:line="259" w:lineRule="auto"/>
        <w:ind w:left="0" w:firstLine="0"/>
        <w:jc w:val="left"/>
      </w:pPr>
      <w:r>
        <w:rPr>
          <w:sz w:val="20"/>
        </w:rPr>
        <w:t xml:space="preserve"> </w:t>
      </w:r>
    </w:p>
    <w:p w:rsidR="007043CB" w:rsidRDefault="004B5C2E">
      <w:pPr>
        <w:pStyle w:val="Nadpis3"/>
        <w:ind w:left="4056" w:right="4178"/>
      </w:pPr>
      <w:r>
        <w:t xml:space="preserve">Článek V. Zvláštní ujednání </w:t>
      </w:r>
    </w:p>
    <w:p w:rsidR="007043CB" w:rsidRDefault="004B5C2E">
      <w:pPr>
        <w:spacing w:after="0" w:line="259" w:lineRule="auto"/>
        <w:ind w:left="0" w:firstLine="0"/>
        <w:jc w:val="left"/>
      </w:pPr>
      <w:r>
        <w:rPr>
          <w:rFonts w:ascii="Times New Roman" w:eastAsia="Times New Roman" w:hAnsi="Times New Roman" w:cs="Times New Roman"/>
          <w:sz w:val="20"/>
        </w:rPr>
        <w:t xml:space="preserve"> </w:t>
      </w:r>
    </w:p>
    <w:p w:rsidR="007043CB" w:rsidRDefault="004B5C2E">
      <w:pPr>
        <w:ind w:left="10" w:right="403" w:hanging="10"/>
      </w:pPr>
      <w:r>
        <w:rPr>
          <w:sz w:val="19"/>
        </w:rPr>
        <w:t xml:space="preserve">Touto pojistnou smlouvou nejsou pojištěny </w:t>
      </w:r>
      <w:r>
        <w:rPr>
          <w:b/>
          <w:sz w:val="19"/>
        </w:rPr>
        <w:t>fotovoltaické elektrárny</w:t>
      </w:r>
      <w:r>
        <w:rPr>
          <w:sz w:val="19"/>
        </w:rPr>
        <w:t xml:space="preserve">.  </w:t>
      </w:r>
    </w:p>
    <w:p w:rsidR="007043CB" w:rsidRDefault="004B5C2E">
      <w:pPr>
        <w:spacing w:after="0" w:line="259" w:lineRule="auto"/>
        <w:ind w:left="0" w:firstLine="0"/>
        <w:jc w:val="left"/>
      </w:pPr>
      <w:r>
        <w:rPr>
          <w:sz w:val="19"/>
        </w:rPr>
        <w:t xml:space="preserve"> </w:t>
      </w:r>
    </w:p>
    <w:p w:rsidR="007043CB" w:rsidRDefault="004B5C2E">
      <w:pPr>
        <w:ind w:left="10" w:right="85" w:hanging="10"/>
      </w:pPr>
      <w:r>
        <w:rPr>
          <w:sz w:val="19"/>
        </w:rPr>
        <w:t xml:space="preserve">Odchylně od  ZPP P-150/05 čl. V. bodu 3) se ujednává, že škody vzniklé následkem </w:t>
      </w:r>
      <w:r>
        <w:rPr>
          <w:b/>
          <w:sz w:val="19"/>
        </w:rPr>
        <w:t>povodně nebo v přímé souvislosti s povodní</w:t>
      </w:r>
      <w:r>
        <w:rPr>
          <w:sz w:val="19"/>
        </w:rPr>
        <w:t xml:space="preserve"> jsou hrazeny od prvního dne pojištění. </w:t>
      </w:r>
    </w:p>
    <w:p w:rsidR="007043CB" w:rsidRDefault="004B5C2E">
      <w:pPr>
        <w:spacing w:after="0" w:line="259" w:lineRule="auto"/>
        <w:ind w:left="0" w:firstLine="0"/>
        <w:jc w:val="left"/>
      </w:pPr>
      <w:r>
        <w:rPr>
          <w:sz w:val="19"/>
        </w:rPr>
        <w:t xml:space="preserve"> </w:t>
      </w:r>
    </w:p>
    <w:p w:rsidR="007043CB" w:rsidRDefault="004B5C2E">
      <w:pPr>
        <w:spacing w:after="0" w:line="259" w:lineRule="auto"/>
        <w:ind w:left="0" w:firstLine="0"/>
        <w:jc w:val="left"/>
      </w:pPr>
      <w:r>
        <w:rPr>
          <w:sz w:val="19"/>
        </w:rPr>
        <w:t xml:space="preserve"> </w:t>
      </w:r>
    </w:p>
    <w:p w:rsidR="007043CB" w:rsidRDefault="004B5C2E">
      <w:pPr>
        <w:spacing w:after="0" w:line="236" w:lineRule="auto"/>
        <w:ind w:left="-5" w:right="231" w:hanging="10"/>
        <w:jc w:val="left"/>
      </w:pPr>
      <w:r>
        <w:rPr>
          <w:b/>
          <w:sz w:val="19"/>
        </w:rPr>
        <w:t xml:space="preserve">Doplňující údaje a zvláštní ujednání vztahující se na doplňkové živelní pojištění v rozsahu "VODOVOD": </w:t>
      </w:r>
      <w:r>
        <w:rPr>
          <w:sz w:val="19"/>
        </w:rPr>
        <w:t xml:space="preserve">Vznikne-li pojistná událost působením pojistného nebezpečí "vodovod", poskytne pojistitel plnění i za vodné a stočné účtované za únik vody, ke kterému došlo v souvislosti s pojistnou událostí. Pojištěný je povinen prokázat výši škody dokladem od smluvního dodavatele vody. Plnění pojistitele nepřesáhne maximální roční limit  </w:t>
      </w:r>
      <w:r>
        <w:rPr>
          <w:b/>
          <w:sz w:val="19"/>
        </w:rPr>
        <w:t>20 000 Kč.</w:t>
      </w:r>
      <w:r>
        <w:rPr>
          <w:sz w:val="19"/>
        </w:rPr>
        <w:t xml:space="preserve"> </w:t>
      </w:r>
    </w:p>
    <w:p w:rsidR="007043CB" w:rsidRDefault="004B5C2E">
      <w:pPr>
        <w:spacing w:after="0" w:line="259" w:lineRule="auto"/>
        <w:ind w:left="0" w:firstLine="0"/>
        <w:jc w:val="left"/>
      </w:pPr>
      <w:r>
        <w:rPr>
          <w:sz w:val="19"/>
        </w:rPr>
        <w:t xml:space="preserve"> </w:t>
      </w:r>
    </w:p>
    <w:p w:rsidR="007043CB" w:rsidRDefault="004B5C2E">
      <w:pPr>
        <w:spacing w:after="0" w:line="259" w:lineRule="auto"/>
        <w:ind w:left="0" w:firstLine="0"/>
        <w:jc w:val="left"/>
      </w:pPr>
      <w:r>
        <w:rPr>
          <w:sz w:val="19"/>
        </w:rPr>
        <w:t xml:space="preserve"> </w:t>
      </w:r>
    </w:p>
    <w:p w:rsidR="007043CB" w:rsidRDefault="004B5C2E">
      <w:pPr>
        <w:ind w:left="10" w:right="403" w:hanging="10"/>
      </w:pPr>
      <w:r>
        <w:rPr>
          <w:b/>
          <w:sz w:val="19"/>
        </w:rPr>
        <w:t>Ruší se doložka DOB5</w:t>
      </w:r>
      <w:r>
        <w:rPr>
          <w:sz w:val="19"/>
        </w:rPr>
        <w:t xml:space="preserve"> - Tíha sněhu, námraza – vymezení podmínek  a ujednává se pro účely této pojistné smlouvy:  </w:t>
      </w:r>
    </w:p>
    <w:p w:rsidR="007043CB" w:rsidRDefault="004B5C2E">
      <w:pPr>
        <w:spacing w:after="141" w:line="259" w:lineRule="auto"/>
        <w:ind w:left="0" w:firstLine="0"/>
        <w:jc w:val="left"/>
      </w:pPr>
      <w:r>
        <w:rPr>
          <w:sz w:val="4"/>
        </w:rPr>
        <w:t xml:space="preserve"> </w:t>
      </w:r>
    </w:p>
    <w:p w:rsidR="007043CB" w:rsidRDefault="004B5C2E">
      <w:pPr>
        <w:numPr>
          <w:ilvl w:val="0"/>
          <w:numId w:val="7"/>
        </w:numPr>
        <w:spacing w:after="111"/>
        <w:ind w:right="181" w:hanging="428"/>
      </w:pPr>
      <w:r>
        <w:rPr>
          <w:sz w:val="19"/>
        </w:rPr>
        <w:t xml:space="preserve">Pojištění sjednané pro pojistné nebezpečí tíha sněhu nebo námraza se nevztahuje na poškození nebo zničení nosné konstrukce střech budov a/nebo krytiny, která plní funkci protiexplozivního opatření např. při zpracování výbušnin. </w:t>
      </w:r>
    </w:p>
    <w:p w:rsidR="007043CB" w:rsidRDefault="004B5C2E">
      <w:pPr>
        <w:numPr>
          <w:ilvl w:val="0"/>
          <w:numId w:val="7"/>
        </w:numPr>
        <w:ind w:right="181" w:hanging="428"/>
      </w:pPr>
      <w:r>
        <w:rPr>
          <w:sz w:val="19"/>
        </w:rPr>
        <w:t xml:space="preserve">Pojistitel je oprávněn snížit pojistné plnění v případě pojistné události, ke které dojde na zcela či z části zchátralých, shnilých nebo jinak poškozených nosných konstrukcí střech budov nebo krytinách a/nebo s přispěním takového stavu nosných konstrukcí střech budov nebo krytin ke vzniku škodné události. </w:t>
      </w:r>
    </w:p>
    <w:p w:rsidR="007043CB" w:rsidRDefault="004B5C2E">
      <w:pPr>
        <w:spacing w:after="0" w:line="259" w:lineRule="auto"/>
        <w:ind w:left="0" w:firstLine="0"/>
        <w:jc w:val="left"/>
      </w:pPr>
      <w:r>
        <w:rPr>
          <w:b/>
          <w:sz w:val="19"/>
        </w:rPr>
        <w:t xml:space="preserve"> </w:t>
      </w:r>
    </w:p>
    <w:p w:rsidR="007043CB" w:rsidRDefault="004B5C2E">
      <w:pPr>
        <w:spacing w:after="0" w:line="259" w:lineRule="auto"/>
        <w:ind w:left="0" w:firstLine="0"/>
        <w:jc w:val="left"/>
      </w:pPr>
      <w:r>
        <w:rPr>
          <w:b/>
          <w:sz w:val="19"/>
        </w:rPr>
        <w:t xml:space="preserve"> </w:t>
      </w:r>
    </w:p>
    <w:p w:rsidR="007043CB" w:rsidRDefault="004B5C2E">
      <w:pPr>
        <w:ind w:left="10" w:right="403" w:hanging="10"/>
      </w:pPr>
      <w:r>
        <w:rPr>
          <w:b/>
          <w:sz w:val="19"/>
        </w:rPr>
        <w:t xml:space="preserve">Ujednává se k pojištění dotačních  projektů </w:t>
      </w:r>
      <w:r>
        <w:rPr>
          <w:sz w:val="19"/>
        </w:rPr>
        <w:t>(není-li u předmětu pojištění uvedeno jinak)</w:t>
      </w:r>
      <w:r>
        <w:rPr>
          <w:b/>
          <w:sz w:val="19"/>
        </w:rPr>
        <w:t xml:space="preserve">: </w:t>
      </w:r>
    </w:p>
    <w:p w:rsidR="007043CB" w:rsidRDefault="004B5C2E">
      <w:pPr>
        <w:numPr>
          <w:ilvl w:val="0"/>
          <w:numId w:val="8"/>
        </w:numPr>
        <w:spacing w:after="0" w:line="236" w:lineRule="auto"/>
        <w:ind w:right="799" w:hanging="10"/>
        <w:jc w:val="left"/>
      </w:pPr>
      <w:r>
        <w:rPr>
          <w:sz w:val="19"/>
        </w:rPr>
        <w:t xml:space="preserve">Není-li předmětem pojištění celá budova / stavba,  ale pouze ty části  budovy/ stavby,  které pojištěný nově     pořídil v rámci  pojištěného dotačního projektu, poskytne pojistitel v případě pojistné události pojistné plnění     pouze za prokazatelně vynaloženou investici opravy / znovupořízení pojištěné věci;    </w:t>
      </w:r>
    </w:p>
    <w:p w:rsidR="007043CB" w:rsidRDefault="004B5C2E">
      <w:pPr>
        <w:numPr>
          <w:ilvl w:val="0"/>
          <w:numId w:val="8"/>
        </w:numPr>
        <w:ind w:right="799" w:hanging="10"/>
        <w:jc w:val="left"/>
      </w:pPr>
      <w:r>
        <w:rPr>
          <w:sz w:val="19"/>
        </w:rPr>
        <w:t xml:space="preserve">Pojistník je povinen předložit na vyžádání pojistitele stavební / kolaudační / dotační dokumentaci.   -  Pojištění bude ukončeno  nejdříve  uplynutím 5 let trvání pojištění - podmínka dotace; </w:t>
      </w:r>
    </w:p>
    <w:p w:rsidR="007043CB" w:rsidRDefault="004B5C2E">
      <w:pPr>
        <w:spacing w:after="0" w:line="259" w:lineRule="auto"/>
        <w:ind w:left="0" w:firstLine="0"/>
        <w:jc w:val="left"/>
      </w:pPr>
      <w:r>
        <w:rPr>
          <w:sz w:val="19"/>
        </w:rPr>
        <w:t xml:space="preserve"> </w:t>
      </w:r>
    </w:p>
    <w:p w:rsidR="007043CB" w:rsidRDefault="004B5C2E">
      <w:pPr>
        <w:spacing w:after="0" w:line="259" w:lineRule="auto"/>
        <w:ind w:left="0" w:firstLine="0"/>
        <w:jc w:val="left"/>
      </w:pPr>
      <w:r>
        <w:rPr>
          <w:sz w:val="19"/>
        </w:rPr>
        <w:t xml:space="preserve"> </w:t>
      </w:r>
    </w:p>
    <w:p w:rsidR="007043CB" w:rsidRDefault="004B5C2E">
      <w:pPr>
        <w:spacing w:after="0" w:line="236" w:lineRule="auto"/>
        <w:ind w:left="-5" w:right="231" w:hanging="10"/>
        <w:jc w:val="left"/>
      </w:pPr>
      <w:r>
        <w:rPr>
          <w:sz w:val="19"/>
        </w:rPr>
        <w:t xml:space="preserve">Není-li v předmětu pojištěný výslovně uvedeno, pojištění </w:t>
      </w:r>
      <w:r>
        <w:rPr>
          <w:b/>
          <w:sz w:val="19"/>
        </w:rPr>
        <w:t>se nevztahuje</w:t>
      </w:r>
      <w:r>
        <w:rPr>
          <w:sz w:val="19"/>
        </w:rPr>
        <w:t xml:space="preserve"> na nezpevněné cesty, vegetaci a porosty  vč.  jejího  kácení či úprav nebo revitalizace, dále na budovy či stavby sloužící  ke skladování sena nebo slámy, dále na, nafukovací haly. </w:t>
      </w:r>
    </w:p>
    <w:p w:rsidR="007043CB" w:rsidRDefault="004B5C2E">
      <w:pPr>
        <w:spacing w:after="0" w:line="259" w:lineRule="auto"/>
        <w:ind w:left="0" w:firstLine="0"/>
        <w:jc w:val="left"/>
      </w:pPr>
      <w:r>
        <w:rPr>
          <w:sz w:val="19"/>
        </w:rPr>
        <w:t xml:space="preserve"> </w:t>
      </w:r>
    </w:p>
    <w:p w:rsidR="007043CB" w:rsidRDefault="004B5C2E">
      <w:pPr>
        <w:ind w:left="10" w:hanging="10"/>
      </w:pPr>
      <w:r>
        <w:rPr>
          <w:sz w:val="19"/>
        </w:rPr>
        <w:t xml:space="preserve">Za věci vlastní se považují též  </w:t>
      </w:r>
      <w:r>
        <w:rPr>
          <w:b/>
          <w:sz w:val="19"/>
        </w:rPr>
        <w:t>věci v leasingovém pronájmu</w:t>
      </w:r>
      <w:r>
        <w:rPr>
          <w:sz w:val="19"/>
        </w:rPr>
        <w:t xml:space="preserve">. Po ukončení leasingového pronájmu zůstává pojištěný předmět nadále v  pojištění  a to  jako věc vlastní. </w:t>
      </w:r>
    </w:p>
    <w:p w:rsidR="007043CB" w:rsidRDefault="004B5C2E">
      <w:pPr>
        <w:spacing w:after="0" w:line="259" w:lineRule="auto"/>
        <w:ind w:left="0" w:firstLine="0"/>
        <w:jc w:val="left"/>
      </w:pPr>
      <w:r>
        <w:rPr>
          <w:sz w:val="19"/>
        </w:rPr>
        <w:t xml:space="preserve"> </w:t>
      </w:r>
    </w:p>
    <w:p w:rsidR="007043CB" w:rsidRDefault="004B5C2E">
      <w:pPr>
        <w:spacing w:after="0" w:line="259" w:lineRule="auto"/>
        <w:ind w:left="0" w:firstLine="0"/>
        <w:jc w:val="left"/>
      </w:pPr>
      <w:r>
        <w:rPr>
          <w:sz w:val="19"/>
        </w:rPr>
        <w:t xml:space="preserve"> </w:t>
      </w:r>
    </w:p>
    <w:p w:rsidR="007043CB" w:rsidRDefault="004B5C2E">
      <w:pPr>
        <w:spacing w:after="0" w:line="259" w:lineRule="auto"/>
        <w:ind w:left="0" w:firstLine="0"/>
        <w:jc w:val="left"/>
      </w:pPr>
      <w:r>
        <w:rPr>
          <w:sz w:val="20"/>
        </w:rPr>
        <w:t xml:space="preserve"> </w:t>
      </w:r>
    </w:p>
    <w:p w:rsidR="007043CB" w:rsidRDefault="004B5C2E">
      <w:pPr>
        <w:spacing w:after="0" w:line="259" w:lineRule="auto"/>
        <w:ind w:left="0" w:right="129" w:firstLine="0"/>
        <w:jc w:val="center"/>
      </w:pPr>
      <w:r>
        <w:rPr>
          <w:b/>
          <w:sz w:val="20"/>
        </w:rPr>
        <w:t xml:space="preserve"> </w:t>
      </w:r>
    </w:p>
    <w:p w:rsidR="007043CB" w:rsidRDefault="004B5C2E">
      <w:pPr>
        <w:ind w:left="10" w:right="183" w:hanging="10"/>
        <w:jc w:val="center"/>
      </w:pPr>
      <w:r>
        <w:rPr>
          <w:b/>
          <w:sz w:val="20"/>
        </w:rPr>
        <w:t xml:space="preserve">Článek VI. </w:t>
      </w:r>
    </w:p>
    <w:p w:rsidR="007043CB" w:rsidRDefault="004B5C2E">
      <w:pPr>
        <w:pStyle w:val="Nadpis3"/>
        <w:ind w:left="10" w:right="186"/>
      </w:pPr>
      <w:r>
        <w:t xml:space="preserve">Závěrečná ustanovení </w:t>
      </w:r>
    </w:p>
    <w:p w:rsidR="007043CB" w:rsidRDefault="004B5C2E">
      <w:pPr>
        <w:spacing w:after="198" w:line="259" w:lineRule="auto"/>
        <w:ind w:left="0" w:right="159" w:firstLine="0"/>
        <w:jc w:val="center"/>
      </w:pPr>
      <w:r>
        <w:rPr>
          <w:b/>
          <w:sz w:val="8"/>
        </w:rPr>
        <w:t xml:space="preserve"> </w:t>
      </w:r>
    </w:p>
    <w:p w:rsidR="007043CB" w:rsidRDefault="004B5C2E">
      <w:pPr>
        <w:numPr>
          <w:ilvl w:val="0"/>
          <w:numId w:val="9"/>
        </w:numPr>
        <w:spacing w:after="79"/>
        <w:ind w:right="1" w:hanging="394"/>
      </w:pPr>
      <w:r>
        <w:rPr>
          <w:sz w:val="20"/>
        </w:rPr>
        <w:t xml:space="preserve">Tento  dodatek pojistné smlouvy </w:t>
      </w:r>
      <w:r>
        <w:rPr>
          <w:b/>
          <w:sz w:val="20"/>
        </w:rPr>
        <w:t>na dobu neurčitou  se sjednává s počátkem pojištění 01.07.2016.</w:t>
      </w:r>
      <w:r>
        <w:rPr>
          <w:sz w:val="20"/>
        </w:rPr>
        <w:t xml:space="preserve">  </w:t>
      </w:r>
    </w:p>
    <w:p w:rsidR="007043CB" w:rsidRDefault="004B5C2E">
      <w:pPr>
        <w:numPr>
          <w:ilvl w:val="0"/>
          <w:numId w:val="9"/>
        </w:numPr>
        <w:spacing w:after="80"/>
        <w:ind w:right="1" w:hanging="394"/>
      </w:pPr>
      <w:r>
        <w:rPr>
          <w:sz w:val="20"/>
        </w:rPr>
        <w:t xml:space="preserve">Pojištění sjednané tímto dodatkem v rozsahu odlišném od rozsahu pojištění dle pojistné smlouvy v platném znění se nevztahuje na dobu před počátkem účinnosti tohoto dodatku, není-li ujednáno jinak. </w:t>
      </w:r>
    </w:p>
    <w:p w:rsidR="007043CB" w:rsidRDefault="004B5C2E">
      <w:pPr>
        <w:numPr>
          <w:ilvl w:val="0"/>
          <w:numId w:val="9"/>
        </w:numPr>
        <w:spacing w:after="80"/>
        <w:ind w:right="1" w:hanging="394"/>
      </w:pPr>
      <w:r>
        <w:rPr>
          <w:sz w:val="20"/>
        </w:rPr>
        <w:lastRenderedPageBreak/>
        <w:t xml:space="preserve">Pojistník podpisem tohoto dodatku prohlašuje, že byl před jeho uzavřením jasně a srozumitelně seznámen s pojistnými podmínkami pojistitele a doložkami, které se vztahují k výše uvedeným pojištěním, a že mu byly oznámeny informace v souladu s ustanovením § 65 a násl. zákona č. 37/2004 Sb., o pojistné smlouvě. </w:t>
      </w:r>
    </w:p>
    <w:p w:rsidR="007043CB" w:rsidRDefault="004B5C2E">
      <w:pPr>
        <w:numPr>
          <w:ilvl w:val="0"/>
          <w:numId w:val="9"/>
        </w:numPr>
        <w:spacing w:after="80"/>
        <w:ind w:right="1" w:hanging="394"/>
      </w:pPr>
      <w:r>
        <w:rPr>
          <w:sz w:val="20"/>
        </w:rPr>
        <w:t xml:space="preserve">Pojistník, je-li osobou odlišnou od pojištěného, dále </w:t>
      </w:r>
      <w:r>
        <w:rPr>
          <w:b/>
          <w:sz w:val="20"/>
        </w:rPr>
        <w:t>prohlašuje</w:t>
      </w:r>
      <w:r>
        <w:rPr>
          <w:sz w:val="20"/>
        </w:rPr>
        <w:t xml:space="preserve">, že poskytl pojistiteli osobní údaje pojištěného, uvedené v pojistné smlouvě a dal souhlas k jejich zpracování ve smyslu odst. 3. tohoto článku na základě plné moci od pojištěného. </w:t>
      </w:r>
    </w:p>
    <w:p w:rsidR="007043CB" w:rsidRDefault="004B5C2E">
      <w:pPr>
        <w:numPr>
          <w:ilvl w:val="0"/>
          <w:numId w:val="9"/>
        </w:numPr>
        <w:ind w:right="1" w:hanging="394"/>
      </w:pPr>
      <w:r>
        <w:rPr>
          <w:sz w:val="20"/>
        </w:rPr>
        <w:t xml:space="preserve">Pojistník prohlašuje, že uzavřel s pojišťovacím makléřem smlouvu, na jejímž základě pojišťovací makléř vykonává zprostředkovatelskou činnost v pojišťovnictví pro pojistníka, a to v rozsahu této smlouvy. Smluvní strany se dohodly, že veškeré písemnosti mající vztah k pojištění sjednaného touto pojistnou smlouvou doručované pojistitelem pojistníkovi nebo pojištěnému se považují za doručené pojistníkovi nebo pojištěnému doručením pojišťovacímu makléři. </w:t>
      </w:r>
      <w:r>
        <w:rPr>
          <w:b/>
          <w:sz w:val="20"/>
        </w:rPr>
        <w:t>Odchylně od čl. V. VPP P-100/09 se pro tento případ „adresátem“ rozumí pojišťovací makléř.</w:t>
      </w:r>
      <w:r>
        <w:rPr>
          <w:sz w:val="20"/>
        </w:rPr>
        <w:t xml:space="preserve"> Dále se smluvní strany dohodly, že veškeré písemnosti mající vztah k pojištění sjednanému touto pojistnou smlouvou doručované pojišťovacím makléřem za pojistníka nebo pojištěného pojistiteli se považují za doručené pojistiteli od pojistníka nebo pojištěného a to doručením pojistiteli. </w:t>
      </w:r>
    </w:p>
    <w:p w:rsidR="007043CB" w:rsidRDefault="004B5C2E">
      <w:pPr>
        <w:numPr>
          <w:ilvl w:val="0"/>
          <w:numId w:val="9"/>
        </w:numPr>
        <w:spacing w:after="111"/>
        <w:ind w:right="1" w:hanging="394"/>
      </w:pPr>
      <w:r>
        <w:rPr>
          <w:sz w:val="20"/>
        </w:rPr>
        <w:t xml:space="preserve">Pojistitel poskytne pojistníkovi bonifikaci ve smyslu Doložky </w:t>
      </w:r>
      <w:r>
        <w:rPr>
          <w:b/>
          <w:sz w:val="20"/>
        </w:rPr>
        <w:t>DOB6 - Bonifikace -  Vymezení podmínek.</w:t>
      </w:r>
      <w:r>
        <w:rPr>
          <w:sz w:val="20"/>
        </w:rPr>
        <w:t xml:space="preserve"> Pojistitel na základě písemné žádosti pojistníka provede vyhodnocení škodného průběhu pojistné smlouvy za hodnocené období, které je shodné s pojistnou dobou, na niž je smlouva sjednána. Bude-li skutečné škodný procento pojistné smlouvy nižší než procento smluvně stanovené, přizná pojistitel bonifikaci následovně: </w:t>
      </w:r>
    </w:p>
    <w:p w:rsidR="007043CB" w:rsidRDefault="004B5C2E">
      <w:pPr>
        <w:ind w:left="435" w:hanging="10"/>
        <w:jc w:val="left"/>
      </w:pPr>
      <w:r>
        <w:rPr>
          <w:b/>
          <w:sz w:val="20"/>
        </w:rPr>
        <w:t xml:space="preserve">                               Škodní průběh                                   výše bonifikace </w:t>
      </w:r>
    </w:p>
    <w:p w:rsidR="007043CB" w:rsidRDefault="004B5C2E">
      <w:pPr>
        <w:ind w:left="2127" w:right="2658" w:hanging="1843"/>
      </w:pPr>
      <w:r>
        <w:rPr>
          <w:sz w:val="20"/>
        </w:rPr>
        <w:t xml:space="preserve"> </w:t>
      </w:r>
      <w:r>
        <w:rPr>
          <w:sz w:val="20"/>
        </w:rPr>
        <w:tab/>
        <w:t xml:space="preserve">do 10 % </w:t>
      </w:r>
      <w:r>
        <w:rPr>
          <w:sz w:val="20"/>
        </w:rPr>
        <w:tab/>
        <w:t xml:space="preserve">                  20%                do 20 %                                                       10%              </w:t>
      </w:r>
      <w:r>
        <w:rPr>
          <w:sz w:val="16"/>
        </w:rPr>
        <w:t xml:space="preserve">                                                                                             </w:t>
      </w:r>
    </w:p>
    <w:p w:rsidR="007043CB" w:rsidRDefault="004B5C2E">
      <w:pPr>
        <w:spacing w:after="175" w:line="259" w:lineRule="auto"/>
        <w:ind w:left="341" w:firstLine="0"/>
        <w:jc w:val="left"/>
      </w:pPr>
      <w:r>
        <w:rPr>
          <w:sz w:val="10"/>
        </w:rPr>
        <w:t xml:space="preserve"> </w:t>
      </w:r>
    </w:p>
    <w:p w:rsidR="007043CB" w:rsidRDefault="004B5C2E">
      <w:pPr>
        <w:numPr>
          <w:ilvl w:val="0"/>
          <w:numId w:val="9"/>
        </w:numPr>
        <w:spacing w:after="82"/>
        <w:ind w:right="1" w:hanging="394"/>
      </w:pPr>
      <w:r>
        <w:rPr>
          <w:sz w:val="20"/>
        </w:rPr>
        <w:t xml:space="preserve">Tento dodatek byl vypracován ve </w:t>
      </w:r>
      <w:r>
        <w:rPr>
          <w:b/>
          <w:sz w:val="20"/>
        </w:rPr>
        <w:t>4</w:t>
      </w:r>
      <w:r>
        <w:rPr>
          <w:sz w:val="20"/>
        </w:rPr>
        <w:t xml:space="preserve"> stejnopisech, pojistník obdrží </w:t>
      </w:r>
      <w:r>
        <w:rPr>
          <w:b/>
          <w:sz w:val="20"/>
        </w:rPr>
        <w:t>1</w:t>
      </w:r>
      <w:r>
        <w:rPr>
          <w:sz w:val="20"/>
        </w:rPr>
        <w:t xml:space="preserve"> stejnopis, pojistitel si ponechá 2 stejnopisy a pojišťovací makléř obdrží </w:t>
      </w:r>
      <w:r>
        <w:rPr>
          <w:b/>
          <w:sz w:val="20"/>
        </w:rPr>
        <w:t>1</w:t>
      </w:r>
      <w:r>
        <w:rPr>
          <w:sz w:val="20"/>
        </w:rPr>
        <w:t xml:space="preserve"> stejnopis. </w:t>
      </w:r>
    </w:p>
    <w:p w:rsidR="007043CB" w:rsidRDefault="004B5C2E">
      <w:pPr>
        <w:numPr>
          <w:ilvl w:val="0"/>
          <w:numId w:val="9"/>
        </w:numPr>
        <w:spacing w:after="80"/>
        <w:ind w:right="1" w:hanging="394"/>
      </w:pPr>
      <w:r>
        <w:rPr>
          <w:sz w:val="20"/>
        </w:rPr>
        <w:t xml:space="preserve">Stejnopis tohoto dodatku, který obdrží pojistník, je zároveň potvrzením o uzavření dodatku k pojistné smlouvě (pojistkou) ve smyslu zákona č. 37/2004 Sb., o pojistné smlouvě.  </w:t>
      </w:r>
    </w:p>
    <w:p w:rsidR="007043CB" w:rsidRDefault="004B5C2E">
      <w:pPr>
        <w:numPr>
          <w:ilvl w:val="0"/>
          <w:numId w:val="9"/>
        </w:numPr>
        <w:spacing w:after="50"/>
        <w:ind w:right="1" w:hanging="394"/>
      </w:pPr>
      <w:r>
        <w:rPr>
          <w:sz w:val="20"/>
        </w:rPr>
        <w:t xml:space="preserve">Tento dodatek obsahuje </w:t>
      </w:r>
      <w:r>
        <w:rPr>
          <w:b/>
          <w:sz w:val="20"/>
        </w:rPr>
        <w:t>15 stran a 2 přílohy</w:t>
      </w:r>
      <w:r>
        <w:rPr>
          <w:sz w:val="20"/>
        </w:rPr>
        <w:t>.</w:t>
      </w:r>
      <w:r>
        <w:rPr>
          <w:rFonts w:ascii="Times New Roman" w:eastAsia="Times New Roman" w:hAnsi="Times New Roman" w:cs="Times New Roman"/>
          <w:sz w:val="20"/>
        </w:rPr>
        <w:t xml:space="preserve"> </w:t>
      </w:r>
      <w:r>
        <w:rPr>
          <w:sz w:val="20"/>
        </w:rPr>
        <w:t xml:space="preserve">Jeho součástí jsou pojistné podmínky pojistitele uvedené v článku I. odst. 3. dodatku  této smlouvy </w:t>
      </w:r>
    </w:p>
    <w:p w:rsidR="007043CB" w:rsidRDefault="004B5C2E">
      <w:pPr>
        <w:spacing w:after="37" w:line="259" w:lineRule="auto"/>
        <w:ind w:left="852" w:firstLine="0"/>
        <w:jc w:val="left"/>
      </w:pPr>
      <w:r>
        <w:rPr>
          <w:sz w:val="20"/>
        </w:rPr>
        <w:t xml:space="preserve"> </w:t>
      </w:r>
    </w:p>
    <w:p w:rsidR="007043CB" w:rsidRDefault="004B5C2E">
      <w:pPr>
        <w:spacing w:after="66" w:line="259" w:lineRule="auto"/>
        <w:ind w:left="284" w:firstLine="0"/>
        <w:jc w:val="left"/>
      </w:pPr>
      <w:r>
        <w:rPr>
          <w:sz w:val="20"/>
          <w:u w:val="single" w:color="000000"/>
        </w:rPr>
        <w:t>Výčet platných příloh dodatku č. 6:</w:t>
      </w:r>
      <w:r>
        <w:rPr>
          <w:sz w:val="20"/>
        </w:rPr>
        <w:t xml:space="preserve">  </w:t>
      </w:r>
    </w:p>
    <w:p w:rsidR="007043CB" w:rsidRDefault="004B5C2E">
      <w:pPr>
        <w:numPr>
          <w:ilvl w:val="1"/>
          <w:numId w:val="9"/>
        </w:numPr>
        <w:spacing w:after="78"/>
        <w:ind w:right="1" w:hanging="396"/>
      </w:pPr>
      <w:r>
        <w:rPr>
          <w:sz w:val="20"/>
        </w:rPr>
        <w:t xml:space="preserve">Výpis z Veřejně přístupného rejstříku v ARES ke dni 30.06.2016 pro 13 pojištěných </w:t>
      </w:r>
    </w:p>
    <w:p w:rsidR="007043CB" w:rsidRDefault="004B5C2E">
      <w:pPr>
        <w:numPr>
          <w:ilvl w:val="1"/>
          <w:numId w:val="9"/>
        </w:numPr>
        <w:ind w:right="1" w:hanging="396"/>
      </w:pPr>
      <w:r>
        <w:rPr>
          <w:sz w:val="20"/>
        </w:rPr>
        <w:t xml:space="preserve">Vstupní obvyklá cena pro vybrané objekty historické či umělecké hodnoty k 30.06.2016, pojištěné v rámci souboru nemovitostí vlastních. </w:t>
      </w:r>
    </w:p>
    <w:p w:rsidR="007043CB" w:rsidRDefault="004B5C2E">
      <w:pPr>
        <w:spacing w:after="0" w:line="259" w:lineRule="auto"/>
        <w:ind w:left="0" w:firstLine="0"/>
        <w:jc w:val="left"/>
      </w:pPr>
      <w:r>
        <w:rPr>
          <w:sz w:val="20"/>
        </w:rPr>
        <w:t xml:space="preserve"> </w:t>
      </w:r>
    </w:p>
    <w:p w:rsidR="007043CB" w:rsidRDefault="004B5C2E">
      <w:pPr>
        <w:spacing w:after="0" w:line="259" w:lineRule="auto"/>
        <w:ind w:left="0" w:firstLine="0"/>
        <w:jc w:val="left"/>
      </w:pPr>
      <w:r>
        <w:rPr>
          <w:sz w:val="20"/>
        </w:rPr>
        <w:t xml:space="preserve">  </w:t>
      </w:r>
    </w:p>
    <w:p w:rsidR="007043CB" w:rsidRDefault="004B5C2E">
      <w:pPr>
        <w:spacing w:after="0" w:line="259" w:lineRule="auto"/>
        <w:ind w:left="0" w:firstLine="0"/>
        <w:jc w:val="left"/>
      </w:pPr>
      <w:r>
        <w:rPr>
          <w:sz w:val="20"/>
        </w:rPr>
        <w:t xml:space="preserve"> </w:t>
      </w:r>
    </w:p>
    <w:p w:rsidR="007043CB" w:rsidRDefault="004B5C2E">
      <w:pPr>
        <w:spacing w:after="0" w:line="259" w:lineRule="auto"/>
        <w:ind w:left="0" w:firstLine="0"/>
        <w:jc w:val="left"/>
      </w:pPr>
      <w:r>
        <w:rPr>
          <w:sz w:val="20"/>
        </w:rPr>
        <w:t xml:space="preserve"> </w:t>
      </w:r>
    </w:p>
    <w:p w:rsidR="007043CB" w:rsidRDefault="004B5C2E">
      <w:pPr>
        <w:spacing w:after="0" w:line="259" w:lineRule="auto"/>
        <w:ind w:left="0" w:firstLine="0"/>
        <w:jc w:val="left"/>
      </w:pPr>
      <w:r>
        <w:rPr>
          <w:sz w:val="20"/>
        </w:rPr>
        <w:t xml:space="preserve"> </w:t>
      </w:r>
    </w:p>
    <w:p w:rsidR="007043CB" w:rsidRDefault="004B5C2E">
      <w:pPr>
        <w:tabs>
          <w:tab w:val="center" w:pos="4422"/>
          <w:tab w:val="center" w:pos="7127"/>
        </w:tabs>
        <w:ind w:left="-15" w:firstLine="0"/>
        <w:jc w:val="left"/>
      </w:pPr>
      <w:r>
        <w:rPr>
          <w:sz w:val="20"/>
        </w:rPr>
        <w:t xml:space="preserve">Za pojistníka:       V Aši  dne 30.06.2016              </w:t>
      </w:r>
      <w:r>
        <w:rPr>
          <w:sz w:val="20"/>
        </w:rPr>
        <w:tab/>
        <w:t xml:space="preserve"> </w:t>
      </w:r>
      <w:r>
        <w:rPr>
          <w:sz w:val="20"/>
        </w:rPr>
        <w:tab/>
        <w:t xml:space="preserve">          ................................................................................……..….…. </w:t>
      </w:r>
    </w:p>
    <w:p w:rsidR="007043CB" w:rsidRDefault="004B5C2E">
      <w:pPr>
        <w:tabs>
          <w:tab w:val="center" w:pos="7248"/>
        </w:tabs>
        <w:ind w:left="-15" w:firstLine="0"/>
        <w:jc w:val="left"/>
      </w:pPr>
      <w:r>
        <w:rPr>
          <w:sz w:val="20"/>
        </w:rPr>
        <w:t xml:space="preserve"> </w:t>
      </w:r>
      <w:r>
        <w:rPr>
          <w:sz w:val="20"/>
        </w:rPr>
        <w:tab/>
        <w:t xml:space="preserve">       Mgr. Dalibor Blažek, starosta </w:t>
      </w:r>
    </w:p>
    <w:p w:rsidR="007043CB" w:rsidRDefault="004B5C2E">
      <w:pPr>
        <w:spacing w:after="0" w:line="259" w:lineRule="auto"/>
        <w:ind w:left="0" w:firstLine="0"/>
        <w:jc w:val="left"/>
      </w:pPr>
      <w:r>
        <w:rPr>
          <w:sz w:val="20"/>
        </w:rPr>
        <w:t xml:space="preserve">  </w:t>
      </w:r>
    </w:p>
    <w:p w:rsidR="007043CB" w:rsidRDefault="004B5C2E">
      <w:pPr>
        <w:spacing w:after="0" w:line="259" w:lineRule="auto"/>
        <w:ind w:left="0" w:firstLine="0"/>
        <w:jc w:val="left"/>
      </w:pPr>
      <w:r>
        <w:rPr>
          <w:sz w:val="20"/>
        </w:rPr>
        <w:t xml:space="preserve"> </w:t>
      </w:r>
    </w:p>
    <w:p w:rsidR="007043CB" w:rsidRDefault="004B5C2E">
      <w:pPr>
        <w:spacing w:after="0" w:line="259" w:lineRule="auto"/>
        <w:ind w:left="0" w:firstLine="0"/>
        <w:jc w:val="left"/>
      </w:pPr>
      <w:r>
        <w:rPr>
          <w:sz w:val="20"/>
        </w:rPr>
        <w:t xml:space="preserve">   </w:t>
      </w:r>
    </w:p>
    <w:p w:rsidR="007043CB" w:rsidRDefault="004B5C2E">
      <w:pPr>
        <w:ind w:left="-5" w:right="1" w:hanging="10"/>
      </w:pPr>
      <w:r>
        <w:rPr>
          <w:sz w:val="20"/>
        </w:rPr>
        <w:t xml:space="preserve">Za pojistitele:       V Karlových Varech  dne 30.06.2016 </w:t>
      </w:r>
    </w:p>
    <w:p w:rsidR="007043CB" w:rsidRDefault="004B5C2E">
      <w:pPr>
        <w:spacing w:after="0" w:line="259" w:lineRule="auto"/>
        <w:ind w:left="0" w:firstLine="0"/>
        <w:jc w:val="left"/>
      </w:pPr>
      <w:r>
        <w:rPr>
          <w:sz w:val="20"/>
        </w:rPr>
        <w:t xml:space="preserve"> </w:t>
      </w:r>
    </w:p>
    <w:p w:rsidR="007043CB" w:rsidRDefault="004B5C2E">
      <w:pPr>
        <w:spacing w:after="0" w:line="259" w:lineRule="auto"/>
        <w:ind w:left="0" w:firstLine="0"/>
        <w:jc w:val="left"/>
      </w:pPr>
      <w:r>
        <w:rPr>
          <w:sz w:val="20"/>
        </w:rPr>
        <w:t xml:space="preserve">   </w:t>
      </w:r>
    </w:p>
    <w:p w:rsidR="007043CB" w:rsidRDefault="00386DED">
      <w:pPr>
        <w:spacing w:after="0" w:line="259" w:lineRule="auto"/>
        <w:ind w:left="0" w:firstLine="0"/>
        <w:jc w:val="left"/>
      </w:pPr>
      <w:r>
        <w:rPr>
          <w:sz w:val="20"/>
        </w:rPr>
        <w:t xml:space="preserve"> Alena Čelovská , underwriter                                                         Rudolf Čerepeš , underwriter  specialista</w:t>
      </w:r>
      <w:r w:rsidR="004B5C2E">
        <w:rPr>
          <w:sz w:val="20"/>
        </w:rPr>
        <w:t xml:space="preserve"> </w:t>
      </w:r>
    </w:p>
    <w:p w:rsidR="007043CB" w:rsidRDefault="004B5C2E">
      <w:pPr>
        <w:spacing w:after="0" w:line="259" w:lineRule="auto"/>
        <w:ind w:left="0" w:firstLine="0"/>
        <w:jc w:val="left"/>
      </w:pPr>
      <w:r>
        <w:rPr>
          <w:sz w:val="20"/>
        </w:rPr>
        <w:t xml:space="preserve"> </w:t>
      </w:r>
    </w:p>
    <w:p w:rsidR="007043CB" w:rsidRDefault="004B5C2E" w:rsidP="00386DED">
      <w:pPr>
        <w:tabs>
          <w:tab w:val="center" w:pos="6896"/>
        </w:tabs>
        <w:ind w:left="-15" w:firstLine="0"/>
        <w:jc w:val="left"/>
      </w:pPr>
      <w:r>
        <w:rPr>
          <w:sz w:val="20"/>
        </w:rPr>
        <w:t xml:space="preserve"> </w:t>
      </w:r>
    </w:p>
    <w:p w:rsidR="007043CB" w:rsidRDefault="004B5C2E">
      <w:pPr>
        <w:spacing w:after="0" w:line="259" w:lineRule="auto"/>
        <w:ind w:left="0" w:firstLine="0"/>
        <w:jc w:val="left"/>
      </w:pPr>
      <w:r>
        <w:rPr>
          <w:sz w:val="20"/>
        </w:rPr>
        <w:t xml:space="preserve"> </w:t>
      </w:r>
    </w:p>
    <w:p w:rsidR="007043CB" w:rsidRDefault="004B5C2E">
      <w:pPr>
        <w:spacing w:after="0" w:line="259" w:lineRule="auto"/>
        <w:ind w:left="0" w:firstLine="0"/>
        <w:jc w:val="left"/>
      </w:pPr>
      <w:r>
        <w:rPr>
          <w:sz w:val="17"/>
        </w:rPr>
        <w:t xml:space="preserve"> </w:t>
      </w:r>
    </w:p>
    <w:p w:rsidR="007043CB" w:rsidRDefault="004B5C2E">
      <w:pPr>
        <w:spacing w:after="0" w:line="259" w:lineRule="auto"/>
        <w:ind w:left="0" w:firstLine="0"/>
        <w:jc w:val="left"/>
      </w:pPr>
      <w:r>
        <w:rPr>
          <w:sz w:val="17"/>
        </w:rPr>
        <w:t xml:space="preserve"> </w:t>
      </w:r>
    </w:p>
    <w:p w:rsidR="007043CB" w:rsidRDefault="004B5C2E">
      <w:pPr>
        <w:spacing w:after="0" w:line="259" w:lineRule="auto"/>
        <w:ind w:left="0" w:firstLine="0"/>
        <w:jc w:val="left"/>
      </w:pPr>
      <w:r>
        <w:rPr>
          <w:sz w:val="17"/>
        </w:rPr>
        <w:t xml:space="preserve"> </w:t>
      </w:r>
    </w:p>
    <w:p w:rsidR="007043CB" w:rsidRDefault="004B5C2E">
      <w:pPr>
        <w:spacing w:after="0" w:line="259" w:lineRule="auto"/>
        <w:ind w:left="0" w:firstLine="0"/>
        <w:jc w:val="left"/>
      </w:pPr>
      <w:r>
        <w:rPr>
          <w:sz w:val="17"/>
        </w:rPr>
        <w:t xml:space="preserve"> </w:t>
      </w:r>
    </w:p>
    <w:p w:rsidR="007043CB" w:rsidRDefault="004B5C2E">
      <w:pPr>
        <w:spacing w:after="0" w:line="259" w:lineRule="auto"/>
        <w:ind w:left="0" w:firstLine="0"/>
        <w:jc w:val="left"/>
      </w:pPr>
      <w:r>
        <w:rPr>
          <w:sz w:val="17"/>
        </w:rPr>
        <w:t xml:space="preserve"> </w:t>
      </w:r>
    </w:p>
    <w:p w:rsidR="007043CB" w:rsidRDefault="004B5C2E">
      <w:pPr>
        <w:spacing w:after="0" w:line="259" w:lineRule="auto"/>
        <w:ind w:left="0" w:firstLine="0"/>
        <w:jc w:val="left"/>
      </w:pPr>
      <w:r>
        <w:rPr>
          <w:sz w:val="17"/>
        </w:rPr>
        <w:t xml:space="preserve"> </w:t>
      </w:r>
    </w:p>
    <w:p w:rsidR="007043CB" w:rsidRDefault="004B5C2E">
      <w:pPr>
        <w:spacing w:after="0" w:line="259" w:lineRule="auto"/>
        <w:ind w:left="0" w:firstLine="0"/>
        <w:jc w:val="left"/>
      </w:pPr>
      <w:r>
        <w:rPr>
          <w:sz w:val="17"/>
        </w:rPr>
        <w:t xml:space="preserve"> </w:t>
      </w:r>
    </w:p>
    <w:p w:rsidR="007043CB" w:rsidRDefault="004B5C2E">
      <w:pPr>
        <w:spacing w:after="0" w:line="259" w:lineRule="auto"/>
        <w:ind w:left="0" w:firstLine="0"/>
        <w:jc w:val="left"/>
      </w:pPr>
      <w:r>
        <w:rPr>
          <w:sz w:val="17"/>
        </w:rPr>
        <w:t xml:space="preserve">Pojistnou smlouvu vypracoval na základě předložených podkladů:  </w:t>
      </w:r>
      <w:r w:rsidR="00386DED">
        <w:rPr>
          <w:sz w:val="17"/>
        </w:rPr>
        <w:t>Rudolf Čerepeš</w:t>
      </w:r>
      <w:bookmarkStart w:id="0" w:name="_GoBack"/>
      <w:bookmarkEnd w:id="0"/>
    </w:p>
    <w:p w:rsidR="007043CB" w:rsidRDefault="00386DED">
      <w:pPr>
        <w:sectPr w:rsidR="007043CB">
          <w:headerReference w:type="even" r:id="rId13"/>
          <w:headerReference w:type="default" r:id="rId14"/>
          <w:headerReference w:type="first" r:id="rId15"/>
          <w:pgSz w:w="11906" w:h="16838"/>
          <w:pgMar w:top="672" w:right="955" w:bottom="437" w:left="1133" w:header="444" w:footer="708" w:gutter="0"/>
          <w:cols w:space="708"/>
        </w:sectPr>
      </w:pPr>
      <w:r>
        <w:t xml:space="preserve">  </w:t>
      </w:r>
    </w:p>
    <w:p w:rsidR="007043CB" w:rsidRDefault="004B5C2E">
      <w:pPr>
        <w:spacing w:after="0" w:line="259" w:lineRule="auto"/>
        <w:ind w:left="-1" w:firstLine="0"/>
        <w:jc w:val="left"/>
      </w:pPr>
      <w:r>
        <w:rPr>
          <w:noProof/>
        </w:rPr>
        <w:lastRenderedPageBreak/>
        <w:drawing>
          <wp:inline distT="0" distB="0" distL="0" distR="0">
            <wp:extent cx="1819783" cy="948690"/>
            <wp:effectExtent l="0" t="0" r="0" b="0"/>
            <wp:docPr id="7688" name="Picture 7688"/>
            <wp:cNvGraphicFramePr/>
            <a:graphic xmlns:a="http://schemas.openxmlformats.org/drawingml/2006/main">
              <a:graphicData uri="http://schemas.openxmlformats.org/drawingml/2006/picture">
                <pic:pic xmlns:pic="http://schemas.openxmlformats.org/drawingml/2006/picture">
                  <pic:nvPicPr>
                    <pic:cNvPr id="7688" name="Picture 7688"/>
                    <pic:cNvPicPr/>
                  </pic:nvPicPr>
                  <pic:blipFill>
                    <a:blip r:embed="rId7"/>
                    <a:stretch>
                      <a:fillRect/>
                    </a:stretch>
                  </pic:blipFill>
                  <pic:spPr>
                    <a:xfrm>
                      <a:off x="0" y="0"/>
                      <a:ext cx="1819783" cy="948690"/>
                    </a:xfrm>
                    <a:prstGeom prst="rect">
                      <a:avLst/>
                    </a:prstGeom>
                  </pic:spPr>
                </pic:pic>
              </a:graphicData>
            </a:graphic>
          </wp:inline>
        </w:drawing>
      </w:r>
      <w:r>
        <w:rPr>
          <w:b/>
          <w:sz w:val="20"/>
        </w:rPr>
        <w:t xml:space="preserve"> </w:t>
      </w:r>
    </w:p>
    <w:p w:rsidR="007043CB" w:rsidRDefault="004B5C2E">
      <w:pPr>
        <w:spacing w:after="95" w:line="259" w:lineRule="auto"/>
        <w:ind w:left="0" w:firstLine="0"/>
        <w:jc w:val="left"/>
      </w:pPr>
      <w:r>
        <w:rPr>
          <w:b/>
          <w:sz w:val="20"/>
        </w:rPr>
        <w:t xml:space="preserve"> </w:t>
      </w:r>
    </w:p>
    <w:p w:rsidR="007043CB" w:rsidRDefault="004B5C2E">
      <w:pPr>
        <w:pStyle w:val="Nadpis1"/>
        <w:ind w:left="10"/>
      </w:pPr>
      <w:r>
        <w:t xml:space="preserve">DODATKOVÉ POJISTNÉ PODMÍNKY                                    P – 520/05 PRO POJIŠTĚNÍ HOSPODÁŘSKÝCH RIZIK                         </w:t>
      </w:r>
    </w:p>
    <w:p w:rsidR="007043CB" w:rsidRDefault="004B5C2E">
      <w:pPr>
        <w:spacing w:after="0" w:line="259" w:lineRule="auto"/>
        <w:ind w:left="0" w:firstLine="0"/>
        <w:jc w:val="left"/>
      </w:pPr>
      <w:r>
        <w:t xml:space="preserve"> </w:t>
      </w:r>
    </w:p>
    <w:p w:rsidR="007043CB" w:rsidRDefault="004B5C2E">
      <w:pPr>
        <w:spacing w:after="193"/>
        <w:ind w:left="-15" w:firstLine="0"/>
      </w:pPr>
      <w:r>
        <w:t xml:space="preserve">Následující doložky z těchto dodatkových pojistných podmínek rozšiřují, upřesňují, případně vymezují ustanovení Zvláštních pojistných podmínek. </w:t>
      </w:r>
    </w:p>
    <w:p w:rsidR="007043CB" w:rsidRDefault="004B5C2E">
      <w:pPr>
        <w:spacing w:after="27"/>
        <w:ind w:left="10" w:hanging="10"/>
        <w:jc w:val="left"/>
      </w:pPr>
      <w:r>
        <w:rPr>
          <w:b/>
          <w:sz w:val="20"/>
        </w:rPr>
        <w:t>Doložka Živel DZ2 - Kouř -</w:t>
      </w:r>
      <w:r>
        <w:rPr>
          <w:sz w:val="20"/>
        </w:rPr>
        <w:t xml:space="preserve"> </w:t>
      </w:r>
      <w:r>
        <w:rPr>
          <w:b/>
          <w:sz w:val="20"/>
        </w:rPr>
        <w:t>Rozšíření rozsahu pojištění (1201)</w:t>
      </w:r>
      <w:r>
        <w:rPr>
          <w:sz w:val="20"/>
        </w:rPr>
        <w:t xml:space="preserve"> </w:t>
      </w:r>
    </w:p>
    <w:p w:rsidR="007043CB" w:rsidRDefault="004B5C2E">
      <w:pPr>
        <w:numPr>
          <w:ilvl w:val="0"/>
          <w:numId w:val="10"/>
        </w:numPr>
        <w:ind w:hanging="271"/>
      </w:pPr>
      <w:r>
        <w:t xml:space="preserve">Odchylně od čl. II ZPP P - 150/05 se pojištění vztahuje i na škody vzniklé působením kouře, který v důsledku náhlé a nahodilé události unikl ze spalovacího, topného, varného nebo sušicího zařízení v místě pojištění, pokud k tomuto úniku došlo mimo otvory k odvodu kouře určené.  </w:t>
      </w:r>
    </w:p>
    <w:p w:rsidR="007043CB" w:rsidRDefault="004B5C2E">
      <w:pPr>
        <w:numPr>
          <w:ilvl w:val="0"/>
          <w:numId w:val="10"/>
        </w:numPr>
        <w:ind w:hanging="271"/>
      </w:pPr>
      <w:r>
        <w:t xml:space="preserve">Pojištění se nevztahuje na škody vzniklé dlouhodobým působením kouře unikajícího v důsledku poškozeného nebo nedokonale fungujícího odtahového zařízení.  </w:t>
      </w:r>
    </w:p>
    <w:p w:rsidR="007043CB" w:rsidRDefault="004B5C2E">
      <w:pPr>
        <w:numPr>
          <w:ilvl w:val="0"/>
          <w:numId w:val="10"/>
        </w:numPr>
        <w:spacing w:after="156"/>
        <w:ind w:hanging="271"/>
      </w:pPr>
      <w:r>
        <w:t xml:space="preserve">Pojištění se rovněž nevztahuje na škody vzniklé působením agresivních plynů, které vznikly při výrobním procesu nebo spalováním mimo místo pojištění a pronikly do něho v důsledku změny klimatických podmínek (změna směru větru, zhoršení rozptylových podmínek). </w:t>
      </w:r>
      <w:r>
        <w:rPr>
          <w:sz w:val="20"/>
        </w:rPr>
        <w:t xml:space="preserve"> </w:t>
      </w:r>
      <w:r>
        <w:rPr>
          <w:sz w:val="22"/>
        </w:rPr>
        <w:t xml:space="preserve"> </w:t>
      </w:r>
    </w:p>
    <w:p w:rsidR="007043CB" w:rsidRDefault="004B5C2E">
      <w:pPr>
        <w:spacing w:after="27"/>
        <w:ind w:left="152" w:hanging="10"/>
        <w:jc w:val="left"/>
      </w:pPr>
      <w:r>
        <w:rPr>
          <w:b/>
          <w:sz w:val="20"/>
        </w:rPr>
        <w:t>Doložka Živel DZ3 - Třesk -</w:t>
      </w:r>
      <w:r>
        <w:rPr>
          <w:sz w:val="20"/>
        </w:rPr>
        <w:t xml:space="preserve"> </w:t>
      </w:r>
      <w:r>
        <w:rPr>
          <w:b/>
          <w:sz w:val="20"/>
        </w:rPr>
        <w:t>Rozšíření rozsahu pojištění (1201)</w:t>
      </w:r>
      <w:r>
        <w:rPr>
          <w:sz w:val="20"/>
        </w:rPr>
        <w:t xml:space="preserve"> </w:t>
      </w:r>
    </w:p>
    <w:p w:rsidR="007043CB" w:rsidRDefault="004B5C2E">
      <w:pPr>
        <w:ind w:left="-15" w:firstLine="0"/>
      </w:pPr>
      <w:r>
        <w:t xml:space="preserve">Odchylně od čl. II ZPP P - 150/05 se pojištění vztahuje i na škody vzniklé následkem aerodynamického třesku. </w:t>
      </w:r>
    </w:p>
    <w:p w:rsidR="007043CB" w:rsidRDefault="004B5C2E">
      <w:pPr>
        <w:spacing w:after="39" w:line="259" w:lineRule="auto"/>
        <w:ind w:left="0" w:firstLine="0"/>
        <w:jc w:val="left"/>
      </w:pPr>
      <w:r>
        <w:rPr>
          <w:b/>
        </w:rPr>
        <w:t xml:space="preserve"> </w:t>
      </w:r>
    </w:p>
    <w:p w:rsidR="007043CB" w:rsidRDefault="004B5C2E">
      <w:pPr>
        <w:spacing w:after="49" w:line="250" w:lineRule="auto"/>
        <w:ind w:left="-5" w:hanging="10"/>
        <w:jc w:val="left"/>
      </w:pPr>
      <w:r>
        <w:rPr>
          <w:b/>
        </w:rPr>
        <w:t>Doložka Živel DZ12 - Příslušenství a stavební součásti budovy nebo stavby</w:t>
      </w:r>
      <w:r>
        <w:t xml:space="preserve"> - vymezení předmětu pojištění (1201) </w:t>
      </w:r>
    </w:p>
    <w:p w:rsidR="007043CB" w:rsidRDefault="004B5C2E">
      <w:pPr>
        <w:ind w:left="-15" w:firstLine="0"/>
      </w:pPr>
      <w:r>
        <w:t xml:space="preserve">Za příslušenství nebo součást budovy nebo stavby ve smyslu bodu (16) Čl. IX. ZPP P-150/05 a za stavební součásti budovy nebo stavby ve smyslu bodu (23) Čl. IX. ZPP P-150/05 se nepovažuje fotovoltaická elektrárna nebo její část instalovaná vně nebo uvnitř budovy nebo stavby. </w:t>
      </w:r>
    </w:p>
    <w:p w:rsidR="007043CB" w:rsidRDefault="004B5C2E">
      <w:pPr>
        <w:ind w:left="-15" w:firstLine="0"/>
      </w:pPr>
      <w:r>
        <w:t xml:space="preserve">Fotovoltaická elektrárna je tvořena především následujícími částmi - fotovoltaické moduly určené pro výrobu elektrické energie, které jsou vzájemně propojeny a měniče napětí do kterých je elektřina získávaná z modulů vedena z důvodu transformace na síťové napětí 230V.  </w:t>
      </w:r>
    </w:p>
    <w:p w:rsidR="007043CB" w:rsidRDefault="004B5C2E">
      <w:pPr>
        <w:spacing w:after="39" w:line="259" w:lineRule="auto"/>
        <w:ind w:left="0" w:firstLine="0"/>
        <w:jc w:val="left"/>
      </w:pPr>
      <w:r>
        <w:rPr>
          <w:b/>
        </w:rPr>
        <w:t xml:space="preserve"> </w:t>
      </w:r>
    </w:p>
    <w:p w:rsidR="007043CB" w:rsidRDefault="004B5C2E">
      <w:pPr>
        <w:spacing w:after="49" w:line="250" w:lineRule="auto"/>
        <w:ind w:left="-5" w:hanging="10"/>
        <w:jc w:val="left"/>
      </w:pPr>
      <w:r>
        <w:rPr>
          <w:b/>
        </w:rPr>
        <w:t xml:space="preserve">Doložka Živel DZ13 - Atmosférické srážky </w:t>
      </w:r>
      <w:r>
        <w:t>-</w:t>
      </w:r>
      <w:r>
        <w:rPr>
          <w:b/>
        </w:rPr>
        <w:t xml:space="preserve"> </w:t>
      </w:r>
      <w:r>
        <w:t xml:space="preserve">rozšíření rozsahu pojištění (1201) </w:t>
      </w:r>
    </w:p>
    <w:p w:rsidR="007043CB" w:rsidRDefault="004B5C2E">
      <w:pPr>
        <w:numPr>
          <w:ilvl w:val="0"/>
          <w:numId w:val="11"/>
        </w:numPr>
        <w:ind w:hanging="271"/>
      </w:pPr>
      <w:r>
        <w:t xml:space="preserve">Odchylně od ZPP P-150/05 Čl. II. odst. (2) se pojištění vztahuje i na poškození nebo zničení pojištěné budovy nebo stavby nebo pojištěné věci v nich uložené vodou z přívalového deště, která vnikne do pojištěné budovy nebo stavby a poškodí nebo zničí pojištěné věci.  </w:t>
      </w:r>
    </w:p>
    <w:p w:rsidR="007043CB" w:rsidRDefault="004B5C2E">
      <w:pPr>
        <w:numPr>
          <w:ilvl w:val="0"/>
          <w:numId w:val="11"/>
        </w:numPr>
        <w:ind w:hanging="271"/>
      </w:pPr>
      <w:r>
        <w:t xml:space="preserve">Odchylně od ZPP P-150/05 Čl. II. odst. (2) se pojištění vztahuje i na poškození nebo zničení pojištěné budovy nebo stavby nebo pojištěné věci v nich uložené působením vody vzniklé táním sněhové nebo ledové vrstvy, která vnikne do pojištěné budovy nebo stavby a poškodí nebo zničí pojištěné věci. </w:t>
      </w:r>
    </w:p>
    <w:p w:rsidR="007043CB" w:rsidRDefault="004B5C2E">
      <w:pPr>
        <w:numPr>
          <w:ilvl w:val="0"/>
          <w:numId w:val="11"/>
        </w:numPr>
        <w:ind w:hanging="271"/>
      </w:pPr>
      <w:r>
        <w:t xml:space="preserve">Pojištění se vztahuje i na poškození nebo zničení pojištěné budovy nebo stavby nebo pojištěné věci v nich uložené, kdy v důsledku sněhové nebo ledové vrstvy svodem dešťové vody neodtéká roztátý sníh nebo led nebo svod dešťové vody nestačí odebírat vodu z přívalového deště, přičemž vnější plášť ani zastřešení pojištěné budovy nejeví známky poruchy, poškození nebo zhoršení své funkčnosti. </w:t>
      </w:r>
    </w:p>
    <w:p w:rsidR="007043CB" w:rsidRDefault="004B5C2E">
      <w:pPr>
        <w:numPr>
          <w:ilvl w:val="0"/>
          <w:numId w:val="11"/>
        </w:numPr>
        <w:ind w:hanging="271"/>
      </w:pPr>
      <w:r>
        <w:t xml:space="preserve">Pojištění se nevztahuje na škody způsobené v důsledku vniknutí vody z přívalového deště do pojištěné budovy nebo stavby nedostatečně uzavřenými okny, venkovními dveřmi nebo neuzavřenými vnějšími stavebními otvory. </w:t>
      </w:r>
    </w:p>
    <w:p w:rsidR="007043CB" w:rsidRDefault="004B5C2E">
      <w:pPr>
        <w:numPr>
          <w:ilvl w:val="0"/>
          <w:numId w:val="11"/>
        </w:numPr>
        <w:ind w:hanging="271"/>
      </w:pPr>
      <w:r>
        <w:t xml:space="preserve">Pojištění se dále nevztahuje na poškození nebo zničení budovy nebo stavby nebo věci normálními atmosférickými srážkami, s nimiž je třeba podle ročního období a místních poměrů počítat. </w:t>
      </w:r>
    </w:p>
    <w:p w:rsidR="007043CB" w:rsidRDefault="004B5C2E">
      <w:pPr>
        <w:numPr>
          <w:ilvl w:val="0"/>
          <w:numId w:val="11"/>
        </w:numPr>
        <w:ind w:hanging="271"/>
      </w:pPr>
      <w:r>
        <w:t xml:space="preserve">Nárok na pojistné plnění nevzniká, jestliže pojištěná budova nebo stavba nebo pojištěná věc byla poškozena nebo zničena působením vlhkosti, hub nebo plísní v přímé souvislosti s vniknutím nebo prosáknutím vody z přívalového deště do pojištěné budovy nebo stavby. </w:t>
      </w:r>
    </w:p>
    <w:p w:rsidR="007043CB" w:rsidRDefault="004B5C2E">
      <w:pPr>
        <w:numPr>
          <w:ilvl w:val="0"/>
          <w:numId w:val="11"/>
        </w:numPr>
        <w:ind w:hanging="271"/>
      </w:pPr>
      <w:r>
        <w:t xml:space="preserve">Pro účely pojištění dle této doložky se za přívalový déšť považuje déšť velké intenzity a obvykle krátkého trvání a malého plošného rozsahu, který způsobuje prudké rozvodnění malých toků a značné zatížení kanalizačních sítí. V případě škodné události je pro posouzení, zda se jednalo o přívalový déšť rozhodující údaj Českého hydrometeorologického úřadu. </w:t>
      </w:r>
    </w:p>
    <w:p w:rsidR="007043CB" w:rsidRDefault="004B5C2E">
      <w:pPr>
        <w:numPr>
          <w:ilvl w:val="0"/>
          <w:numId w:val="11"/>
        </w:numPr>
        <w:ind w:hanging="271"/>
      </w:pPr>
      <w:r>
        <w:t xml:space="preserve">Pojištění se sjednává s maximálním ročním limitem pojistného plnění uvedeným v pojistné smlouvě. </w:t>
      </w:r>
    </w:p>
    <w:p w:rsidR="007043CB" w:rsidRDefault="004B5C2E">
      <w:pPr>
        <w:spacing w:after="39" w:line="259" w:lineRule="auto"/>
        <w:ind w:left="0" w:firstLine="0"/>
        <w:jc w:val="left"/>
      </w:pPr>
      <w:r>
        <w:rPr>
          <w:b/>
        </w:rPr>
        <w:t xml:space="preserve"> </w:t>
      </w:r>
    </w:p>
    <w:p w:rsidR="007043CB" w:rsidRDefault="004B5C2E">
      <w:pPr>
        <w:spacing w:after="39" w:line="259" w:lineRule="auto"/>
        <w:ind w:left="0" w:firstLine="0"/>
        <w:jc w:val="left"/>
      </w:pPr>
      <w:r>
        <w:rPr>
          <w:b/>
        </w:rPr>
        <w:t xml:space="preserve"> </w:t>
      </w:r>
    </w:p>
    <w:p w:rsidR="007043CB" w:rsidRDefault="004B5C2E">
      <w:pPr>
        <w:spacing w:after="47" w:line="250" w:lineRule="auto"/>
        <w:ind w:left="-5" w:hanging="10"/>
        <w:jc w:val="left"/>
      </w:pPr>
      <w:r>
        <w:rPr>
          <w:b/>
        </w:rPr>
        <w:t xml:space="preserve">Doložka DOZ1 - Předepsané způsoby zabezpečení movitých věcí a zásob </w:t>
      </w:r>
      <w:r>
        <w:t xml:space="preserve">(netýká se cenností) - Upřesnění (1211) </w:t>
      </w:r>
    </w:p>
    <w:p w:rsidR="007043CB" w:rsidRDefault="004B5C2E">
      <w:pPr>
        <w:ind w:left="-15" w:firstLine="0"/>
      </w:pPr>
      <w:r>
        <w:t xml:space="preserve">Tato doložka stanoví způsoby zabezpečení v návaznosti na ujednání ZPP P - 200/05, podrobněji specifikuje zabezpečení pojištěných věcí proti krádeži a v uvedených případech proti loupeži a stanovuje tomu odpovídající limity pojistného plnění. </w:t>
      </w:r>
    </w:p>
    <w:p w:rsidR="007043CB" w:rsidRDefault="004B5C2E">
      <w:pPr>
        <w:numPr>
          <w:ilvl w:val="0"/>
          <w:numId w:val="12"/>
        </w:numPr>
        <w:ind w:hanging="271"/>
      </w:pPr>
      <w:r>
        <w:lastRenderedPageBreak/>
        <w:t xml:space="preserve">Pojistník a pojištěný jsou povinni zajistit, aby v době pojistné události podle jednotlivě požadovaných způsobů uložení a zabezpečení pojištěných věcí (v uzavřeném prostoru, na oploceném prostranství):  a) byly uzavírací a uzamykací mechanismy funkční,  </w:t>
      </w:r>
    </w:p>
    <w:p w:rsidR="007043CB" w:rsidRDefault="004B5C2E">
      <w:pPr>
        <w:numPr>
          <w:ilvl w:val="1"/>
          <w:numId w:val="12"/>
        </w:numPr>
        <w:ind w:hanging="274"/>
      </w:pPr>
      <w:r>
        <w:t>byly otevíratelné otvory, jako jsou okna, výlohy, světlíky aj., zevnitř uzavřeny, a pokud jsou otevíratelné zvenčí, i uzamčeny, dveře, vrata, vstupy, vjezdy apod. byly řádně uzavřeny a uzamčeny, ostatní otvory o velikosti 600 cm</w:t>
      </w:r>
      <w:r>
        <w:rPr>
          <w:vertAlign w:val="superscript"/>
        </w:rPr>
        <w:t>2</w:t>
      </w:r>
      <w:r>
        <w:t xml:space="preserve"> a větší zevnitř byly zneprůchodněny, </w:t>
      </w:r>
    </w:p>
    <w:p w:rsidR="007043CB" w:rsidRDefault="004B5C2E">
      <w:pPr>
        <w:numPr>
          <w:ilvl w:val="1"/>
          <w:numId w:val="12"/>
        </w:numPr>
        <w:ind w:hanging="274"/>
      </w:pPr>
      <w:r>
        <w:t xml:space="preserve">elektrický zabezpečovací systém byl funkční a ve stavu střežení, </w:t>
      </w:r>
    </w:p>
    <w:p w:rsidR="007043CB" w:rsidRDefault="004B5C2E">
      <w:pPr>
        <w:numPr>
          <w:ilvl w:val="1"/>
          <w:numId w:val="12"/>
        </w:numPr>
        <w:ind w:hanging="274"/>
      </w:pPr>
      <w:r>
        <w:t xml:space="preserve">schránky a trezory byly uzamčeny. </w:t>
      </w:r>
    </w:p>
    <w:p w:rsidR="007043CB" w:rsidRDefault="004B5C2E">
      <w:pPr>
        <w:numPr>
          <w:ilvl w:val="0"/>
          <w:numId w:val="12"/>
        </w:numPr>
        <w:ind w:hanging="271"/>
      </w:pPr>
      <w:r>
        <w:t xml:space="preserve">Klíče od dveří a vstupů, od trezorů a schránek nesmí být volně uloženy (uschovány) ve stejném místě pojištění (např. v pracovním stole, ve skříni na klíče, ve vrátnici), ve kterém jsou pojištěné věci uloženy. Nejsou-li splněny výše uvedené minimální požadavky na zabezpečení, pojistitel má právo odmítnout pojistné plnění. </w:t>
      </w:r>
    </w:p>
    <w:p w:rsidR="007043CB" w:rsidRDefault="004B5C2E">
      <w:pPr>
        <w:numPr>
          <w:ilvl w:val="0"/>
          <w:numId w:val="12"/>
        </w:numPr>
        <w:ind w:hanging="271"/>
      </w:pPr>
      <w:r>
        <w:t xml:space="preserve">Pojistitel může vyžadovat způsob zabezpečení vyššího stupně, pokud usoudí, že jde o vyšší riziko vzhledem k charakteru a hodnotě uloženého majetku nebo s ohledem na umístění objektu. Požadavky na uložení a zabezpečení pojištěných věcí podle jejich charakteru a hodnoty vztahující se k jednotlivým limitům plnění pojistitele jsou uvedeny dále v tabulce 1 až 4.  </w:t>
      </w:r>
    </w:p>
    <w:p w:rsidR="007043CB" w:rsidRDefault="004B5C2E">
      <w:pPr>
        <w:spacing w:after="0" w:line="259" w:lineRule="auto"/>
        <w:ind w:left="0" w:firstLine="0"/>
        <w:jc w:val="left"/>
      </w:pPr>
      <w:r>
        <w:t xml:space="preserve"> </w:t>
      </w:r>
    </w:p>
    <w:p w:rsidR="007043CB" w:rsidRDefault="004B5C2E">
      <w:pPr>
        <w:spacing w:after="7" w:line="250" w:lineRule="auto"/>
        <w:ind w:left="-5" w:hanging="10"/>
        <w:jc w:val="left"/>
      </w:pPr>
      <w:r>
        <w:rPr>
          <w:b/>
        </w:rPr>
        <w:t xml:space="preserve">I. Movité věci, a zásoby </w:t>
      </w:r>
      <w:r>
        <w:t>(</w:t>
      </w:r>
      <w:r>
        <w:rPr>
          <w:i/>
        </w:rPr>
        <w:t>ve výjimečných případech věci zvláštní hodnoty</w:t>
      </w:r>
      <w:r>
        <w:t>)</w:t>
      </w:r>
      <w:r>
        <w:rPr>
          <w:b/>
        </w:rPr>
        <w:t xml:space="preserve"> uložené v uzavřeném prostoru </w:t>
      </w:r>
    </w:p>
    <w:p w:rsidR="007043CB" w:rsidRDefault="004B5C2E">
      <w:pPr>
        <w:ind w:left="-15" w:firstLine="0"/>
      </w:pPr>
      <w:r>
        <w:t xml:space="preserve">Uzavřeným prostorem se rozumí prostor, ve kterém jsou uloženy pojištěné věci a který pojistník nebo pojištěný užívá sám a po právu. Prvky zabezpečující uzavřený prostor musí být provedeny tak, že z vnější přístupové strany je nelze demontovat běžnými nástroji, jako jsou šroubováky, kleště, montážní klíče apod., a nelze je z vnější přístupové strany překonat bez destruktivních metod. Podle charakteru materiálu, ze kterého jsou provedeny ohraničující konstrukce příslušného uzavřeného prostoru (plášť tvořený stěnami, podlahou, stropem, střechou, vstupními dveřmi, okny atd.), se </w:t>
      </w:r>
      <w:r>
        <w:rPr>
          <w:b/>
        </w:rPr>
        <w:t>uzavřený prostor</w:t>
      </w:r>
      <w:r>
        <w:t xml:space="preserve"> stavby nebo místnosti z hlediska odolnosti proti násilnému vniknutí rozlišuje na: </w:t>
      </w:r>
    </w:p>
    <w:p w:rsidR="007043CB" w:rsidRDefault="004B5C2E">
      <w:pPr>
        <w:spacing w:after="0" w:line="259" w:lineRule="auto"/>
        <w:ind w:left="0" w:firstLine="0"/>
        <w:jc w:val="left"/>
      </w:pPr>
      <w:r>
        <w:t xml:space="preserve"> </w:t>
      </w:r>
    </w:p>
    <w:p w:rsidR="007043CB" w:rsidRDefault="004B5C2E">
      <w:pPr>
        <w:ind w:left="-15" w:firstLine="0"/>
      </w:pPr>
      <w:r>
        <w:rPr>
          <w:b/>
        </w:rPr>
        <w:t>Typ A,</w:t>
      </w:r>
      <w:r>
        <w:t xml:space="preserve"> 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Stropy a podlahy musí vykazovat stejné vlastnosti. </w:t>
      </w:r>
    </w:p>
    <w:p w:rsidR="007043CB" w:rsidRDefault="004B5C2E">
      <w:pPr>
        <w:spacing w:after="0" w:line="259" w:lineRule="auto"/>
        <w:ind w:left="0" w:firstLine="0"/>
        <w:jc w:val="left"/>
      </w:pPr>
      <w:r>
        <w:t xml:space="preserve"> </w:t>
      </w:r>
    </w:p>
    <w:p w:rsidR="007043CB" w:rsidRDefault="004B5C2E">
      <w:pPr>
        <w:ind w:left="-15" w:firstLine="0"/>
      </w:pPr>
      <w:r>
        <w:rPr>
          <w:b/>
        </w:rPr>
        <w:t>Typ B,</w:t>
      </w:r>
      <w:r>
        <w:t xml:space="preserve"> uzavřený prostor typu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 Jde např. o obytné, kancelářské nebo stavební buňky, kiosky, maringotky apod.  </w:t>
      </w:r>
    </w:p>
    <w:p w:rsidR="007043CB" w:rsidRDefault="004B5C2E">
      <w:pPr>
        <w:spacing w:after="0" w:line="259" w:lineRule="auto"/>
        <w:ind w:left="0" w:firstLine="0"/>
        <w:jc w:val="left"/>
      </w:pPr>
      <w:r>
        <w:t xml:space="preserve"> </w:t>
      </w:r>
    </w:p>
    <w:p w:rsidR="007043CB" w:rsidRDefault="004B5C2E">
      <w:pPr>
        <w:ind w:left="-15" w:firstLine="0"/>
      </w:pPr>
      <w:r>
        <w:rPr>
          <w:b/>
        </w:rPr>
        <w:t>Typ C,</w:t>
      </w:r>
      <w:r>
        <w:t xml:space="preserve"> uzavřený prostor vnitřní - stavebně ohraničený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(příčky z pórobetonu, dutých cihel, sádrokartonu, dřeva apod.). Stropy a podlahy musí vykazovat stejné vlastnosti. </w:t>
      </w:r>
    </w:p>
    <w:p w:rsidR="007043CB" w:rsidRDefault="004B5C2E">
      <w:pPr>
        <w:ind w:left="-15" w:firstLine="0"/>
      </w:pPr>
      <w:r>
        <w:t xml:space="preserve">Za uzavřený prostor se nepovažuje prostor motorového vozidla. </w:t>
      </w:r>
    </w:p>
    <w:p w:rsidR="007043CB" w:rsidRDefault="004B5C2E">
      <w:pPr>
        <w:spacing w:after="0" w:line="259" w:lineRule="auto"/>
        <w:ind w:left="0" w:firstLine="0"/>
        <w:jc w:val="left"/>
      </w:pPr>
      <w:r>
        <w:t xml:space="preserve"> </w:t>
      </w:r>
    </w:p>
    <w:p w:rsidR="007043CB" w:rsidRDefault="004B5C2E">
      <w:pPr>
        <w:spacing w:after="0" w:line="259" w:lineRule="auto"/>
        <w:ind w:left="0" w:firstLine="0"/>
        <w:jc w:val="left"/>
      </w:pPr>
      <w:r>
        <w:t xml:space="preserve"> </w:t>
      </w:r>
    </w:p>
    <w:p w:rsidR="007043CB" w:rsidRDefault="004B5C2E">
      <w:pPr>
        <w:numPr>
          <w:ilvl w:val="0"/>
          <w:numId w:val="13"/>
        </w:numPr>
        <w:spacing w:after="7" w:line="250" w:lineRule="auto"/>
        <w:ind w:hanging="185"/>
        <w:jc w:val="left"/>
      </w:pPr>
      <w:r>
        <w:rPr>
          <w:b/>
        </w:rPr>
        <w:t xml:space="preserve">Movité věci a zásoby </w:t>
      </w:r>
      <w:r>
        <w:t>(</w:t>
      </w:r>
      <w:r>
        <w:rPr>
          <w:i/>
        </w:rPr>
        <w:t>ve výjimečných případech věci zvláštní hodnoty</w:t>
      </w:r>
      <w:r>
        <w:t>)</w:t>
      </w:r>
      <w:r>
        <w:rPr>
          <w:b/>
        </w:rPr>
        <w:t xml:space="preserve"> uložené v uzavřeném prostoru typu „A“. </w:t>
      </w:r>
    </w:p>
    <w:p w:rsidR="007043CB" w:rsidRDefault="004B5C2E">
      <w:pPr>
        <w:spacing w:after="7" w:line="250" w:lineRule="auto"/>
        <w:ind w:left="-5" w:hanging="10"/>
        <w:jc w:val="left"/>
      </w:pPr>
      <w:r>
        <w:t xml:space="preserve">Tabulka č. 1 </w:t>
      </w:r>
      <w:r>
        <w:rPr>
          <w:b/>
        </w:rPr>
        <w:t xml:space="preserve">Požadavky na způsoby zabezpečení proti odcizení krádeží </w:t>
      </w:r>
    </w:p>
    <w:tbl>
      <w:tblPr>
        <w:tblStyle w:val="TableGrid"/>
        <w:tblW w:w="9964" w:type="dxa"/>
        <w:tblInd w:w="1" w:type="dxa"/>
        <w:tblCellMar>
          <w:top w:w="32" w:type="dxa"/>
          <w:left w:w="65" w:type="dxa"/>
          <w:right w:w="24" w:type="dxa"/>
        </w:tblCellMar>
        <w:tblLook w:val="04A0" w:firstRow="1" w:lastRow="0" w:firstColumn="1" w:lastColumn="0" w:noHBand="0" w:noVBand="1"/>
      </w:tblPr>
      <w:tblGrid>
        <w:gridCol w:w="633"/>
        <w:gridCol w:w="1560"/>
        <w:gridCol w:w="1844"/>
        <w:gridCol w:w="5927"/>
      </w:tblGrid>
      <w:tr w:rsidR="007043CB">
        <w:trPr>
          <w:trHeight w:val="267"/>
        </w:trPr>
        <w:tc>
          <w:tcPr>
            <w:tcW w:w="633" w:type="dxa"/>
            <w:vMerge w:val="restart"/>
            <w:tcBorders>
              <w:top w:val="single" w:sz="12" w:space="0" w:color="000000"/>
              <w:left w:val="single" w:sz="12" w:space="0" w:color="000000"/>
              <w:bottom w:val="single" w:sz="6" w:space="0" w:color="000000"/>
              <w:right w:val="single" w:sz="6" w:space="0" w:color="000000"/>
            </w:tcBorders>
            <w:shd w:val="clear" w:color="auto" w:fill="CCCCCC"/>
            <w:vAlign w:val="center"/>
          </w:tcPr>
          <w:p w:rsidR="007043CB" w:rsidRDefault="004B5C2E">
            <w:pPr>
              <w:spacing w:after="0" w:line="259" w:lineRule="auto"/>
              <w:ind w:left="1" w:firstLine="0"/>
              <w:jc w:val="left"/>
            </w:pPr>
            <w:r>
              <w:rPr>
                <w:b/>
                <w:sz w:val="16"/>
              </w:rPr>
              <w:t xml:space="preserve">Kód </w:t>
            </w:r>
          </w:p>
        </w:tc>
        <w:tc>
          <w:tcPr>
            <w:tcW w:w="1560" w:type="dxa"/>
            <w:vMerge w:val="restart"/>
            <w:tcBorders>
              <w:top w:val="single" w:sz="12" w:space="0" w:color="000000"/>
              <w:left w:val="single" w:sz="6" w:space="0" w:color="000000"/>
              <w:bottom w:val="single" w:sz="6" w:space="0" w:color="000000"/>
              <w:right w:val="single" w:sz="6" w:space="0" w:color="000000"/>
            </w:tcBorders>
            <w:shd w:val="clear" w:color="auto" w:fill="CCCCCC"/>
            <w:vAlign w:val="center"/>
          </w:tcPr>
          <w:p w:rsidR="007043CB" w:rsidRDefault="004B5C2E">
            <w:pPr>
              <w:spacing w:after="0" w:line="259" w:lineRule="auto"/>
              <w:ind w:left="5" w:firstLine="0"/>
              <w:jc w:val="left"/>
            </w:pPr>
            <w:r>
              <w:rPr>
                <w:b/>
                <w:sz w:val="16"/>
              </w:rPr>
              <w:t xml:space="preserve">Limit plnění (Kč) </w:t>
            </w:r>
          </w:p>
        </w:tc>
        <w:tc>
          <w:tcPr>
            <w:tcW w:w="7771" w:type="dxa"/>
            <w:gridSpan w:val="2"/>
            <w:tcBorders>
              <w:top w:val="single" w:sz="12" w:space="0" w:color="000000"/>
              <w:left w:val="single" w:sz="6" w:space="0" w:color="000000"/>
              <w:bottom w:val="single" w:sz="9" w:space="0" w:color="CCCCCC"/>
              <w:right w:val="single" w:sz="12" w:space="0" w:color="000000"/>
            </w:tcBorders>
            <w:shd w:val="clear" w:color="auto" w:fill="CCCCCC"/>
          </w:tcPr>
          <w:p w:rsidR="007043CB" w:rsidRDefault="004B5C2E">
            <w:pPr>
              <w:spacing w:after="0" w:line="259" w:lineRule="auto"/>
              <w:ind w:left="5" w:firstLine="0"/>
              <w:jc w:val="left"/>
            </w:pPr>
            <w:r>
              <w:rPr>
                <w:b/>
                <w:sz w:val="16"/>
              </w:rPr>
              <w:t xml:space="preserve">Požadovaný minimální způsob zabezpečení uzavřeného prostoru </w:t>
            </w:r>
          </w:p>
        </w:tc>
      </w:tr>
      <w:tr w:rsidR="007043CB">
        <w:trPr>
          <w:trHeight w:val="260"/>
        </w:trPr>
        <w:tc>
          <w:tcPr>
            <w:tcW w:w="0" w:type="auto"/>
            <w:vMerge/>
            <w:tcBorders>
              <w:top w:val="nil"/>
              <w:left w:val="single" w:sz="12"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1844" w:type="dxa"/>
            <w:tcBorders>
              <w:top w:val="single" w:sz="9" w:space="0" w:color="CCCCCC"/>
              <w:left w:val="single" w:sz="6" w:space="0" w:color="000000"/>
              <w:bottom w:val="single" w:sz="6" w:space="0" w:color="000000"/>
              <w:right w:val="single" w:sz="4" w:space="0" w:color="000000"/>
            </w:tcBorders>
            <w:shd w:val="clear" w:color="auto" w:fill="CCCCCC"/>
          </w:tcPr>
          <w:p w:rsidR="007043CB" w:rsidRDefault="004B5C2E">
            <w:pPr>
              <w:spacing w:after="0" w:line="259" w:lineRule="auto"/>
              <w:ind w:left="5" w:firstLine="0"/>
              <w:jc w:val="left"/>
            </w:pPr>
            <w:r>
              <w:rPr>
                <w:b/>
                <w:sz w:val="16"/>
              </w:rPr>
              <w:t xml:space="preserve">prvek zabezpečení </w:t>
            </w:r>
          </w:p>
        </w:tc>
        <w:tc>
          <w:tcPr>
            <w:tcW w:w="5928" w:type="dxa"/>
            <w:tcBorders>
              <w:top w:val="single" w:sz="9" w:space="0" w:color="CCCCCC"/>
              <w:left w:val="single" w:sz="4" w:space="0" w:color="000000"/>
              <w:bottom w:val="single" w:sz="6" w:space="0" w:color="000000"/>
              <w:right w:val="single" w:sz="12" w:space="0" w:color="000000"/>
            </w:tcBorders>
            <w:shd w:val="clear" w:color="auto" w:fill="CCCCCC"/>
          </w:tcPr>
          <w:p w:rsidR="007043CB" w:rsidRDefault="004B5C2E">
            <w:pPr>
              <w:spacing w:after="0" w:line="259" w:lineRule="auto"/>
              <w:ind w:left="5" w:firstLine="0"/>
              <w:jc w:val="left"/>
            </w:pPr>
            <w:r>
              <w:rPr>
                <w:b/>
                <w:sz w:val="16"/>
              </w:rPr>
              <w:t xml:space="preserve">kvalita prvku zabezpečení </w:t>
            </w:r>
          </w:p>
        </w:tc>
      </w:tr>
      <w:tr w:rsidR="007043CB">
        <w:trPr>
          <w:trHeight w:val="208"/>
        </w:trPr>
        <w:tc>
          <w:tcPr>
            <w:tcW w:w="633" w:type="dxa"/>
            <w:tcBorders>
              <w:top w:val="single" w:sz="6" w:space="0" w:color="000000"/>
              <w:left w:val="single" w:sz="12" w:space="0" w:color="000000"/>
              <w:bottom w:val="single" w:sz="6" w:space="0" w:color="000000"/>
              <w:right w:val="single" w:sz="6" w:space="0" w:color="000000"/>
            </w:tcBorders>
          </w:tcPr>
          <w:p w:rsidR="007043CB" w:rsidRDefault="004B5C2E">
            <w:pPr>
              <w:spacing w:after="0" w:line="259" w:lineRule="auto"/>
              <w:ind w:left="1" w:firstLine="0"/>
              <w:jc w:val="left"/>
            </w:pPr>
            <w:r>
              <w:rPr>
                <w:sz w:val="16"/>
              </w:rPr>
              <w:t xml:space="preserve">A1 </w:t>
            </w:r>
          </w:p>
        </w:tc>
        <w:tc>
          <w:tcPr>
            <w:tcW w:w="156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5" w:firstLine="0"/>
              <w:jc w:val="left"/>
            </w:pPr>
            <w:r>
              <w:rPr>
                <w:sz w:val="16"/>
              </w:rPr>
              <w:t xml:space="preserve">do 20 000 </w:t>
            </w:r>
          </w:p>
        </w:tc>
        <w:tc>
          <w:tcPr>
            <w:tcW w:w="7771" w:type="dxa"/>
            <w:gridSpan w:val="2"/>
            <w:tcBorders>
              <w:top w:val="single" w:sz="6" w:space="0" w:color="000000"/>
              <w:left w:val="single" w:sz="6" w:space="0" w:color="000000"/>
              <w:bottom w:val="single" w:sz="6" w:space="0" w:color="000000"/>
              <w:right w:val="single" w:sz="12" w:space="0" w:color="000000"/>
            </w:tcBorders>
          </w:tcPr>
          <w:p w:rsidR="007043CB" w:rsidRDefault="004B5C2E">
            <w:pPr>
              <w:spacing w:after="0" w:line="259" w:lineRule="auto"/>
              <w:ind w:left="5" w:firstLine="0"/>
              <w:jc w:val="left"/>
            </w:pPr>
            <w:r>
              <w:rPr>
                <w:sz w:val="16"/>
              </w:rPr>
              <w:t xml:space="preserve">Zabezpečení podle odst. 1. této doložky – dále nespecifikováno. </w:t>
            </w:r>
          </w:p>
        </w:tc>
      </w:tr>
      <w:tr w:rsidR="007043CB">
        <w:trPr>
          <w:trHeight w:val="214"/>
        </w:trPr>
        <w:tc>
          <w:tcPr>
            <w:tcW w:w="633" w:type="dxa"/>
            <w:vMerge w:val="restart"/>
            <w:tcBorders>
              <w:top w:val="single" w:sz="6" w:space="0" w:color="000000"/>
              <w:left w:val="single" w:sz="12" w:space="0" w:color="000000"/>
              <w:bottom w:val="single" w:sz="6" w:space="0" w:color="000000"/>
              <w:right w:val="single" w:sz="6" w:space="0" w:color="000000"/>
            </w:tcBorders>
          </w:tcPr>
          <w:p w:rsidR="007043CB" w:rsidRDefault="004B5C2E">
            <w:pPr>
              <w:spacing w:after="0" w:line="259" w:lineRule="auto"/>
              <w:ind w:left="1" w:firstLine="0"/>
              <w:jc w:val="left"/>
            </w:pPr>
            <w:r>
              <w:rPr>
                <w:sz w:val="16"/>
              </w:rPr>
              <w:t xml:space="preserve">A2 </w:t>
            </w:r>
          </w:p>
        </w:tc>
        <w:tc>
          <w:tcPr>
            <w:tcW w:w="1560" w:type="dxa"/>
            <w:vMerge w:val="restart"/>
            <w:tcBorders>
              <w:top w:val="single" w:sz="6" w:space="0" w:color="000000"/>
              <w:left w:val="single" w:sz="6" w:space="0" w:color="000000"/>
              <w:bottom w:val="single" w:sz="4" w:space="0" w:color="000000"/>
              <w:right w:val="single" w:sz="6" w:space="0" w:color="000000"/>
            </w:tcBorders>
          </w:tcPr>
          <w:p w:rsidR="007043CB" w:rsidRDefault="004B5C2E">
            <w:pPr>
              <w:spacing w:after="0" w:line="259" w:lineRule="auto"/>
              <w:ind w:left="5" w:firstLine="0"/>
              <w:jc w:val="left"/>
            </w:pPr>
            <w:r>
              <w:rPr>
                <w:sz w:val="16"/>
              </w:rPr>
              <w:t xml:space="preserve">do 50 000 </w:t>
            </w: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dveře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5" w:firstLine="0"/>
              <w:jc w:val="left"/>
            </w:pPr>
            <w:r>
              <w:rPr>
                <w:b/>
                <w:sz w:val="16"/>
              </w:rPr>
              <w:t>běžné</w:t>
            </w:r>
            <w:r>
              <w:rPr>
                <w:sz w:val="16"/>
              </w:rPr>
              <w:t xml:space="preserve"> </w:t>
            </w:r>
          </w:p>
        </w:tc>
      </w:tr>
      <w:tr w:rsidR="007043CB">
        <w:trPr>
          <w:trHeight w:val="595"/>
        </w:trPr>
        <w:tc>
          <w:tcPr>
            <w:tcW w:w="0" w:type="auto"/>
            <w:vMerge/>
            <w:tcBorders>
              <w:top w:val="nil"/>
              <w:left w:val="single" w:sz="12"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single" w:sz="4" w:space="0" w:color="000000"/>
              <w:right w:val="single" w:sz="6" w:space="0" w:color="000000"/>
            </w:tcBorders>
          </w:tcPr>
          <w:p w:rsidR="007043CB" w:rsidRDefault="007043CB">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zámek dveří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numPr>
                <w:ilvl w:val="0"/>
                <w:numId w:val="56"/>
              </w:numPr>
              <w:spacing w:after="0" w:line="259" w:lineRule="auto"/>
              <w:ind w:hanging="89"/>
              <w:jc w:val="left"/>
            </w:pPr>
            <w:r>
              <w:rPr>
                <w:b/>
                <w:sz w:val="16"/>
              </w:rPr>
              <w:t>dozický</w:t>
            </w:r>
            <w:r>
              <w:rPr>
                <w:sz w:val="16"/>
              </w:rPr>
              <w:t xml:space="preserve"> </w:t>
            </w:r>
            <w:r>
              <w:rPr>
                <w:i/>
                <w:sz w:val="16"/>
              </w:rPr>
              <w:t>nebo</w:t>
            </w:r>
            <w:r>
              <w:rPr>
                <w:sz w:val="16"/>
              </w:rPr>
              <w:t xml:space="preserve"> </w:t>
            </w:r>
          </w:p>
          <w:p w:rsidR="007043CB" w:rsidRDefault="004B5C2E">
            <w:pPr>
              <w:numPr>
                <w:ilvl w:val="0"/>
                <w:numId w:val="56"/>
              </w:numPr>
              <w:spacing w:after="0" w:line="259" w:lineRule="auto"/>
              <w:ind w:hanging="89"/>
              <w:jc w:val="left"/>
            </w:pPr>
            <w:r>
              <w:rPr>
                <w:b/>
                <w:sz w:val="16"/>
              </w:rPr>
              <w:t>bezpečnostní visací</w:t>
            </w:r>
            <w:r>
              <w:rPr>
                <w:sz w:val="16"/>
              </w:rPr>
              <w:t xml:space="preserve"> </w:t>
            </w:r>
            <w:r>
              <w:rPr>
                <w:i/>
                <w:sz w:val="16"/>
              </w:rPr>
              <w:t>nebo</w:t>
            </w:r>
            <w:r>
              <w:rPr>
                <w:sz w:val="16"/>
              </w:rPr>
              <w:t xml:space="preserve"> </w:t>
            </w:r>
          </w:p>
          <w:p w:rsidR="007043CB" w:rsidRDefault="004B5C2E">
            <w:pPr>
              <w:numPr>
                <w:ilvl w:val="0"/>
                <w:numId w:val="56"/>
              </w:numPr>
              <w:spacing w:after="0" w:line="259" w:lineRule="auto"/>
              <w:ind w:hanging="89"/>
              <w:jc w:val="left"/>
            </w:pPr>
            <w:r>
              <w:rPr>
                <w:sz w:val="16"/>
              </w:rPr>
              <w:t xml:space="preserve">zámek s </w:t>
            </w:r>
            <w:r>
              <w:rPr>
                <w:b/>
                <w:sz w:val="16"/>
              </w:rPr>
              <w:t>bezpečnostní cylindrickou vložkou</w:t>
            </w:r>
            <w:r>
              <w:rPr>
                <w:sz w:val="16"/>
              </w:rPr>
              <w:t xml:space="preserve"> </w:t>
            </w:r>
          </w:p>
        </w:tc>
      </w:tr>
      <w:tr w:rsidR="007043CB">
        <w:trPr>
          <w:trHeight w:val="212"/>
        </w:trPr>
        <w:tc>
          <w:tcPr>
            <w:tcW w:w="633" w:type="dxa"/>
            <w:vMerge w:val="restart"/>
            <w:tcBorders>
              <w:top w:val="single" w:sz="6" w:space="0" w:color="000000"/>
              <w:left w:val="single" w:sz="12" w:space="0" w:color="000000"/>
              <w:bottom w:val="single" w:sz="6" w:space="0" w:color="000000"/>
              <w:right w:val="single" w:sz="6" w:space="0" w:color="000000"/>
            </w:tcBorders>
          </w:tcPr>
          <w:p w:rsidR="007043CB" w:rsidRDefault="004B5C2E">
            <w:pPr>
              <w:spacing w:after="0" w:line="259" w:lineRule="auto"/>
              <w:ind w:left="1" w:firstLine="0"/>
              <w:jc w:val="left"/>
            </w:pPr>
            <w:r>
              <w:rPr>
                <w:sz w:val="16"/>
              </w:rPr>
              <w:t xml:space="preserve">A3 </w:t>
            </w:r>
          </w:p>
        </w:tc>
        <w:tc>
          <w:tcPr>
            <w:tcW w:w="1560" w:type="dxa"/>
            <w:vMerge w:val="restart"/>
            <w:tcBorders>
              <w:top w:val="single" w:sz="4" w:space="0" w:color="000000"/>
              <w:left w:val="single" w:sz="6" w:space="0" w:color="000000"/>
              <w:bottom w:val="single" w:sz="6" w:space="0" w:color="000000"/>
              <w:right w:val="single" w:sz="6" w:space="0" w:color="000000"/>
            </w:tcBorders>
          </w:tcPr>
          <w:p w:rsidR="007043CB" w:rsidRDefault="004B5C2E">
            <w:pPr>
              <w:spacing w:after="0" w:line="259" w:lineRule="auto"/>
              <w:ind w:left="5" w:firstLine="0"/>
              <w:jc w:val="left"/>
            </w:pPr>
            <w:r>
              <w:rPr>
                <w:sz w:val="16"/>
              </w:rPr>
              <w:t xml:space="preserve">do 100 000 </w:t>
            </w: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dveře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5" w:firstLine="0"/>
              <w:jc w:val="left"/>
            </w:pPr>
            <w:r>
              <w:rPr>
                <w:b/>
                <w:sz w:val="16"/>
              </w:rPr>
              <w:t>plné</w:t>
            </w:r>
            <w:r>
              <w:rPr>
                <w:sz w:val="16"/>
              </w:rPr>
              <w:t xml:space="preserve"> </w:t>
            </w:r>
          </w:p>
        </w:tc>
      </w:tr>
      <w:tr w:rsidR="007043CB">
        <w:trPr>
          <w:trHeight w:val="790"/>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7043CB" w:rsidRDefault="007043CB">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zámek dveří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5" w:right="40" w:firstLine="0"/>
            </w:pPr>
            <w:r>
              <w:rPr>
                <w:b/>
                <w:sz w:val="16"/>
              </w:rPr>
              <w:t>- zámek s bezpečnostní cylindrickou vložkou a bezpečnostním kováním</w:t>
            </w:r>
            <w:r>
              <w:rPr>
                <w:sz w:val="16"/>
              </w:rPr>
              <w:t xml:space="preserve"> </w:t>
            </w:r>
            <w:r>
              <w:rPr>
                <w:i/>
                <w:sz w:val="16"/>
              </w:rPr>
              <w:t>nebo</w:t>
            </w:r>
            <w:r>
              <w:rPr>
                <w:sz w:val="16"/>
              </w:rPr>
              <w:t xml:space="preserve"> - zámek s </w:t>
            </w:r>
            <w:r>
              <w:rPr>
                <w:b/>
                <w:sz w:val="16"/>
              </w:rPr>
              <w:t xml:space="preserve">bezpečnostní cylindrickou vložkou </w:t>
            </w:r>
            <w:r>
              <w:rPr>
                <w:sz w:val="16"/>
              </w:rPr>
              <w:t xml:space="preserve">a současně otevíratelná </w:t>
            </w:r>
            <w:r>
              <w:rPr>
                <w:b/>
                <w:sz w:val="16"/>
              </w:rPr>
              <w:t xml:space="preserve">funkční mříž </w:t>
            </w:r>
            <w:r>
              <w:rPr>
                <w:sz w:val="16"/>
              </w:rPr>
              <w:t xml:space="preserve">nebo </w:t>
            </w:r>
            <w:r>
              <w:rPr>
                <w:b/>
                <w:sz w:val="16"/>
              </w:rPr>
              <w:t xml:space="preserve">funkční roleta </w:t>
            </w:r>
            <w:r>
              <w:rPr>
                <w:i/>
                <w:sz w:val="16"/>
              </w:rPr>
              <w:t>nebo</w:t>
            </w:r>
            <w:r>
              <w:rPr>
                <w:sz w:val="16"/>
              </w:rPr>
              <w:t xml:space="preserve"> - dva </w:t>
            </w:r>
            <w:r>
              <w:rPr>
                <w:b/>
                <w:sz w:val="16"/>
              </w:rPr>
              <w:t>bezpečnostní visací zámky</w:t>
            </w:r>
            <w:r>
              <w:rPr>
                <w:sz w:val="16"/>
              </w:rPr>
              <w:t xml:space="preserve"> </w:t>
            </w:r>
          </w:p>
        </w:tc>
      </w:tr>
      <w:tr w:rsidR="007043CB">
        <w:trPr>
          <w:trHeight w:val="206"/>
        </w:trPr>
        <w:tc>
          <w:tcPr>
            <w:tcW w:w="0" w:type="auto"/>
            <w:vMerge/>
            <w:tcBorders>
              <w:top w:val="nil"/>
              <w:left w:val="single" w:sz="12"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prosklené plochy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5" w:firstLine="0"/>
              <w:jc w:val="left"/>
            </w:pPr>
            <w:r>
              <w:rPr>
                <w:sz w:val="16"/>
              </w:rPr>
              <w:t xml:space="preserve">zabezpečení prosklených částí dveří </w:t>
            </w:r>
          </w:p>
        </w:tc>
      </w:tr>
      <w:tr w:rsidR="007043CB">
        <w:trPr>
          <w:trHeight w:val="211"/>
        </w:trPr>
        <w:tc>
          <w:tcPr>
            <w:tcW w:w="633" w:type="dxa"/>
            <w:vMerge w:val="restart"/>
            <w:tcBorders>
              <w:top w:val="single" w:sz="6" w:space="0" w:color="000000"/>
              <w:left w:val="single" w:sz="12" w:space="0" w:color="000000"/>
              <w:bottom w:val="single" w:sz="6" w:space="0" w:color="000000"/>
              <w:right w:val="single" w:sz="6" w:space="0" w:color="000000"/>
            </w:tcBorders>
          </w:tcPr>
          <w:p w:rsidR="007043CB" w:rsidRDefault="004B5C2E">
            <w:pPr>
              <w:spacing w:after="0" w:line="259" w:lineRule="auto"/>
              <w:ind w:left="1" w:firstLine="0"/>
              <w:jc w:val="left"/>
            </w:pPr>
            <w:r>
              <w:rPr>
                <w:sz w:val="16"/>
              </w:rPr>
              <w:t xml:space="preserve">A4 </w:t>
            </w:r>
          </w:p>
        </w:tc>
        <w:tc>
          <w:tcPr>
            <w:tcW w:w="1560" w:type="dxa"/>
            <w:vMerge w:val="restart"/>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5" w:firstLine="0"/>
              <w:jc w:val="left"/>
            </w:pPr>
            <w:r>
              <w:rPr>
                <w:sz w:val="16"/>
              </w:rPr>
              <w:t xml:space="preserve">do 300 000 </w:t>
            </w: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dveře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5" w:firstLine="0"/>
              <w:jc w:val="left"/>
            </w:pPr>
            <w:r>
              <w:rPr>
                <w:b/>
                <w:sz w:val="16"/>
              </w:rPr>
              <w:t>plné</w:t>
            </w:r>
            <w:r>
              <w:rPr>
                <w:sz w:val="16"/>
              </w:rPr>
              <w:t xml:space="preserve"> </w:t>
            </w:r>
          </w:p>
        </w:tc>
      </w:tr>
      <w:tr w:rsidR="007043CB">
        <w:trPr>
          <w:trHeight w:val="595"/>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7043CB" w:rsidRDefault="007043CB">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zámek dveří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numPr>
                <w:ilvl w:val="0"/>
                <w:numId w:val="57"/>
              </w:numPr>
              <w:spacing w:after="0" w:line="259" w:lineRule="auto"/>
              <w:ind w:firstLine="0"/>
              <w:jc w:val="left"/>
            </w:pPr>
            <w:r>
              <w:rPr>
                <w:b/>
                <w:sz w:val="16"/>
              </w:rPr>
              <w:t>bezpečnostní uzamykací systém</w:t>
            </w:r>
            <w:r>
              <w:rPr>
                <w:sz w:val="16"/>
              </w:rPr>
              <w:t xml:space="preserve"> </w:t>
            </w:r>
            <w:r>
              <w:rPr>
                <w:i/>
                <w:sz w:val="16"/>
              </w:rPr>
              <w:t>nebo</w:t>
            </w:r>
            <w:r>
              <w:rPr>
                <w:sz w:val="16"/>
              </w:rPr>
              <w:t xml:space="preserve"> </w:t>
            </w:r>
          </w:p>
          <w:p w:rsidR="007043CB" w:rsidRDefault="004B5C2E">
            <w:pPr>
              <w:numPr>
                <w:ilvl w:val="0"/>
                <w:numId w:val="57"/>
              </w:numPr>
              <w:spacing w:after="0" w:line="259" w:lineRule="auto"/>
              <w:ind w:firstLine="0"/>
              <w:jc w:val="left"/>
            </w:pPr>
            <w:r>
              <w:rPr>
                <w:sz w:val="16"/>
              </w:rPr>
              <w:t xml:space="preserve">zámek s </w:t>
            </w:r>
            <w:r>
              <w:rPr>
                <w:b/>
                <w:sz w:val="16"/>
              </w:rPr>
              <w:t xml:space="preserve">bezpečnostní cylindrickou vložkou </w:t>
            </w:r>
            <w:r>
              <w:rPr>
                <w:sz w:val="16"/>
              </w:rPr>
              <w:t xml:space="preserve">a současně otevíratelná </w:t>
            </w:r>
            <w:r>
              <w:rPr>
                <w:b/>
                <w:sz w:val="16"/>
              </w:rPr>
              <w:t xml:space="preserve">funkční mříž </w:t>
            </w:r>
            <w:r>
              <w:rPr>
                <w:sz w:val="16"/>
              </w:rPr>
              <w:t xml:space="preserve">nebo </w:t>
            </w:r>
            <w:r>
              <w:rPr>
                <w:b/>
                <w:sz w:val="16"/>
              </w:rPr>
              <w:t>funkční roleta</w:t>
            </w:r>
            <w:r>
              <w:rPr>
                <w:sz w:val="16"/>
              </w:rPr>
              <w:t xml:space="preserve"> </w:t>
            </w:r>
          </w:p>
        </w:tc>
      </w:tr>
      <w:tr w:rsidR="007043CB">
        <w:trPr>
          <w:trHeight w:val="401"/>
        </w:trPr>
        <w:tc>
          <w:tcPr>
            <w:tcW w:w="0" w:type="auto"/>
            <w:vMerge/>
            <w:tcBorders>
              <w:top w:val="nil"/>
              <w:left w:val="single" w:sz="12"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prosklené plochy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5" w:firstLine="0"/>
            </w:pPr>
            <w:r>
              <w:rPr>
                <w:sz w:val="16"/>
              </w:rPr>
              <w:t xml:space="preserve">zabezpečení prosklených částí </w:t>
            </w:r>
            <w:r>
              <w:rPr>
                <w:b/>
                <w:sz w:val="16"/>
              </w:rPr>
              <w:t>oken</w:t>
            </w:r>
            <w:r>
              <w:rPr>
                <w:sz w:val="16"/>
              </w:rPr>
              <w:t>,</w:t>
            </w:r>
            <w:r>
              <w:rPr>
                <w:b/>
                <w:sz w:val="16"/>
              </w:rPr>
              <w:t xml:space="preserve"> dveří</w:t>
            </w:r>
            <w:r>
              <w:rPr>
                <w:sz w:val="16"/>
              </w:rPr>
              <w:t xml:space="preserve"> a </w:t>
            </w:r>
            <w:r>
              <w:rPr>
                <w:b/>
                <w:sz w:val="16"/>
              </w:rPr>
              <w:t xml:space="preserve">jiných technických otvorů </w:t>
            </w:r>
            <w:r>
              <w:rPr>
                <w:sz w:val="16"/>
              </w:rPr>
              <w:t xml:space="preserve">s plochou </w:t>
            </w:r>
          </w:p>
          <w:p w:rsidR="007043CB" w:rsidRDefault="004B5C2E">
            <w:pPr>
              <w:spacing w:after="0" w:line="259" w:lineRule="auto"/>
              <w:ind w:left="5" w:firstLine="0"/>
              <w:jc w:val="left"/>
            </w:pPr>
            <w:r>
              <w:rPr>
                <w:sz w:val="16"/>
              </w:rPr>
              <w:t>větší než 600 cm</w:t>
            </w:r>
            <w:r>
              <w:rPr>
                <w:sz w:val="16"/>
                <w:vertAlign w:val="superscript"/>
              </w:rPr>
              <w:t>2</w:t>
            </w:r>
            <w:r>
              <w:rPr>
                <w:b/>
                <w:sz w:val="16"/>
                <w:vertAlign w:val="superscript"/>
              </w:rPr>
              <w:t xml:space="preserve"> </w:t>
            </w:r>
          </w:p>
        </w:tc>
      </w:tr>
      <w:tr w:rsidR="007043CB">
        <w:trPr>
          <w:trHeight w:val="214"/>
        </w:trPr>
        <w:tc>
          <w:tcPr>
            <w:tcW w:w="633" w:type="dxa"/>
            <w:vMerge w:val="restart"/>
            <w:tcBorders>
              <w:top w:val="single" w:sz="6" w:space="0" w:color="000000"/>
              <w:left w:val="single" w:sz="12" w:space="0" w:color="000000"/>
              <w:bottom w:val="single" w:sz="4" w:space="0" w:color="000000"/>
              <w:right w:val="single" w:sz="6" w:space="0" w:color="000000"/>
            </w:tcBorders>
          </w:tcPr>
          <w:p w:rsidR="007043CB" w:rsidRDefault="004B5C2E">
            <w:pPr>
              <w:spacing w:after="0" w:line="259" w:lineRule="auto"/>
              <w:ind w:left="1" w:firstLine="0"/>
              <w:jc w:val="left"/>
            </w:pPr>
            <w:r>
              <w:rPr>
                <w:sz w:val="16"/>
              </w:rPr>
              <w:t xml:space="preserve">A5 </w:t>
            </w:r>
          </w:p>
        </w:tc>
        <w:tc>
          <w:tcPr>
            <w:tcW w:w="1560" w:type="dxa"/>
            <w:vMerge w:val="restart"/>
            <w:tcBorders>
              <w:top w:val="single" w:sz="6" w:space="0" w:color="000000"/>
              <w:left w:val="single" w:sz="6" w:space="0" w:color="000000"/>
              <w:bottom w:val="single" w:sz="4" w:space="0" w:color="000000"/>
              <w:right w:val="single" w:sz="6" w:space="0" w:color="000000"/>
            </w:tcBorders>
          </w:tcPr>
          <w:p w:rsidR="007043CB" w:rsidRDefault="004B5C2E">
            <w:pPr>
              <w:spacing w:after="0" w:line="259" w:lineRule="auto"/>
              <w:ind w:left="5" w:firstLine="0"/>
              <w:jc w:val="left"/>
            </w:pPr>
            <w:r>
              <w:rPr>
                <w:sz w:val="16"/>
              </w:rPr>
              <w:t xml:space="preserve">do 500 000 </w:t>
            </w: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dveře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5" w:firstLine="0"/>
              <w:jc w:val="left"/>
            </w:pPr>
            <w:r>
              <w:rPr>
                <w:b/>
                <w:sz w:val="16"/>
              </w:rPr>
              <w:t xml:space="preserve">plné </w:t>
            </w:r>
          </w:p>
        </w:tc>
      </w:tr>
      <w:tr w:rsidR="007043CB">
        <w:trPr>
          <w:trHeight w:val="787"/>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7043CB" w:rsidRDefault="007043CB">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zámek dveří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numPr>
                <w:ilvl w:val="0"/>
                <w:numId w:val="58"/>
              </w:numPr>
              <w:spacing w:after="2" w:line="236" w:lineRule="auto"/>
              <w:ind w:right="53" w:firstLine="0"/>
              <w:jc w:val="left"/>
            </w:pPr>
            <w:r>
              <w:rPr>
                <w:b/>
                <w:sz w:val="16"/>
              </w:rPr>
              <w:t>bezpečnostní uzamykací systém</w:t>
            </w:r>
            <w:r>
              <w:rPr>
                <w:sz w:val="16"/>
              </w:rPr>
              <w:t xml:space="preserve"> a současně </w:t>
            </w:r>
            <w:r>
              <w:rPr>
                <w:b/>
                <w:sz w:val="16"/>
              </w:rPr>
              <w:t xml:space="preserve">přídavný bezpečnostní zámek </w:t>
            </w:r>
            <w:r>
              <w:rPr>
                <w:i/>
                <w:sz w:val="16"/>
              </w:rPr>
              <w:t>nebo</w:t>
            </w:r>
            <w:r>
              <w:rPr>
                <w:sz w:val="16"/>
              </w:rPr>
              <w:t xml:space="preserve"> </w:t>
            </w:r>
            <w:r>
              <w:rPr>
                <w:b/>
                <w:sz w:val="16"/>
              </w:rPr>
              <w:t>- tříbodový rozvorový zámek</w:t>
            </w:r>
            <w:r>
              <w:rPr>
                <w:sz w:val="16"/>
              </w:rPr>
              <w:t xml:space="preserve"> </w:t>
            </w:r>
            <w:r>
              <w:rPr>
                <w:i/>
                <w:sz w:val="16"/>
              </w:rPr>
              <w:t>nebo</w:t>
            </w:r>
            <w:r>
              <w:rPr>
                <w:b/>
                <w:sz w:val="16"/>
              </w:rPr>
              <w:t xml:space="preserve"> </w:t>
            </w:r>
          </w:p>
          <w:p w:rsidR="007043CB" w:rsidRDefault="004B5C2E">
            <w:pPr>
              <w:numPr>
                <w:ilvl w:val="0"/>
                <w:numId w:val="58"/>
              </w:numPr>
              <w:spacing w:after="0" w:line="259" w:lineRule="auto"/>
              <w:ind w:right="53" w:firstLine="0"/>
              <w:jc w:val="left"/>
            </w:pPr>
            <w:r>
              <w:rPr>
                <w:b/>
                <w:sz w:val="16"/>
              </w:rPr>
              <w:t>bezpečnostní uzamykací systém</w:t>
            </w:r>
            <w:r>
              <w:rPr>
                <w:sz w:val="16"/>
              </w:rPr>
              <w:t xml:space="preserve"> a současně otevíratelná </w:t>
            </w:r>
            <w:r>
              <w:rPr>
                <w:b/>
                <w:sz w:val="16"/>
              </w:rPr>
              <w:t xml:space="preserve">funkční mříž </w:t>
            </w:r>
            <w:r>
              <w:rPr>
                <w:sz w:val="16"/>
              </w:rPr>
              <w:t xml:space="preserve">nebo </w:t>
            </w:r>
            <w:r>
              <w:rPr>
                <w:b/>
                <w:sz w:val="16"/>
              </w:rPr>
              <w:t xml:space="preserve">funkční roleta </w:t>
            </w:r>
          </w:p>
        </w:tc>
      </w:tr>
      <w:tr w:rsidR="007043CB">
        <w:trPr>
          <w:trHeight w:val="209"/>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7043CB" w:rsidRDefault="007043CB">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prosklené plochy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5" w:firstLine="0"/>
              <w:jc w:val="left"/>
            </w:pPr>
            <w:r>
              <w:rPr>
                <w:sz w:val="16"/>
              </w:rPr>
              <w:t xml:space="preserve">v rozsahu </w:t>
            </w:r>
            <w:r>
              <w:rPr>
                <w:b/>
                <w:sz w:val="16"/>
              </w:rPr>
              <w:t xml:space="preserve">A4 </w:t>
            </w:r>
          </w:p>
        </w:tc>
      </w:tr>
      <w:tr w:rsidR="007043CB">
        <w:trPr>
          <w:trHeight w:val="206"/>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7043CB" w:rsidRDefault="007043CB">
            <w:pPr>
              <w:spacing w:after="160" w:line="259" w:lineRule="auto"/>
              <w:ind w:left="0" w:firstLine="0"/>
              <w:jc w:val="left"/>
            </w:pPr>
          </w:p>
        </w:tc>
        <w:tc>
          <w:tcPr>
            <w:tcW w:w="7771" w:type="dxa"/>
            <w:gridSpan w:val="2"/>
            <w:tcBorders>
              <w:top w:val="single" w:sz="6" w:space="0" w:color="000000"/>
              <w:left w:val="single" w:sz="6" w:space="0" w:color="000000"/>
              <w:bottom w:val="single" w:sz="6" w:space="0" w:color="000000"/>
              <w:right w:val="single" w:sz="12" w:space="0" w:color="000000"/>
            </w:tcBorders>
          </w:tcPr>
          <w:p w:rsidR="007043CB" w:rsidRDefault="004B5C2E">
            <w:pPr>
              <w:spacing w:after="0" w:line="259" w:lineRule="auto"/>
              <w:ind w:left="0" w:firstLine="0"/>
              <w:jc w:val="left"/>
            </w:pPr>
            <w:r>
              <w:rPr>
                <w:b/>
                <w:sz w:val="16"/>
              </w:rPr>
              <w:t>Nebo</w:t>
            </w:r>
            <w:r>
              <w:rPr>
                <w:sz w:val="16"/>
              </w:rPr>
              <w:t xml:space="preserve"> </w:t>
            </w:r>
          </w:p>
        </w:tc>
      </w:tr>
      <w:tr w:rsidR="007043CB">
        <w:trPr>
          <w:trHeight w:val="206"/>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7043CB" w:rsidRDefault="007043CB">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dveře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0" w:firstLine="0"/>
              <w:jc w:val="left"/>
            </w:pPr>
            <w:r>
              <w:rPr>
                <w:b/>
                <w:sz w:val="16"/>
              </w:rPr>
              <w:t xml:space="preserve">plné </w:t>
            </w:r>
          </w:p>
        </w:tc>
      </w:tr>
      <w:tr w:rsidR="007043CB">
        <w:trPr>
          <w:trHeight w:val="206"/>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7043CB" w:rsidRDefault="007043CB">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zámek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0" w:firstLine="0"/>
              <w:jc w:val="left"/>
            </w:pPr>
            <w:r>
              <w:rPr>
                <w:b/>
                <w:sz w:val="16"/>
              </w:rPr>
              <w:t>bezpečnostní uzamykací systém</w:t>
            </w:r>
            <w:r>
              <w:rPr>
                <w:sz w:val="16"/>
              </w:rPr>
              <w:t xml:space="preserve"> </w:t>
            </w:r>
          </w:p>
        </w:tc>
      </w:tr>
      <w:tr w:rsidR="007043CB">
        <w:trPr>
          <w:trHeight w:val="788"/>
        </w:trPr>
        <w:tc>
          <w:tcPr>
            <w:tcW w:w="0" w:type="auto"/>
            <w:vMerge/>
            <w:tcBorders>
              <w:top w:val="nil"/>
              <w:left w:val="single" w:sz="12" w:space="0" w:color="000000"/>
              <w:bottom w:val="single" w:sz="4" w:space="0" w:color="000000"/>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single" w:sz="4" w:space="0" w:color="000000"/>
              <w:right w:val="single" w:sz="6" w:space="0" w:color="000000"/>
            </w:tcBorders>
          </w:tcPr>
          <w:p w:rsidR="007043CB" w:rsidRDefault="007043CB">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EZS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38" w:lineRule="auto"/>
              <w:ind w:left="5" w:firstLine="0"/>
            </w:pPr>
            <w:r>
              <w:rPr>
                <w:sz w:val="16"/>
              </w:rPr>
              <w:t xml:space="preserve">s </w:t>
            </w:r>
            <w:r>
              <w:rPr>
                <w:b/>
                <w:sz w:val="16"/>
              </w:rPr>
              <w:t>plášťovou</w:t>
            </w:r>
            <w:r>
              <w:rPr>
                <w:sz w:val="16"/>
              </w:rPr>
              <w:t xml:space="preserve"> a </w:t>
            </w:r>
            <w:r>
              <w:rPr>
                <w:b/>
                <w:sz w:val="16"/>
              </w:rPr>
              <w:t>prostorovou</w:t>
            </w:r>
            <w:r>
              <w:rPr>
                <w:sz w:val="16"/>
              </w:rPr>
              <w:t xml:space="preserve"> </w:t>
            </w:r>
            <w:r>
              <w:rPr>
                <w:b/>
                <w:sz w:val="16"/>
              </w:rPr>
              <w:t>ochranou</w:t>
            </w:r>
            <w:r>
              <w:rPr>
                <w:sz w:val="16"/>
              </w:rPr>
              <w:t xml:space="preserve"> s vyvedením poplachového signálu na </w:t>
            </w:r>
            <w:r>
              <w:rPr>
                <w:b/>
                <w:sz w:val="16"/>
              </w:rPr>
              <w:t xml:space="preserve">akustický hlásič </w:t>
            </w:r>
          </w:p>
          <w:p w:rsidR="007043CB" w:rsidRDefault="004B5C2E">
            <w:pPr>
              <w:spacing w:after="0" w:line="259" w:lineRule="auto"/>
              <w:ind w:left="5" w:firstLine="0"/>
              <w:jc w:val="left"/>
            </w:pPr>
            <w:r>
              <w:rPr>
                <w:b/>
                <w:sz w:val="16"/>
              </w:rPr>
              <w:t xml:space="preserve"> </w:t>
            </w:r>
          </w:p>
          <w:p w:rsidR="007043CB" w:rsidRDefault="004B5C2E">
            <w:pPr>
              <w:spacing w:after="0" w:line="259" w:lineRule="auto"/>
              <w:ind w:left="5" w:firstLine="0"/>
              <w:jc w:val="left"/>
            </w:pPr>
            <w:r>
              <w:rPr>
                <w:sz w:val="16"/>
              </w:rPr>
              <w:t xml:space="preserve"> </w:t>
            </w:r>
          </w:p>
        </w:tc>
      </w:tr>
      <w:tr w:rsidR="007043CB">
        <w:trPr>
          <w:trHeight w:val="266"/>
        </w:trPr>
        <w:tc>
          <w:tcPr>
            <w:tcW w:w="633" w:type="dxa"/>
            <w:vMerge w:val="restart"/>
            <w:tcBorders>
              <w:top w:val="single" w:sz="12" w:space="0" w:color="000000"/>
              <w:left w:val="single" w:sz="12" w:space="0" w:color="000000"/>
              <w:bottom w:val="nil"/>
              <w:right w:val="single" w:sz="6" w:space="0" w:color="000000"/>
            </w:tcBorders>
            <w:shd w:val="clear" w:color="auto" w:fill="CCCCCC"/>
            <w:vAlign w:val="center"/>
          </w:tcPr>
          <w:p w:rsidR="007043CB" w:rsidRDefault="004B5C2E">
            <w:pPr>
              <w:spacing w:after="0" w:line="259" w:lineRule="auto"/>
              <w:ind w:left="0" w:firstLine="0"/>
              <w:jc w:val="left"/>
            </w:pPr>
            <w:r>
              <w:rPr>
                <w:b/>
                <w:sz w:val="16"/>
              </w:rPr>
              <w:t xml:space="preserve">Kód </w:t>
            </w:r>
          </w:p>
        </w:tc>
        <w:tc>
          <w:tcPr>
            <w:tcW w:w="1560" w:type="dxa"/>
            <w:vMerge w:val="restart"/>
            <w:tcBorders>
              <w:top w:val="single" w:sz="12" w:space="0" w:color="000000"/>
              <w:left w:val="single" w:sz="6" w:space="0" w:color="000000"/>
              <w:bottom w:val="nil"/>
              <w:right w:val="single" w:sz="6" w:space="0" w:color="000000"/>
            </w:tcBorders>
            <w:shd w:val="clear" w:color="auto" w:fill="CCCCCC"/>
            <w:vAlign w:val="center"/>
          </w:tcPr>
          <w:p w:rsidR="007043CB" w:rsidRDefault="004B5C2E">
            <w:pPr>
              <w:spacing w:after="0" w:line="259" w:lineRule="auto"/>
              <w:ind w:left="4" w:firstLine="0"/>
              <w:jc w:val="left"/>
            </w:pPr>
            <w:r>
              <w:rPr>
                <w:b/>
                <w:sz w:val="16"/>
              </w:rPr>
              <w:t xml:space="preserve">Limit plnění (Kč) </w:t>
            </w:r>
          </w:p>
        </w:tc>
        <w:tc>
          <w:tcPr>
            <w:tcW w:w="7771" w:type="dxa"/>
            <w:gridSpan w:val="2"/>
            <w:tcBorders>
              <w:top w:val="single" w:sz="12" w:space="0" w:color="000000"/>
              <w:left w:val="single" w:sz="6" w:space="0" w:color="000000"/>
              <w:bottom w:val="single" w:sz="9" w:space="0" w:color="CCCCCC"/>
              <w:right w:val="single" w:sz="12" w:space="0" w:color="000000"/>
            </w:tcBorders>
            <w:shd w:val="clear" w:color="auto" w:fill="CCCCCC"/>
          </w:tcPr>
          <w:p w:rsidR="007043CB" w:rsidRDefault="004B5C2E">
            <w:pPr>
              <w:spacing w:after="0" w:line="259" w:lineRule="auto"/>
              <w:ind w:left="4" w:firstLine="0"/>
              <w:jc w:val="left"/>
            </w:pPr>
            <w:r>
              <w:rPr>
                <w:b/>
                <w:sz w:val="16"/>
              </w:rPr>
              <w:t xml:space="preserve">Požadovaný minimální způsob zabezpečení uzavřeného prostoru </w:t>
            </w:r>
          </w:p>
        </w:tc>
      </w:tr>
      <w:tr w:rsidR="007043CB">
        <w:trPr>
          <w:trHeight w:val="254"/>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7043CB" w:rsidRDefault="007043CB">
            <w:pPr>
              <w:spacing w:after="160" w:line="259" w:lineRule="auto"/>
              <w:ind w:left="0" w:firstLine="0"/>
              <w:jc w:val="left"/>
            </w:pPr>
          </w:p>
        </w:tc>
        <w:tc>
          <w:tcPr>
            <w:tcW w:w="1844" w:type="dxa"/>
            <w:tcBorders>
              <w:top w:val="single" w:sz="9" w:space="0" w:color="CCCCCC"/>
              <w:left w:val="single" w:sz="6" w:space="0" w:color="000000"/>
              <w:bottom w:val="nil"/>
              <w:right w:val="single" w:sz="4" w:space="0" w:color="000000"/>
            </w:tcBorders>
            <w:shd w:val="clear" w:color="auto" w:fill="CCCCCC"/>
          </w:tcPr>
          <w:p w:rsidR="007043CB" w:rsidRDefault="004B5C2E">
            <w:pPr>
              <w:spacing w:after="0" w:line="259" w:lineRule="auto"/>
              <w:ind w:left="4" w:firstLine="0"/>
              <w:jc w:val="left"/>
            </w:pPr>
            <w:r>
              <w:rPr>
                <w:b/>
                <w:sz w:val="16"/>
              </w:rPr>
              <w:t xml:space="preserve">prvek zabezpečení </w:t>
            </w:r>
          </w:p>
        </w:tc>
        <w:tc>
          <w:tcPr>
            <w:tcW w:w="5928" w:type="dxa"/>
            <w:tcBorders>
              <w:top w:val="single" w:sz="9" w:space="0" w:color="CCCCCC"/>
              <w:left w:val="single" w:sz="4" w:space="0" w:color="000000"/>
              <w:bottom w:val="nil"/>
              <w:right w:val="single" w:sz="12" w:space="0" w:color="000000"/>
            </w:tcBorders>
            <w:shd w:val="clear" w:color="auto" w:fill="CCCCCC"/>
          </w:tcPr>
          <w:p w:rsidR="007043CB" w:rsidRDefault="004B5C2E">
            <w:pPr>
              <w:spacing w:after="0" w:line="259" w:lineRule="auto"/>
              <w:ind w:left="4" w:firstLine="0"/>
              <w:jc w:val="left"/>
            </w:pPr>
            <w:r>
              <w:rPr>
                <w:b/>
                <w:sz w:val="16"/>
              </w:rPr>
              <w:t xml:space="preserve">kvalita prvku zabezpečení </w:t>
            </w:r>
          </w:p>
        </w:tc>
      </w:tr>
      <w:tr w:rsidR="007043CB">
        <w:trPr>
          <w:trHeight w:val="199"/>
        </w:trPr>
        <w:tc>
          <w:tcPr>
            <w:tcW w:w="633" w:type="dxa"/>
            <w:vMerge w:val="restart"/>
            <w:tcBorders>
              <w:top w:val="nil"/>
              <w:left w:val="single" w:sz="12" w:space="0" w:color="000000"/>
              <w:bottom w:val="single" w:sz="4" w:space="0" w:color="000000"/>
              <w:right w:val="single" w:sz="6" w:space="0" w:color="000000"/>
            </w:tcBorders>
          </w:tcPr>
          <w:p w:rsidR="007043CB" w:rsidRDefault="004B5C2E">
            <w:pPr>
              <w:spacing w:after="0" w:line="259" w:lineRule="auto"/>
              <w:ind w:left="0" w:firstLine="0"/>
              <w:jc w:val="left"/>
            </w:pPr>
            <w:r>
              <w:rPr>
                <w:sz w:val="16"/>
              </w:rPr>
              <w:t xml:space="preserve">A6 </w:t>
            </w:r>
          </w:p>
        </w:tc>
        <w:tc>
          <w:tcPr>
            <w:tcW w:w="1560" w:type="dxa"/>
            <w:vMerge w:val="restart"/>
            <w:tcBorders>
              <w:top w:val="nil"/>
              <w:left w:val="single" w:sz="6" w:space="0" w:color="000000"/>
              <w:bottom w:val="single" w:sz="4" w:space="0" w:color="000000"/>
              <w:right w:val="single" w:sz="6" w:space="0" w:color="000000"/>
            </w:tcBorders>
          </w:tcPr>
          <w:p w:rsidR="007043CB" w:rsidRDefault="004B5C2E">
            <w:pPr>
              <w:spacing w:after="0" w:line="259" w:lineRule="auto"/>
              <w:ind w:left="4" w:firstLine="0"/>
              <w:jc w:val="left"/>
            </w:pPr>
            <w:r>
              <w:rPr>
                <w:sz w:val="16"/>
              </w:rPr>
              <w:t xml:space="preserve">do 1 000 000 </w:t>
            </w:r>
          </w:p>
        </w:tc>
        <w:tc>
          <w:tcPr>
            <w:tcW w:w="1844" w:type="dxa"/>
            <w:tcBorders>
              <w:top w:val="nil"/>
              <w:left w:val="single" w:sz="6" w:space="0" w:color="000000"/>
              <w:bottom w:val="single" w:sz="6" w:space="0" w:color="000000"/>
              <w:right w:val="single" w:sz="4" w:space="0" w:color="000000"/>
            </w:tcBorders>
          </w:tcPr>
          <w:p w:rsidR="007043CB" w:rsidRDefault="004B5C2E">
            <w:pPr>
              <w:spacing w:after="0" w:line="259" w:lineRule="auto"/>
              <w:ind w:left="4" w:firstLine="0"/>
              <w:jc w:val="left"/>
            </w:pPr>
            <w:r>
              <w:rPr>
                <w:sz w:val="16"/>
              </w:rPr>
              <w:t xml:space="preserve">dveře </w:t>
            </w:r>
          </w:p>
        </w:tc>
        <w:tc>
          <w:tcPr>
            <w:tcW w:w="5928" w:type="dxa"/>
            <w:tcBorders>
              <w:top w:val="nil"/>
              <w:left w:val="single" w:sz="4" w:space="0" w:color="000000"/>
              <w:bottom w:val="single" w:sz="6" w:space="0" w:color="000000"/>
              <w:right w:val="single" w:sz="12" w:space="0" w:color="000000"/>
            </w:tcBorders>
          </w:tcPr>
          <w:p w:rsidR="007043CB" w:rsidRDefault="004B5C2E">
            <w:pPr>
              <w:spacing w:after="0" w:line="259" w:lineRule="auto"/>
              <w:ind w:left="4" w:firstLine="0"/>
              <w:jc w:val="left"/>
            </w:pPr>
            <w:r>
              <w:rPr>
                <w:b/>
                <w:sz w:val="16"/>
              </w:rPr>
              <w:t xml:space="preserve">plné </w:t>
            </w:r>
          </w:p>
        </w:tc>
      </w:tr>
      <w:tr w:rsidR="007043CB">
        <w:trPr>
          <w:trHeight w:val="401"/>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7043CB" w:rsidRDefault="007043CB">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4" w:firstLine="0"/>
              <w:jc w:val="left"/>
            </w:pPr>
            <w:r>
              <w:rPr>
                <w:sz w:val="16"/>
              </w:rPr>
              <w:t xml:space="preserve">zámek dveří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4" w:right="105" w:firstLine="0"/>
              <w:jc w:val="left"/>
            </w:pPr>
            <w:r>
              <w:rPr>
                <w:b/>
                <w:sz w:val="16"/>
              </w:rPr>
              <w:t>- bezpečnostní uzamykací systém</w:t>
            </w:r>
            <w:r>
              <w:rPr>
                <w:sz w:val="16"/>
              </w:rPr>
              <w:t xml:space="preserve"> a současně </w:t>
            </w:r>
            <w:r>
              <w:rPr>
                <w:b/>
                <w:sz w:val="16"/>
              </w:rPr>
              <w:t xml:space="preserve">přídavný bezpečnostní zámek </w:t>
            </w:r>
            <w:r>
              <w:rPr>
                <w:i/>
                <w:sz w:val="16"/>
              </w:rPr>
              <w:t xml:space="preserve">nebo </w:t>
            </w:r>
            <w:r>
              <w:rPr>
                <w:b/>
                <w:sz w:val="16"/>
              </w:rPr>
              <w:t xml:space="preserve">- tříbodový rozvorový zámek </w:t>
            </w:r>
          </w:p>
        </w:tc>
      </w:tr>
      <w:tr w:rsidR="007043CB">
        <w:trPr>
          <w:trHeight w:val="787"/>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7043CB" w:rsidRDefault="007043CB">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4" w:firstLine="0"/>
              <w:jc w:val="left"/>
            </w:pPr>
            <w:r>
              <w:rPr>
                <w:sz w:val="16"/>
              </w:rPr>
              <w:t xml:space="preserve">prosklené plochy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19" w:line="234" w:lineRule="auto"/>
              <w:ind w:left="4" w:firstLine="0"/>
            </w:pPr>
            <w:r>
              <w:rPr>
                <w:sz w:val="16"/>
              </w:rPr>
              <w:t xml:space="preserve">zabezpečení prosklených částí </w:t>
            </w:r>
            <w:r>
              <w:rPr>
                <w:b/>
                <w:sz w:val="16"/>
              </w:rPr>
              <w:t>oken</w:t>
            </w:r>
            <w:r>
              <w:rPr>
                <w:sz w:val="16"/>
              </w:rPr>
              <w:t>,</w:t>
            </w:r>
            <w:r>
              <w:rPr>
                <w:b/>
                <w:sz w:val="16"/>
              </w:rPr>
              <w:t xml:space="preserve"> dveří</w:t>
            </w:r>
            <w:r>
              <w:rPr>
                <w:sz w:val="16"/>
              </w:rPr>
              <w:t xml:space="preserve"> a </w:t>
            </w:r>
            <w:r>
              <w:rPr>
                <w:b/>
                <w:sz w:val="16"/>
              </w:rPr>
              <w:t xml:space="preserve">jiných technických otvorů </w:t>
            </w:r>
            <w:r>
              <w:rPr>
                <w:sz w:val="16"/>
              </w:rPr>
              <w:t>s plochou větší než 600 cm</w:t>
            </w:r>
            <w:r>
              <w:rPr>
                <w:sz w:val="16"/>
                <w:vertAlign w:val="superscript"/>
              </w:rPr>
              <w:t>2</w:t>
            </w:r>
            <w:r>
              <w:rPr>
                <w:sz w:val="16"/>
              </w:rPr>
              <w:t xml:space="preserve">: </w:t>
            </w:r>
          </w:p>
          <w:p w:rsidR="007043CB" w:rsidRDefault="004B5C2E">
            <w:pPr>
              <w:numPr>
                <w:ilvl w:val="0"/>
                <w:numId w:val="59"/>
              </w:numPr>
              <w:spacing w:after="0" w:line="259" w:lineRule="auto"/>
              <w:ind w:left="93" w:hanging="89"/>
              <w:jc w:val="left"/>
            </w:pPr>
            <w:r>
              <w:rPr>
                <w:b/>
                <w:sz w:val="16"/>
              </w:rPr>
              <w:t xml:space="preserve">funkční mříží </w:t>
            </w:r>
            <w:r>
              <w:rPr>
                <w:sz w:val="16"/>
              </w:rPr>
              <w:t xml:space="preserve">nebo </w:t>
            </w:r>
            <w:r>
              <w:rPr>
                <w:b/>
                <w:sz w:val="16"/>
              </w:rPr>
              <w:t xml:space="preserve">funkční roletou </w:t>
            </w:r>
            <w:r>
              <w:rPr>
                <w:i/>
                <w:sz w:val="16"/>
              </w:rPr>
              <w:t>nebo</w:t>
            </w:r>
            <w:r>
              <w:rPr>
                <w:sz w:val="16"/>
              </w:rPr>
              <w:t xml:space="preserve"> </w:t>
            </w:r>
          </w:p>
          <w:p w:rsidR="007043CB" w:rsidRDefault="004B5C2E">
            <w:pPr>
              <w:numPr>
                <w:ilvl w:val="0"/>
                <w:numId w:val="59"/>
              </w:numPr>
              <w:spacing w:after="0" w:line="259" w:lineRule="auto"/>
              <w:ind w:left="93" w:hanging="89"/>
              <w:jc w:val="left"/>
            </w:pPr>
            <w:r>
              <w:rPr>
                <w:b/>
                <w:sz w:val="16"/>
              </w:rPr>
              <w:t xml:space="preserve">bezpečnostním zasklením </w:t>
            </w:r>
            <w:r>
              <w:rPr>
                <w:sz w:val="16"/>
              </w:rPr>
              <w:t xml:space="preserve">ve třídě P3A </w:t>
            </w:r>
          </w:p>
        </w:tc>
      </w:tr>
      <w:tr w:rsidR="007043CB">
        <w:trPr>
          <w:trHeight w:val="595"/>
        </w:trPr>
        <w:tc>
          <w:tcPr>
            <w:tcW w:w="0" w:type="auto"/>
            <w:vMerge/>
            <w:tcBorders>
              <w:top w:val="nil"/>
              <w:left w:val="single" w:sz="12" w:space="0" w:color="000000"/>
              <w:bottom w:val="single" w:sz="4" w:space="0" w:color="000000"/>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single" w:sz="4" w:space="0" w:color="000000"/>
              <w:right w:val="single" w:sz="6" w:space="0" w:color="000000"/>
            </w:tcBorders>
          </w:tcPr>
          <w:p w:rsidR="007043CB" w:rsidRDefault="007043CB">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4" w:firstLine="0"/>
              <w:jc w:val="left"/>
            </w:pPr>
            <w:r>
              <w:rPr>
                <w:sz w:val="16"/>
              </w:rPr>
              <w:t xml:space="preserve">EZS/ostraha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numPr>
                <w:ilvl w:val="0"/>
                <w:numId w:val="60"/>
              </w:numPr>
              <w:spacing w:after="3" w:line="236" w:lineRule="auto"/>
              <w:ind w:firstLine="0"/>
              <w:jc w:val="left"/>
            </w:pPr>
            <w:r>
              <w:rPr>
                <w:b/>
                <w:sz w:val="16"/>
              </w:rPr>
              <w:t>EZS s plášťovou a prostorovou ochranou</w:t>
            </w:r>
            <w:r>
              <w:rPr>
                <w:sz w:val="16"/>
              </w:rPr>
              <w:t xml:space="preserve"> s vyvedením poplachového signálu na </w:t>
            </w:r>
            <w:r>
              <w:rPr>
                <w:b/>
                <w:sz w:val="16"/>
              </w:rPr>
              <w:t xml:space="preserve">akustický hlásič </w:t>
            </w:r>
            <w:r>
              <w:rPr>
                <w:i/>
                <w:sz w:val="16"/>
              </w:rPr>
              <w:t>nebo</w:t>
            </w:r>
            <w:r>
              <w:rPr>
                <w:sz w:val="16"/>
              </w:rPr>
              <w:t xml:space="preserve"> </w:t>
            </w:r>
          </w:p>
          <w:p w:rsidR="007043CB" w:rsidRDefault="004B5C2E">
            <w:pPr>
              <w:numPr>
                <w:ilvl w:val="0"/>
                <w:numId w:val="60"/>
              </w:numPr>
              <w:spacing w:after="0" w:line="259" w:lineRule="auto"/>
              <w:ind w:firstLine="0"/>
              <w:jc w:val="left"/>
            </w:pPr>
            <w:r>
              <w:rPr>
                <w:sz w:val="16"/>
              </w:rPr>
              <w:t xml:space="preserve">trvale střežen jednočlennou fyzickou </w:t>
            </w:r>
            <w:r>
              <w:rPr>
                <w:b/>
                <w:sz w:val="16"/>
              </w:rPr>
              <w:t>ostrahou</w:t>
            </w:r>
            <w:r>
              <w:rPr>
                <w:sz w:val="16"/>
              </w:rPr>
              <w:t xml:space="preserve"> </w:t>
            </w:r>
          </w:p>
        </w:tc>
      </w:tr>
      <w:tr w:rsidR="007043CB">
        <w:trPr>
          <w:trHeight w:val="214"/>
        </w:trPr>
        <w:tc>
          <w:tcPr>
            <w:tcW w:w="633" w:type="dxa"/>
            <w:vMerge w:val="restart"/>
            <w:tcBorders>
              <w:top w:val="single" w:sz="4" w:space="0" w:color="000000"/>
              <w:left w:val="single" w:sz="12" w:space="0" w:color="000000"/>
              <w:bottom w:val="single" w:sz="4" w:space="0" w:color="000000"/>
              <w:right w:val="single" w:sz="6" w:space="0" w:color="000000"/>
            </w:tcBorders>
          </w:tcPr>
          <w:p w:rsidR="007043CB" w:rsidRDefault="004B5C2E">
            <w:pPr>
              <w:spacing w:after="0" w:line="259" w:lineRule="auto"/>
              <w:ind w:left="0" w:firstLine="0"/>
              <w:jc w:val="left"/>
            </w:pPr>
            <w:r>
              <w:rPr>
                <w:sz w:val="16"/>
              </w:rPr>
              <w:t xml:space="preserve">A7 </w:t>
            </w:r>
          </w:p>
        </w:tc>
        <w:tc>
          <w:tcPr>
            <w:tcW w:w="1560" w:type="dxa"/>
            <w:vMerge w:val="restart"/>
            <w:tcBorders>
              <w:top w:val="single" w:sz="4" w:space="0" w:color="000000"/>
              <w:left w:val="single" w:sz="6" w:space="0" w:color="000000"/>
              <w:bottom w:val="single" w:sz="4" w:space="0" w:color="000000"/>
              <w:right w:val="single" w:sz="6" w:space="0" w:color="000000"/>
            </w:tcBorders>
          </w:tcPr>
          <w:p w:rsidR="007043CB" w:rsidRDefault="004B5C2E">
            <w:pPr>
              <w:spacing w:after="0" w:line="259" w:lineRule="auto"/>
              <w:ind w:left="4" w:firstLine="0"/>
              <w:jc w:val="left"/>
            </w:pPr>
            <w:r>
              <w:rPr>
                <w:sz w:val="16"/>
              </w:rPr>
              <w:t xml:space="preserve">do 3 000 000 </w:t>
            </w: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4" w:firstLine="0"/>
              <w:jc w:val="left"/>
            </w:pPr>
            <w:r>
              <w:rPr>
                <w:sz w:val="16"/>
              </w:rPr>
              <w:t xml:space="preserve">dveře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4" w:firstLine="0"/>
              <w:jc w:val="left"/>
            </w:pPr>
            <w:r>
              <w:rPr>
                <w:b/>
                <w:sz w:val="16"/>
              </w:rPr>
              <w:t xml:space="preserve">bezpečnostní </w:t>
            </w:r>
          </w:p>
        </w:tc>
      </w:tr>
      <w:tr w:rsidR="007043CB">
        <w:trPr>
          <w:trHeight w:val="209"/>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7043CB" w:rsidRDefault="007043CB">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4" w:firstLine="0"/>
              <w:jc w:val="left"/>
            </w:pPr>
            <w:r>
              <w:rPr>
                <w:sz w:val="16"/>
              </w:rPr>
              <w:t xml:space="preserve">zámek dveří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4" w:firstLine="0"/>
              <w:jc w:val="left"/>
            </w:pPr>
            <w:r>
              <w:rPr>
                <w:sz w:val="16"/>
              </w:rPr>
              <w:t xml:space="preserve">v rozsahu </w:t>
            </w:r>
            <w:r>
              <w:rPr>
                <w:b/>
                <w:sz w:val="16"/>
              </w:rPr>
              <w:t>A6</w:t>
            </w:r>
            <w:r>
              <w:rPr>
                <w:sz w:val="16"/>
              </w:rPr>
              <w:t xml:space="preserve"> (platí jen pro bezpečnostní dveře přestavené z plných dveří) </w:t>
            </w:r>
            <w:r>
              <w:rPr>
                <w:b/>
                <w:sz w:val="16"/>
              </w:rPr>
              <w:t xml:space="preserve"> </w:t>
            </w:r>
          </w:p>
        </w:tc>
      </w:tr>
      <w:tr w:rsidR="007043CB">
        <w:trPr>
          <w:trHeight w:val="206"/>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7043CB" w:rsidRDefault="007043CB">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4" w:firstLine="0"/>
              <w:jc w:val="left"/>
            </w:pPr>
            <w:r>
              <w:rPr>
                <w:sz w:val="16"/>
              </w:rPr>
              <w:t xml:space="preserve">prosklené plochy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4" w:firstLine="0"/>
              <w:jc w:val="left"/>
            </w:pPr>
            <w:r>
              <w:rPr>
                <w:sz w:val="16"/>
              </w:rPr>
              <w:t xml:space="preserve">v rozsahu </w:t>
            </w:r>
            <w:r>
              <w:rPr>
                <w:b/>
                <w:sz w:val="16"/>
              </w:rPr>
              <w:t xml:space="preserve">A6 </w:t>
            </w:r>
          </w:p>
        </w:tc>
      </w:tr>
      <w:tr w:rsidR="007043CB">
        <w:trPr>
          <w:trHeight w:val="595"/>
        </w:trPr>
        <w:tc>
          <w:tcPr>
            <w:tcW w:w="0" w:type="auto"/>
            <w:vMerge/>
            <w:tcBorders>
              <w:top w:val="nil"/>
              <w:left w:val="single" w:sz="12" w:space="0" w:color="000000"/>
              <w:bottom w:val="single" w:sz="4" w:space="0" w:color="000000"/>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single" w:sz="4" w:space="0" w:color="000000"/>
              <w:right w:val="single" w:sz="6" w:space="0" w:color="000000"/>
            </w:tcBorders>
          </w:tcPr>
          <w:p w:rsidR="007043CB" w:rsidRDefault="007043CB">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4" w:firstLine="0"/>
              <w:jc w:val="left"/>
            </w:pPr>
            <w:r>
              <w:rPr>
                <w:sz w:val="16"/>
              </w:rPr>
              <w:t xml:space="preserve">EZS/ostraha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numPr>
                <w:ilvl w:val="0"/>
                <w:numId w:val="61"/>
              </w:numPr>
              <w:spacing w:after="3" w:line="235" w:lineRule="auto"/>
              <w:ind w:firstLine="0"/>
              <w:jc w:val="left"/>
            </w:pPr>
            <w:r>
              <w:rPr>
                <w:b/>
                <w:sz w:val="16"/>
              </w:rPr>
              <w:t xml:space="preserve">EZS </w:t>
            </w:r>
            <w:r>
              <w:rPr>
                <w:sz w:val="16"/>
              </w:rPr>
              <w:t>3. stupně</w:t>
            </w:r>
            <w:r>
              <w:rPr>
                <w:b/>
                <w:sz w:val="16"/>
              </w:rPr>
              <w:t xml:space="preserve"> </w:t>
            </w:r>
            <w:r>
              <w:rPr>
                <w:sz w:val="16"/>
              </w:rPr>
              <w:t xml:space="preserve">s plášťovou a prostorovou ochranou s vyvedením poplachového signálu na </w:t>
            </w:r>
            <w:r>
              <w:rPr>
                <w:b/>
                <w:sz w:val="16"/>
              </w:rPr>
              <w:t xml:space="preserve">PCO </w:t>
            </w:r>
            <w:r>
              <w:rPr>
                <w:sz w:val="16"/>
              </w:rPr>
              <w:t xml:space="preserve">nebo do </w:t>
            </w:r>
            <w:r>
              <w:rPr>
                <w:b/>
                <w:sz w:val="16"/>
              </w:rPr>
              <w:t>místa s nepřetržitou službou</w:t>
            </w:r>
            <w:r>
              <w:rPr>
                <w:sz w:val="16"/>
              </w:rPr>
              <w:t xml:space="preserve"> </w:t>
            </w:r>
            <w:r>
              <w:rPr>
                <w:i/>
                <w:sz w:val="16"/>
              </w:rPr>
              <w:t>nebo</w:t>
            </w:r>
            <w:r>
              <w:rPr>
                <w:sz w:val="16"/>
              </w:rPr>
              <w:t xml:space="preserve"> </w:t>
            </w:r>
          </w:p>
          <w:p w:rsidR="007043CB" w:rsidRDefault="004B5C2E">
            <w:pPr>
              <w:numPr>
                <w:ilvl w:val="0"/>
                <w:numId w:val="61"/>
              </w:numPr>
              <w:spacing w:after="0" w:line="259" w:lineRule="auto"/>
              <w:ind w:firstLine="0"/>
              <w:jc w:val="left"/>
            </w:pPr>
            <w:r>
              <w:rPr>
                <w:sz w:val="16"/>
              </w:rPr>
              <w:t xml:space="preserve">trvale střežen jednočlennou </w:t>
            </w:r>
            <w:r>
              <w:rPr>
                <w:b/>
                <w:sz w:val="16"/>
              </w:rPr>
              <w:t>fyzickou</w:t>
            </w:r>
            <w:r>
              <w:rPr>
                <w:sz w:val="16"/>
              </w:rPr>
              <w:t xml:space="preserve"> </w:t>
            </w:r>
            <w:r>
              <w:rPr>
                <w:b/>
                <w:sz w:val="16"/>
              </w:rPr>
              <w:t xml:space="preserve">ostrahou </w:t>
            </w:r>
            <w:r>
              <w:rPr>
                <w:sz w:val="16"/>
              </w:rPr>
              <w:t xml:space="preserve">doprovázenou služebním psem </w:t>
            </w:r>
          </w:p>
        </w:tc>
      </w:tr>
      <w:tr w:rsidR="007043CB">
        <w:trPr>
          <w:trHeight w:val="214"/>
        </w:trPr>
        <w:tc>
          <w:tcPr>
            <w:tcW w:w="633" w:type="dxa"/>
            <w:vMerge w:val="restart"/>
            <w:tcBorders>
              <w:top w:val="single" w:sz="4" w:space="0" w:color="000000"/>
              <w:left w:val="single" w:sz="12" w:space="0" w:color="000000"/>
              <w:bottom w:val="single" w:sz="6" w:space="0" w:color="000000"/>
              <w:right w:val="single" w:sz="6" w:space="0" w:color="000000"/>
            </w:tcBorders>
          </w:tcPr>
          <w:p w:rsidR="007043CB" w:rsidRDefault="004B5C2E">
            <w:pPr>
              <w:spacing w:after="0" w:line="259" w:lineRule="auto"/>
              <w:ind w:left="0" w:firstLine="0"/>
              <w:jc w:val="left"/>
            </w:pPr>
            <w:r>
              <w:rPr>
                <w:sz w:val="16"/>
              </w:rPr>
              <w:t xml:space="preserve">A8 </w:t>
            </w:r>
          </w:p>
        </w:tc>
        <w:tc>
          <w:tcPr>
            <w:tcW w:w="1560" w:type="dxa"/>
            <w:vMerge w:val="restart"/>
            <w:tcBorders>
              <w:top w:val="single" w:sz="4"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do 10 000 000 </w:t>
            </w: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4" w:firstLine="0"/>
              <w:jc w:val="left"/>
            </w:pPr>
            <w:r>
              <w:rPr>
                <w:sz w:val="16"/>
              </w:rPr>
              <w:t xml:space="preserve">Dveře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4" w:firstLine="0"/>
              <w:jc w:val="left"/>
            </w:pPr>
            <w:r>
              <w:rPr>
                <w:sz w:val="16"/>
              </w:rPr>
              <w:t xml:space="preserve">v rozsahu </w:t>
            </w:r>
            <w:r>
              <w:rPr>
                <w:b/>
                <w:sz w:val="16"/>
              </w:rPr>
              <w:t xml:space="preserve">A7 </w:t>
            </w:r>
          </w:p>
        </w:tc>
      </w:tr>
      <w:tr w:rsidR="007043CB">
        <w:trPr>
          <w:trHeight w:val="595"/>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nil"/>
              <w:right w:val="single" w:sz="6" w:space="0" w:color="000000"/>
            </w:tcBorders>
            <w:vAlign w:val="bottom"/>
          </w:tcPr>
          <w:p w:rsidR="007043CB" w:rsidRDefault="007043CB">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4" w:firstLine="0"/>
              <w:jc w:val="left"/>
            </w:pPr>
            <w:r>
              <w:rPr>
                <w:sz w:val="16"/>
              </w:rPr>
              <w:t xml:space="preserve">zámek dveří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numPr>
                <w:ilvl w:val="0"/>
                <w:numId w:val="62"/>
              </w:numPr>
              <w:spacing w:after="0" w:line="259" w:lineRule="auto"/>
              <w:ind w:left="93" w:hanging="89"/>
              <w:jc w:val="left"/>
            </w:pPr>
            <w:r>
              <w:rPr>
                <w:b/>
                <w:sz w:val="16"/>
              </w:rPr>
              <w:t>bezpečnostní uzamykací systém</w:t>
            </w:r>
            <w:r>
              <w:rPr>
                <w:sz w:val="16"/>
              </w:rPr>
              <w:t xml:space="preserve"> a současně </w:t>
            </w:r>
            <w:r>
              <w:rPr>
                <w:b/>
                <w:sz w:val="16"/>
              </w:rPr>
              <w:t>tříbodový rozvorový zámek</w:t>
            </w:r>
            <w:r>
              <w:rPr>
                <w:sz w:val="16"/>
              </w:rPr>
              <w:t xml:space="preserve"> </w:t>
            </w:r>
            <w:r>
              <w:rPr>
                <w:i/>
                <w:sz w:val="16"/>
              </w:rPr>
              <w:t>nebo</w:t>
            </w:r>
            <w:r>
              <w:rPr>
                <w:b/>
                <w:i/>
                <w:sz w:val="16"/>
              </w:rPr>
              <w:t xml:space="preserve"> </w:t>
            </w:r>
          </w:p>
          <w:p w:rsidR="007043CB" w:rsidRDefault="004B5C2E">
            <w:pPr>
              <w:numPr>
                <w:ilvl w:val="0"/>
                <w:numId w:val="62"/>
              </w:numPr>
              <w:spacing w:after="0" w:line="259" w:lineRule="auto"/>
              <w:ind w:left="93" w:hanging="89"/>
              <w:jc w:val="left"/>
            </w:pPr>
            <w:r>
              <w:rPr>
                <w:b/>
                <w:sz w:val="16"/>
              </w:rPr>
              <w:t>bezpečnostní uzamykací systém</w:t>
            </w:r>
            <w:r>
              <w:rPr>
                <w:sz w:val="16"/>
              </w:rPr>
              <w:t xml:space="preserve"> a současně </w:t>
            </w:r>
            <w:r>
              <w:rPr>
                <w:b/>
                <w:sz w:val="16"/>
              </w:rPr>
              <w:t xml:space="preserve">vratová závora </w:t>
            </w:r>
          </w:p>
          <w:p w:rsidR="007043CB" w:rsidRDefault="004B5C2E">
            <w:pPr>
              <w:spacing w:after="0" w:line="259" w:lineRule="auto"/>
              <w:ind w:left="4" w:firstLine="0"/>
              <w:jc w:val="left"/>
            </w:pPr>
            <w:r>
              <w:rPr>
                <w:b/>
                <w:sz w:val="16"/>
              </w:rPr>
              <w:t xml:space="preserve">  </w:t>
            </w:r>
            <w:r>
              <w:rPr>
                <w:sz w:val="16"/>
              </w:rPr>
              <w:t>(platí jen pro bezpečnostní dveře přestavené z plných dveří)</w:t>
            </w:r>
            <w:r>
              <w:rPr>
                <w:b/>
                <w:sz w:val="16"/>
              </w:rPr>
              <w:t xml:space="preserve"> </w:t>
            </w:r>
          </w:p>
        </w:tc>
      </w:tr>
      <w:tr w:rsidR="007043CB">
        <w:trPr>
          <w:trHeight w:val="788"/>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7043CB" w:rsidRDefault="007043CB">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4" w:firstLine="0"/>
              <w:jc w:val="left"/>
            </w:pPr>
            <w:r>
              <w:rPr>
                <w:sz w:val="16"/>
              </w:rPr>
              <w:t xml:space="preserve">prosklené plochy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16" w:line="237" w:lineRule="auto"/>
              <w:ind w:left="4" w:firstLine="0"/>
            </w:pPr>
            <w:r>
              <w:rPr>
                <w:sz w:val="16"/>
              </w:rPr>
              <w:t xml:space="preserve">zabezpečení prosklených částí </w:t>
            </w:r>
            <w:r>
              <w:rPr>
                <w:b/>
                <w:sz w:val="16"/>
              </w:rPr>
              <w:t>oken</w:t>
            </w:r>
            <w:r>
              <w:rPr>
                <w:sz w:val="16"/>
              </w:rPr>
              <w:t>,</w:t>
            </w:r>
            <w:r>
              <w:rPr>
                <w:b/>
                <w:sz w:val="16"/>
              </w:rPr>
              <w:t xml:space="preserve"> dveří</w:t>
            </w:r>
            <w:r>
              <w:rPr>
                <w:sz w:val="16"/>
              </w:rPr>
              <w:t xml:space="preserve"> a </w:t>
            </w:r>
            <w:r>
              <w:rPr>
                <w:b/>
                <w:sz w:val="16"/>
              </w:rPr>
              <w:t xml:space="preserve">jiných technických otvorů </w:t>
            </w:r>
            <w:r>
              <w:rPr>
                <w:sz w:val="16"/>
              </w:rPr>
              <w:t>s plochou větší než 600 cm</w:t>
            </w:r>
            <w:r>
              <w:rPr>
                <w:sz w:val="16"/>
                <w:vertAlign w:val="superscript"/>
              </w:rPr>
              <w:t>2</w:t>
            </w:r>
            <w:r>
              <w:rPr>
                <w:sz w:val="16"/>
              </w:rPr>
              <w:t xml:space="preserve">: </w:t>
            </w:r>
          </w:p>
          <w:p w:rsidR="007043CB" w:rsidRDefault="004B5C2E">
            <w:pPr>
              <w:numPr>
                <w:ilvl w:val="0"/>
                <w:numId w:val="63"/>
              </w:numPr>
              <w:spacing w:after="0" w:line="259" w:lineRule="auto"/>
              <w:ind w:left="93" w:hanging="89"/>
              <w:jc w:val="left"/>
            </w:pPr>
            <w:r>
              <w:rPr>
                <w:b/>
                <w:sz w:val="16"/>
              </w:rPr>
              <w:t xml:space="preserve">funkční mříží </w:t>
            </w:r>
            <w:r>
              <w:rPr>
                <w:sz w:val="16"/>
              </w:rPr>
              <w:t xml:space="preserve">nebo </w:t>
            </w:r>
            <w:r>
              <w:rPr>
                <w:b/>
                <w:sz w:val="16"/>
              </w:rPr>
              <w:t xml:space="preserve">funkční roletou </w:t>
            </w:r>
            <w:r>
              <w:rPr>
                <w:i/>
                <w:sz w:val="16"/>
              </w:rPr>
              <w:t>nebo</w:t>
            </w:r>
            <w:r>
              <w:rPr>
                <w:sz w:val="16"/>
              </w:rPr>
              <w:t xml:space="preserve"> </w:t>
            </w:r>
          </w:p>
          <w:p w:rsidR="007043CB" w:rsidRDefault="004B5C2E">
            <w:pPr>
              <w:numPr>
                <w:ilvl w:val="0"/>
                <w:numId w:val="63"/>
              </w:numPr>
              <w:spacing w:after="0" w:line="259" w:lineRule="auto"/>
              <w:ind w:left="93" w:hanging="89"/>
              <w:jc w:val="left"/>
            </w:pPr>
            <w:r>
              <w:rPr>
                <w:b/>
                <w:sz w:val="16"/>
              </w:rPr>
              <w:t xml:space="preserve">bezpečnostním zasklením </w:t>
            </w:r>
            <w:r>
              <w:rPr>
                <w:sz w:val="16"/>
              </w:rPr>
              <w:t>ve třídě P4A</w:t>
            </w:r>
            <w:r>
              <w:rPr>
                <w:b/>
                <w:sz w:val="16"/>
              </w:rPr>
              <w:t xml:space="preserve"> </w:t>
            </w:r>
          </w:p>
        </w:tc>
      </w:tr>
      <w:tr w:rsidR="007043CB">
        <w:trPr>
          <w:trHeight w:val="595"/>
        </w:trPr>
        <w:tc>
          <w:tcPr>
            <w:tcW w:w="0" w:type="auto"/>
            <w:vMerge/>
            <w:tcBorders>
              <w:top w:val="nil"/>
              <w:left w:val="single" w:sz="12"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4" w:firstLine="0"/>
              <w:jc w:val="left"/>
            </w:pPr>
            <w:r>
              <w:rPr>
                <w:sz w:val="16"/>
              </w:rPr>
              <w:t xml:space="preserve">EZS/ostraha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4" w:right="42" w:firstLine="0"/>
            </w:pPr>
            <w:r>
              <w:rPr>
                <w:b/>
                <w:sz w:val="16"/>
              </w:rPr>
              <w:t xml:space="preserve">- EZS </w:t>
            </w:r>
            <w:r>
              <w:rPr>
                <w:sz w:val="16"/>
              </w:rPr>
              <w:t>3. stupně</w:t>
            </w:r>
            <w:r>
              <w:rPr>
                <w:b/>
                <w:sz w:val="16"/>
              </w:rPr>
              <w:t xml:space="preserve"> </w:t>
            </w:r>
            <w:r>
              <w:rPr>
                <w:sz w:val="16"/>
              </w:rPr>
              <w:t xml:space="preserve">s plášťovou a prostorovou ochranou s vyvedením poplachového signálu na </w:t>
            </w:r>
            <w:r>
              <w:rPr>
                <w:b/>
                <w:sz w:val="16"/>
              </w:rPr>
              <w:t xml:space="preserve">PCO </w:t>
            </w:r>
            <w:r>
              <w:rPr>
                <w:sz w:val="16"/>
              </w:rPr>
              <w:t xml:space="preserve">nebo do </w:t>
            </w:r>
            <w:r>
              <w:rPr>
                <w:b/>
                <w:sz w:val="16"/>
              </w:rPr>
              <w:t>místa s nepřetržitou službou</w:t>
            </w:r>
            <w:r>
              <w:rPr>
                <w:sz w:val="16"/>
              </w:rPr>
              <w:t xml:space="preserve"> </w:t>
            </w:r>
            <w:r>
              <w:rPr>
                <w:i/>
                <w:sz w:val="16"/>
              </w:rPr>
              <w:t>nebo</w:t>
            </w:r>
            <w:r>
              <w:rPr>
                <w:sz w:val="16"/>
              </w:rPr>
              <w:t xml:space="preserve"> - trvale střežen dvoučlennou </w:t>
            </w:r>
            <w:r>
              <w:rPr>
                <w:b/>
                <w:sz w:val="16"/>
              </w:rPr>
              <w:t>fyzickou ostrahou</w:t>
            </w:r>
            <w:r>
              <w:rPr>
                <w:sz w:val="16"/>
              </w:rPr>
              <w:t xml:space="preserve">  </w:t>
            </w:r>
          </w:p>
        </w:tc>
      </w:tr>
      <w:tr w:rsidR="007043CB">
        <w:trPr>
          <w:trHeight w:val="216"/>
        </w:trPr>
        <w:tc>
          <w:tcPr>
            <w:tcW w:w="633" w:type="dxa"/>
            <w:tcBorders>
              <w:top w:val="single" w:sz="6" w:space="0" w:color="000000"/>
              <w:left w:val="single" w:sz="12" w:space="0" w:color="000000"/>
              <w:bottom w:val="single" w:sz="12" w:space="0" w:color="000000"/>
              <w:right w:val="single" w:sz="6" w:space="0" w:color="000000"/>
            </w:tcBorders>
          </w:tcPr>
          <w:p w:rsidR="007043CB" w:rsidRDefault="004B5C2E">
            <w:pPr>
              <w:spacing w:after="0" w:line="259" w:lineRule="auto"/>
              <w:ind w:left="0" w:firstLine="0"/>
              <w:jc w:val="left"/>
            </w:pPr>
            <w:r>
              <w:rPr>
                <w:sz w:val="16"/>
              </w:rPr>
              <w:t xml:space="preserve">A9 </w:t>
            </w:r>
          </w:p>
        </w:tc>
        <w:tc>
          <w:tcPr>
            <w:tcW w:w="1560" w:type="dxa"/>
            <w:tcBorders>
              <w:top w:val="single" w:sz="6" w:space="0" w:color="000000"/>
              <w:left w:val="single" w:sz="6" w:space="0" w:color="000000"/>
              <w:bottom w:val="single" w:sz="12" w:space="0" w:color="000000"/>
              <w:right w:val="single" w:sz="6" w:space="0" w:color="000000"/>
            </w:tcBorders>
          </w:tcPr>
          <w:p w:rsidR="007043CB" w:rsidRDefault="004B5C2E">
            <w:pPr>
              <w:spacing w:after="0" w:line="259" w:lineRule="auto"/>
              <w:ind w:left="4" w:firstLine="0"/>
              <w:jc w:val="left"/>
            </w:pPr>
            <w:r>
              <w:rPr>
                <w:sz w:val="16"/>
              </w:rPr>
              <w:t xml:space="preserve">nad 10 000 000 </w:t>
            </w:r>
          </w:p>
        </w:tc>
        <w:tc>
          <w:tcPr>
            <w:tcW w:w="7771" w:type="dxa"/>
            <w:gridSpan w:val="2"/>
            <w:tcBorders>
              <w:top w:val="single" w:sz="6" w:space="0" w:color="000000"/>
              <w:left w:val="single" w:sz="6" w:space="0" w:color="000000"/>
              <w:bottom w:val="single" w:sz="12" w:space="0" w:color="000000"/>
              <w:right w:val="single" w:sz="12" w:space="0" w:color="000000"/>
            </w:tcBorders>
          </w:tcPr>
          <w:p w:rsidR="007043CB" w:rsidRDefault="004B5C2E">
            <w:pPr>
              <w:spacing w:after="0" w:line="259" w:lineRule="auto"/>
              <w:ind w:left="4" w:firstLine="0"/>
              <w:jc w:val="left"/>
            </w:pPr>
            <w:r>
              <w:rPr>
                <w:sz w:val="16"/>
              </w:rPr>
              <w:t xml:space="preserve">Individuálně ujednaný způsob zabezpečení. </w:t>
            </w:r>
          </w:p>
        </w:tc>
      </w:tr>
    </w:tbl>
    <w:p w:rsidR="007043CB" w:rsidRDefault="004B5C2E">
      <w:pPr>
        <w:spacing w:after="0" w:line="259" w:lineRule="auto"/>
        <w:ind w:left="0" w:firstLine="0"/>
        <w:jc w:val="left"/>
      </w:pPr>
      <w:r>
        <w:rPr>
          <w:b/>
        </w:rPr>
        <w:t xml:space="preserve"> </w:t>
      </w:r>
    </w:p>
    <w:p w:rsidR="007043CB" w:rsidRDefault="004B5C2E">
      <w:pPr>
        <w:numPr>
          <w:ilvl w:val="0"/>
          <w:numId w:val="13"/>
        </w:numPr>
        <w:spacing w:after="7" w:line="250" w:lineRule="auto"/>
        <w:ind w:hanging="185"/>
        <w:jc w:val="left"/>
      </w:pPr>
      <w:r>
        <w:rPr>
          <w:b/>
        </w:rPr>
        <w:t xml:space="preserve">Movité věci a zásoby uložené v uzavřeném prostoru typu „B“. </w:t>
      </w:r>
    </w:p>
    <w:p w:rsidR="007043CB" w:rsidRDefault="004B5C2E">
      <w:pPr>
        <w:spacing w:after="7" w:line="250" w:lineRule="auto"/>
        <w:ind w:left="-5" w:hanging="10"/>
        <w:jc w:val="left"/>
      </w:pPr>
      <w:r>
        <w:t xml:space="preserve">Tabulka č. 2 </w:t>
      </w:r>
      <w:r>
        <w:rPr>
          <w:b/>
        </w:rPr>
        <w:t xml:space="preserve">Požadavky na způsoby zabezpečení proti odcizení krádeží </w:t>
      </w:r>
    </w:p>
    <w:tbl>
      <w:tblPr>
        <w:tblStyle w:val="TableGrid"/>
        <w:tblW w:w="9964" w:type="dxa"/>
        <w:tblInd w:w="1" w:type="dxa"/>
        <w:tblCellMar>
          <w:top w:w="39" w:type="dxa"/>
          <w:left w:w="65" w:type="dxa"/>
          <w:right w:w="24" w:type="dxa"/>
        </w:tblCellMar>
        <w:tblLook w:val="04A0" w:firstRow="1" w:lastRow="0" w:firstColumn="1" w:lastColumn="0" w:noHBand="0" w:noVBand="1"/>
      </w:tblPr>
      <w:tblGrid>
        <w:gridCol w:w="633"/>
        <w:gridCol w:w="1560"/>
        <w:gridCol w:w="1844"/>
        <w:gridCol w:w="5927"/>
      </w:tblGrid>
      <w:tr w:rsidR="007043CB">
        <w:trPr>
          <w:trHeight w:val="266"/>
        </w:trPr>
        <w:tc>
          <w:tcPr>
            <w:tcW w:w="633" w:type="dxa"/>
            <w:vMerge w:val="restart"/>
            <w:tcBorders>
              <w:top w:val="single" w:sz="12" w:space="0" w:color="000000"/>
              <w:left w:val="single" w:sz="12" w:space="0" w:color="000000"/>
              <w:bottom w:val="single" w:sz="6" w:space="0" w:color="000000"/>
              <w:right w:val="single" w:sz="6" w:space="0" w:color="000000"/>
            </w:tcBorders>
            <w:shd w:val="clear" w:color="auto" w:fill="CCCCCC"/>
            <w:vAlign w:val="center"/>
          </w:tcPr>
          <w:p w:rsidR="007043CB" w:rsidRDefault="004B5C2E">
            <w:pPr>
              <w:spacing w:after="0" w:line="259" w:lineRule="auto"/>
              <w:ind w:left="1" w:firstLine="0"/>
              <w:jc w:val="left"/>
            </w:pPr>
            <w:r>
              <w:rPr>
                <w:b/>
                <w:sz w:val="16"/>
              </w:rPr>
              <w:t xml:space="preserve">Kód </w:t>
            </w:r>
          </w:p>
        </w:tc>
        <w:tc>
          <w:tcPr>
            <w:tcW w:w="1560" w:type="dxa"/>
            <w:vMerge w:val="restart"/>
            <w:tcBorders>
              <w:top w:val="single" w:sz="12" w:space="0" w:color="000000"/>
              <w:left w:val="single" w:sz="6" w:space="0" w:color="000000"/>
              <w:bottom w:val="single" w:sz="6" w:space="0" w:color="000000"/>
              <w:right w:val="single" w:sz="6" w:space="0" w:color="000000"/>
            </w:tcBorders>
            <w:shd w:val="clear" w:color="auto" w:fill="CCCCCC"/>
            <w:vAlign w:val="center"/>
          </w:tcPr>
          <w:p w:rsidR="007043CB" w:rsidRDefault="004B5C2E">
            <w:pPr>
              <w:spacing w:after="0" w:line="259" w:lineRule="auto"/>
              <w:ind w:left="5" w:firstLine="0"/>
              <w:jc w:val="left"/>
            </w:pPr>
            <w:r>
              <w:rPr>
                <w:b/>
                <w:sz w:val="16"/>
              </w:rPr>
              <w:t xml:space="preserve">Limit plnění (Kč) </w:t>
            </w:r>
          </w:p>
        </w:tc>
        <w:tc>
          <w:tcPr>
            <w:tcW w:w="7771" w:type="dxa"/>
            <w:gridSpan w:val="2"/>
            <w:tcBorders>
              <w:top w:val="single" w:sz="12" w:space="0" w:color="000000"/>
              <w:left w:val="single" w:sz="6" w:space="0" w:color="000000"/>
              <w:bottom w:val="single" w:sz="9" w:space="0" w:color="CCCCCC"/>
              <w:right w:val="single" w:sz="12" w:space="0" w:color="000000"/>
            </w:tcBorders>
            <w:shd w:val="clear" w:color="auto" w:fill="CCCCCC"/>
          </w:tcPr>
          <w:p w:rsidR="007043CB" w:rsidRDefault="004B5C2E">
            <w:pPr>
              <w:spacing w:after="0" w:line="259" w:lineRule="auto"/>
              <w:ind w:left="5" w:firstLine="0"/>
              <w:jc w:val="left"/>
            </w:pPr>
            <w:r>
              <w:rPr>
                <w:b/>
                <w:sz w:val="16"/>
              </w:rPr>
              <w:t xml:space="preserve">Požadovaný minimální způsob zabezpečení uzavřeného prostoru </w:t>
            </w:r>
          </w:p>
        </w:tc>
      </w:tr>
      <w:tr w:rsidR="007043CB">
        <w:trPr>
          <w:trHeight w:val="260"/>
        </w:trPr>
        <w:tc>
          <w:tcPr>
            <w:tcW w:w="0" w:type="auto"/>
            <w:vMerge/>
            <w:tcBorders>
              <w:top w:val="nil"/>
              <w:left w:val="single" w:sz="12"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1844" w:type="dxa"/>
            <w:tcBorders>
              <w:top w:val="single" w:sz="9" w:space="0" w:color="CCCCCC"/>
              <w:left w:val="single" w:sz="6" w:space="0" w:color="000000"/>
              <w:bottom w:val="single" w:sz="6" w:space="0" w:color="000000"/>
              <w:right w:val="single" w:sz="4" w:space="0" w:color="000000"/>
            </w:tcBorders>
            <w:shd w:val="clear" w:color="auto" w:fill="CCCCCC"/>
          </w:tcPr>
          <w:p w:rsidR="007043CB" w:rsidRDefault="004B5C2E">
            <w:pPr>
              <w:spacing w:after="0" w:line="259" w:lineRule="auto"/>
              <w:ind w:left="5" w:firstLine="0"/>
              <w:jc w:val="left"/>
            </w:pPr>
            <w:r>
              <w:rPr>
                <w:b/>
                <w:sz w:val="16"/>
              </w:rPr>
              <w:t xml:space="preserve">prvek zabezpečení </w:t>
            </w:r>
          </w:p>
        </w:tc>
        <w:tc>
          <w:tcPr>
            <w:tcW w:w="5928" w:type="dxa"/>
            <w:tcBorders>
              <w:top w:val="single" w:sz="9" w:space="0" w:color="CCCCCC"/>
              <w:left w:val="single" w:sz="4" w:space="0" w:color="000000"/>
              <w:bottom w:val="single" w:sz="6" w:space="0" w:color="000000"/>
              <w:right w:val="single" w:sz="12" w:space="0" w:color="000000"/>
            </w:tcBorders>
            <w:shd w:val="clear" w:color="auto" w:fill="CCCCCC"/>
          </w:tcPr>
          <w:p w:rsidR="007043CB" w:rsidRDefault="004B5C2E">
            <w:pPr>
              <w:spacing w:after="0" w:line="259" w:lineRule="auto"/>
              <w:ind w:left="5" w:firstLine="0"/>
              <w:jc w:val="left"/>
            </w:pPr>
            <w:r>
              <w:rPr>
                <w:b/>
                <w:sz w:val="16"/>
              </w:rPr>
              <w:t xml:space="preserve">kvalita prvku zabezpečení </w:t>
            </w:r>
          </w:p>
        </w:tc>
      </w:tr>
      <w:tr w:rsidR="007043CB">
        <w:trPr>
          <w:trHeight w:val="211"/>
        </w:trPr>
        <w:tc>
          <w:tcPr>
            <w:tcW w:w="633" w:type="dxa"/>
            <w:tcBorders>
              <w:top w:val="single" w:sz="6" w:space="0" w:color="000000"/>
              <w:left w:val="single" w:sz="12" w:space="0" w:color="000000"/>
              <w:bottom w:val="single" w:sz="6" w:space="0" w:color="000000"/>
              <w:right w:val="single" w:sz="6" w:space="0" w:color="000000"/>
            </w:tcBorders>
          </w:tcPr>
          <w:p w:rsidR="007043CB" w:rsidRDefault="004B5C2E">
            <w:pPr>
              <w:spacing w:after="0" w:line="259" w:lineRule="auto"/>
              <w:ind w:left="1" w:firstLine="0"/>
              <w:jc w:val="left"/>
            </w:pPr>
            <w:r>
              <w:rPr>
                <w:sz w:val="16"/>
              </w:rPr>
              <w:t xml:space="preserve">B1 </w:t>
            </w:r>
          </w:p>
        </w:tc>
        <w:tc>
          <w:tcPr>
            <w:tcW w:w="156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5" w:firstLine="0"/>
              <w:jc w:val="left"/>
            </w:pPr>
            <w:r>
              <w:rPr>
                <w:sz w:val="16"/>
              </w:rPr>
              <w:t xml:space="preserve">do 20 000 </w:t>
            </w:r>
          </w:p>
        </w:tc>
        <w:tc>
          <w:tcPr>
            <w:tcW w:w="7771" w:type="dxa"/>
            <w:gridSpan w:val="2"/>
            <w:tcBorders>
              <w:top w:val="single" w:sz="6" w:space="0" w:color="000000"/>
              <w:left w:val="single" w:sz="6" w:space="0" w:color="000000"/>
              <w:bottom w:val="single" w:sz="6" w:space="0" w:color="000000"/>
              <w:right w:val="single" w:sz="12" w:space="0" w:color="000000"/>
            </w:tcBorders>
          </w:tcPr>
          <w:p w:rsidR="007043CB" w:rsidRDefault="004B5C2E">
            <w:pPr>
              <w:spacing w:after="0" w:line="259" w:lineRule="auto"/>
              <w:ind w:left="5" w:firstLine="0"/>
              <w:jc w:val="left"/>
            </w:pPr>
            <w:r>
              <w:rPr>
                <w:sz w:val="16"/>
              </w:rPr>
              <w:t xml:space="preserve">Zabezpečení podle odst. 1. této doložky – dále nespecifikováno. </w:t>
            </w:r>
          </w:p>
        </w:tc>
      </w:tr>
      <w:tr w:rsidR="007043CB">
        <w:trPr>
          <w:trHeight w:val="211"/>
        </w:trPr>
        <w:tc>
          <w:tcPr>
            <w:tcW w:w="633" w:type="dxa"/>
            <w:vMerge w:val="restart"/>
            <w:tcBorders>
              <w:top w:val="single" w:sz="6" w:space="0" w:color="000000"/>
              <w:left w:val="single" w:sz="12" w:space="0" w:color="000000"/>
              <w:bottom w:val="single" w:sz="6" w:space="0" w:color="000000"/>
              <w:right w:val="single" w:sz="6" w:space="0" w:color="000000"/>
            </w:tcBorders>
          </w:tcPr>
          <w:p w:rsidR="007043CB" w:rsidRDefault="004B5C2E">
            <w:pPr>
              <w:spacing w:after="0" w:line="259" w:lineRule="auto"/>
              <w:ind w:left="1" w:firstLine="0"/>
              <w:jc w:val="left"/>
            </w:pPr>
            <w:r>
              <w:rPr>
                <w:sz w:val="16"/>
              </w:rPr>
              <w:t xml:space="preserve">B2 </w:t>
            </w:r>
          </w:p>
        </w:tc>
        <w:tc>
          <w:tcPr>
            <w:tcW w:w="1560" w:type="dxa"/>
            <w:vMerge w:val="restart"/>
            <w:tcBorders>
              <w:top w:val="single" w:sz="6" w:space="0" w:color="000000"/>
              <w:left w:val="single" w:sz="6" w:space="0" w:color="000000"/>
              <w:bottom w:val="single" w:sz="4" w:space="0" w:color="000000"/>
              <w:right w:val="single" w:sz="6" w:space="0" w:color="000000"/>
            </w:tcBorders>
          </w:tcPr>
          <w:p w:rsidR="007043CB" w:rsidRDefault="004B5C2E">
            <w:pPr>
              <w:spacing w:after="0" w:line="259" w:lineRule="auto"/>
              <w:ind w:left="5" w:firstLine="0"/>
              <w:jc w:val="left"/>
            </w:pPr>
            <w:r>
              <w:rPr>
                <w:sz w:val="16"/>
              </w:rPr>
              <w:t xml:space="preserve">do 50 000 </w:t>
            </w: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dveře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5" w:firstLine="0"/>
              <w:jc w:val="left"/>
            </w:pPr>
            <w:r>
              <w:rPr>
                <w:b/>
                <w:sz w:val="16"/>
              </w:rPr>
              <w:t>běžné</w:t>
            </w:r>
            <w:r>
              <w:rPr>
                <w:sz w:val="16"/>
              </w:rPr>
              <w:t xml:space="preserve"> </w:t>
            </w:r>
          </w:p>
        </w:tc>
      </w:tr>
      <w:tr w:rsidR="007043CB">
        <w:trPr>
          <w:trHeight w:val="595"/>
        </w:trPr>
        <w:tc>
          <w:tcPr>
            <w:tcW w:w="0" w:type="auto"/>
            <w:vMerge/>
            <w:tcBorders>
              <w:top w:val="nil"/>
              <w:left w:val="single" w:sz="12"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single" w:sz="4" w:space="0" w:color="000000"/>
              <w:right w:val="single" w:sz="6" w:space="0" w:color="000000"/>
            </w:tcBorders>
          </w:tcPr>
          <w:p w:rsidR="007043CB" w:rsidRDefault="007043CB">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zámek dveří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numPr>
                <w:ilvl w:val="0"/>
                <w:numId w:val="64"/>
              </w:numPr>
              <w:spacing w:after="0" w:line="259" w:lineRule="auto"/>
              <w:ind w:hanging="89"/>
              <w:jc w:val="left"/>
            </w:pPr>
            <w:r>
              <w:rPr>
                <w:b/>
                <w:sz w:val="16"/>
              </w:rPr>
              <w:t>dozický</w:t>
            </w:r>
            <w:r>
              <w:rPr>
                <w:sz w:val="16"/>
              </w:rPr>
              <w:t xml:space="preserve"> </w:t>
            </w:r>
            <w:r>
              <w:rPr>
                <w:i/>
                <w:sz w:val="16"/>
              </w:rPr>
              <w:t>nebo</w:t>
            </w:r>
            <w:r>
              <w:rPr>
                <w:sz w:val="16"/>
              </w:rPr>
              <w:t xml:space="preserve"> </w:t>
            </w:r>
          </w:p>
          <w:p w:rsidR="007043CB" w:rsidRDefault="004B5C2E">
            <w:pPr>
              <w:numPr>
                <w:ilvl w:val="0"/>
                <w:numId w:val="64"/>
              </w:numPr>
              <w:spacing w:after="0" w:line="259" w:lineRule="auto"/>
              <w:ind w:hanging="89"/>
              <w:jc w:val="left"/>
            </w:pPr>
            <w:r>
              <w:rPr>
                <w:b/>
                <w:sz w:val="16"/>
              </w:rPr>
              <w:t>bezpečnostní visací</w:t>
            </w:r>
            <w:r>
              <w:rPr>
                <w:sz w:val="16"/>
              </w:rPr>
              <w:t xml:space="preserve"> </w:t>
            </w:r>
            <w:r>
              <w:rPr>
                <w:i/>
                <w:sz w:val="16"/>
              </w:rPr>
              <w:t>nebo</w:t>
            </w:r>
            <w:r>
              <w:rPr>
                <w:sz w:val="16"/>
              </w:rPr>
              <w:t xml:space="preserve"> </w:t>
            </w:r>
          </w:p>
          <w:p w:rsidR="007043CB" w:rsidRDefault="004B5C2E">
            <w:pPr>
              <w:numPr>
                <w:ilvl w:val="0"/>
                <w:numId w:val="64"/>
              </w:numPr>
              <w:spacing w:after="0" w:line="259" w:lineRule="auto"/>
              <w:ind w:hanging="89"/>
              <w:jc w:val="left"/>
            </w:pPr>
            <w:r>
              <w:rPr>
                <w:sz w:val="16"/>
              </w:rPr>
              <w:t xml:space="preserve">zámek s </w:t>
            </w:r>
            <w:r>
              <w:rPr>
                <w:b/>
                <w:sz w:val="16"/>
              </w:rPr>
              <w:t>bezpečnostní cylindrickou vložkou</w:t>
            </w:r>
            <w:r>
              <w:rPr>
                <w:sz w:val="16"/>
              </w:rPr>
              <w:t xml:space="preserve"> </w:t>
            </w:r>
          </w:p>
        </w:tc>
      </w:tr>
      <w:tr w:rsidR="007043CB">
        <w:trPr>
          <w:trHeight w:val="212"/>
        </w:trPr>
        <w:tc>
          <w:tcPr>
            <w:tcW w:w="633" w:type="dxa"/>
            <w:vMerge w:val="restart"/>
            <w:tcBorders>
              <w:top w:val="single" w:sz="6" w:space="0" w:color="000000"/>
              <w:left w:val="single" w:sz="12" w:space="0" w:color="000000"/>
              <w:bottom w:val="single" w:sz="6" w:space="0" w:color="000000"/>
              <w:right w:val="single" w:sz="6" w:space="0" w:color="000000"/>
            </w:tcBorders>
          </w:tcPr>
          <w:p w:rsidR="007043CB" w:rsidRDefault="004B5C2E">
            <w:pPr>
              <w:spacing w:after="0" w:line="259" w:lineRule="auto"/>
              <w:ind w:left="1" w:firstLine="0"/>
              <w:jc w:val="left"/>
            </w:pPr>
            <w:r>
              <w:rPr>
                <w:sz w:val="16"/>
              </w:rPr>
              <w:t xml:space="preserve">B3 </w:t>
            </w:r>
          </w:p>
        </w:tc>
        <w:tc>
          <w:tcPr>
            <w:tcW w:w="1560" w:type="dxa"/>
            <w:vMerge w:val="restart"/>
            <w:tcBorders>
              <w:top w:val="single" w:sz="4" w:space="0" w:color="000000"/>
              <w:left w:val="single" w:sz="6" w:space="0" w:color="000000"/>
              <w:bottom w:val="single" w:sz="6" w:space="0" w:color="000000"/>
              <w:right w:val="single" w:sz="6" w:space="0" w:color="000000"/>
            </w:tcBorders>
          </w:tcPr>
          <w:p w:rsidR="007043CB" w:rsidRDefault="004B5C2E">
            <w:pPr>
              <w:spacing w:after="0" w:line="259" w:lineRule="auto"/>
              <w:ind w:left="5" w:firstLine="0"/>
              <w:jc w:val="left"/>
            </w:pPr>
            <w:r>
              <w:rPr>
                <w:sz w:val="16"/>
              </w:rPr>
              <w:t xml:space="preserve">do 100 000 </w:t>
            </w: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dveře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5" w:firstLine="0"/>
              <w:jc w:val="left"/>
            </w:pPr>
            <w:r>
              <w:rPr>
                <w:b/>
                <w:sz w:val="16"/>
              </w:rPr>
              <w:t>plné</w:t>
            </w:r>
            <w:r>
              <w:rPr>
                <w:sz w:val="16"/>
              </w:rPr>
              <w:t xml:space="preserve"> </w:t>
            </w:r>
          </w:p>
        </w:tc>
      </w:tr>
      <w:tr w:rsidR="007043CB">
        <w:trPr>
          <w:trHeight w:val="790"/>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7043CB" w:rsidRDefault="007043CB">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zámek dveří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5" w:right="40" w:firstLine="0"/>
            </w:pPr>
            <w:r>
              <w:rPr>
                <w:b/>
                <w:sz w:val="16"/>
              </w:rPr>
              <w:t>- zámek s bezpečnostní cylindrickou vložkou a bezpečnostním kováním</w:t>
            </w:r>
            <w:r>
              <w:rPr>
                <w:sz w:val="16"/>
              </w:rPr>
              <w:t xml:space="preserve"> </w:t>
            </w:r>
            <w:r>
              <w:rPr>
                <w:i/>
                <w:sz w:val="16"/>
              </w:rPr>
              <w:t>nebo</w:t>
            </w:r>
            <w:r>
              <w:rPr>
                <w:sz w:val="16"/>
              </w:rPr>
              <w:t xml:space="preserve"> - zámek s </w:t>
            </w:r>
            <w:r>
              <w:rPr>
                <w:b/>
                <w:sz w:val="16"/>
              </w:rPr>
              <w:t xml:space="preserve">bezpečnostní cylindrickou vložkou </w:t>
            </w:r>
            <w:r>
              <w:rPr>
                <w:sz w:val="16"/>
              </w:rPr>
              <w:t xml:space="preserve">a současně otevíratelná </w:t>
            </w:r>
            <w:r>
              <w:rPr>
                <w:b/>
                <w:sz w:val="16"/>
              </w:rPr>
              <w:t xml:space="preserve">funkční mříž </w:t>
            </w:r>
            <w:r>
              <w:rPr>
                <w:sz w:val="16"/>
              </w:rPr>
              <w:t xml:space="preserve">nebo </w:t>
            </w:r>
            <w:r>
              <w:rPr>
                <w:b/>
                <w:sz w:val="16"/>
              </w:rPr>
              <w:t xml:space="preserve">funkční roleta </w:t>
            </w:r>
            <w:r>
              <w:rPr>
                <w:i/>
                <w:sz w:val="16"/>
              </w:rPr>
              <w:t>nebo</w:t>
            </w:r>
            <w:r>
              <w:rPr>
                <w:sz w:val="16"/>
              </w:rPr>
              <w:t xml:space="preserve"> - dva </w:t>
            </w:r>
            <w:r>
              <w:rPr>
                <w:b/>
                <w:sz w:val="16"/>
              </w:rPr>
              <w:t>bezpečnostní visací zámky</w:t>
            </w:r>
            <w:r>
              <w:rPr>
                <w:sz w:val="16"/>
              </w:rPr>
              <w:t xml:space="preserve"> </w:t>
            </w:r>
          </w:p>
        </w:tc>
      </w:tr>
      <w:tr w:rsidR="007043CB">
        <w:trPr>
          <w:trHeight w:val="401"/>
        </w:trPr>
        <w:tc>
          <w:tcPr>
            <w:tcW w:w="0" w:type="auto"/>
            <w:vMerge/>
            <w:tcBorders>
              <w:top w:val="nil"/>
              <w:left w:val="single" w:sz="12"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prosklené plochy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5" w:firstLine="0"/>
            </w:pPr>
            <w:r>
              <w:rPr>
                <w:sz w:val="16"/>
              </w:rPr>
              <w:t xml:space="preserve">zabezpečení prosklených částí </w:t>
            </w:r>
            <w:r>
              <w:rPr>
                <w:b/>
                <w:sz w:val="16"/>
              </w:rPr>
              <w:t>oken</w:t>
            </w:r>
            <w:r>
              <w:rPr>
                <w:sz w:val="16"/>
              </w:rPr>
              <w:t>,</w:t>
            </w:r>
            <w:r>
              <w:rPr>
                <w:b/>
                <w:sz w:val="16"/>
              </w:rPr>
              <w:t xml:space="preserve"> dveří</w:t>
            </w:r>
            <w:r>
              <w:rPr>
                <w:sz w:val="16"/>
              </w:rPr>
              <w:t xml:space="preserve"> a </w:t>
            </w:r>
            <w:r>
              <w:rPr>
                <w:b/>
                <w:sz w:val="16"/>
              </w:rPr>
              <w:t xml:space="preserve">jiných technických otvorů </w:t>
            </w:r>
            <w:r>
              <w:rPr>
                <w:sz w:val="16"/>
              </w:rPr>
              <w:t>s plochou větší než 600 cm</w:t>
            </w:r>
            <w:r>
              <w:rPr>
                <w:sz w:val="16"/>
                <w:vertAlign w:val="superscript"/>
              </w:rPr>
              <w:t>2</w:t>
            </w:r>
            <w:r>
              <w:rPr>
                <w:sz w:val="16"/>
              </w:rPr>
              <w:t xml:space="preserve"> </w:t>
            </w:r>
          </w:p>
        </w:tc>
      </w:tr>
      <w:tr w:rsidR="007043CB">
        <w:trPr>
          <w:trHeight w:val="211"/>
        </w:trPr>
        <w:tc>
          <w:tcPr>
            <w:tcW w:w="633" w:type="dxa"/>
            <w:vMerge w:val="restart"/>
            <w:tcBorders>
              <w:top w:val="single" w:sz="6" w:space="0" w:color="000000"/>
              <w:left w:val="single" w:sz="12" w:space="0" w:color="000000"/>
              <w:bottom w:val="single" w:sz="6" w:space="0" w:color="000000"/>
              <w:right w:val="single" w:sz="6" w:space="0" w:color="000000"/>
            </w:tcBorders>
          </w:tcPr>
          <w:p w:rsidR="007043CB" w:rsidRDefault="004B5C2E">
            <w:pPr>
              <w:spacing w:after="0" w:line="259" w:lineRule="auto"/>
              <w:ind w:left="1" w:firstLine="0"/>
              <w:jc w:val="left"/>
            </w:pPr>
            <w:r>
              <w:rPr>
                <w:sz w:val="16"/>
              </w:rPr>
              <w:t xml:space="preserve">B4 </w:t>
            </w:r>
          </w:p>
        </w:tc>
        <w:tc>
          <w:tcPr>
            <w:tcW w:w="1560" w:type="dxa"/>
            <w:vMerge w:val="restart"/>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5" w:firstLine="0"/>
              <w:jc w:val="left"/>
            </w:pPr>
            <w:r>
              <w:rPr>
                <w:sz w:val="16"/>
              </w:rPr>
              <w:t xml:space="preserve">do 300 000 </w:t>
            </w: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dveře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5" w:firstLine="0"/>
              <w:jc w:val="left"/>
            </w:pPr>
            <w:r>
              <w:rPr>
                <w:b/>
                <w:sz w:val="16"/>
              </w:rPr>
              <w:t>plné</w:t>
            </w:r>
            <w:r>
              <w:rPr>
                <w:sz w:val="16"/>
              </w:rPr>
              <w:t xml:space="preserve"> </w:t>
            </w:r>
          </w:p>
        </w:tc>
      </w:tr>
      <w:tr w:rsidR="007043CB">
        <w:trPr>
          <w:trHeight w:val="401"/>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7043CB" w:rsidRDefault="007043CB">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zámek dveří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0" w:firstLine="0"/>
            </w:pPr>
            <w:r>
              <w:rPr>
                <w:b/>
                <w:sz w:val="16"/>
              </w:rPr>
              <w:t>bezpečnostní uzamykací systém</w:t>
            </w:r>
            <w:r>
              <w:rPr>
                <w:sz w:val="16"/>
              </w:rPr>
              <w:t xml:space="preserve"> a současně otevíratelná </w:t>
            </w:r>
            <w:r>
              <w:rPr>
                <w:b/>
                <w:sz w:val="16"/>
              </w:rPr>
              <w:t xml:space="preserve">funkční mříž </w:t>
            </w:r>
            <w:r>
              <w:rPr>
                <w:sz w:val="16"/>
              </w:rPr>
              <w:t xml:space="preserve">nebo </w:t>
            </w:r>
            <w:r>
              <w:rPr>
                <w:b/>
                <w:sz w:val="16"/>
              </w:rPr>
              <w:t>funkční roleta</w:t>
            </w:r>
            <w:r>
              <w:rPr>
                <w:sz w:val="16"/>
              </w:rPr>
              <w:t xml:space="preserve"> </w:t>
            </w:r>
          </w:p>
        </w:tc>
      </w:tr>
      <w:tr w:rsidR="007043CB">
        <w:trPr>
          <w:trHeight w:val="209"/>
        </w:trPr>
        <w:tc>
          <w:tcPr>
            <w:tcW w:w="0" w:type="auto"/>
            <w:vMerge/>
            <w:tcBorders>
              <w:top w:val="nil"/>
              <w:left w:val="single" w:sz="12"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prosklené plochy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5" w:firstLine="0"/>
              <w:jc w:val="left"/>
            </w:pPr>
            <w:r>
              <w:rPr>
                <w:sz w:val="16"/>
              </w:rPr>
              <w:t xml:space="preserve">v rozsahu </w:t>
            </w:r>
            <w:r>
              <w:rPr>
                <w:b/>
                <w:sz w:val="16"/>
              </w:rPr>
              <w:t>B3</w:t>
            </w:r>
            <w:r>
              <w:rPr>
                <w:b/>
                <w:sz w:val="16"/>
                <w:vertAlign w:val="superscript"/>
              </w:rPr>
              <w:t xml:space="preserve"> </w:t>
            </w:r>
          </w:p>
        </w:tc>
      </w:tr>
      <w:tr w:rsidR="007043CB">
        <w:trPr>
          <w:trHeight w:val="211"/>
        </w:trPr>
        <w:tc>
          <w:tcPr>
            <w:tcW w:w="633" w:type="dxa"/>
            <w:vMerge w:val="restart"/>
            <w:tcBorders>
              <w:top w:val="single" w:sz="6" w:space="0" w:color="000000"/>
              <w:left w:val="single" w:sz="12" w:space="0" w:color="000000"/>
              <w:bottom w:val="single" w:sz="4" w:space="0" w:color="000000"/>
              <w:right w:val="single" w:sz="6" w:space="0" w:color="000000"/>
            </w:tcBorders>
          </w:tcPr>
          <w:p w:rsidR="007043CB" w:rsidRDefault="004B5C2E">
            <w:pPr>
              <w:spacing w:after="0" w:line="259" w:lineRule="auto"/>
              <w:ind w:left="1" w:firstLine="0"/>
              <w:jc w:val="left"/>
            </w:pPr>
            <w:r>
              <w:rPr>
                <w:sz w:val="16"/>
              </w:rPr>
              <w:t xml:space="preserve">B5 </w:t>
            </w:r>
          </w:p>
        </w:tc>
        <w:tc>
          <w:tcPr>
            <w:tcW w:w="1560" w:type="dxa"/>
            <w:vMerge w:val="restart"/>
            <w:tcBorders>
              <w:top w:val="single" w:sz="6" w:space="0" w:color="000000"/>
              <w:left w:val="single" w:sz="6" w:space="0" w:color="000000"/>
              <w:bottom w:val="single" w:sz="4" w:space="0" w:color="000000"/>
              <w:right w:val="single" w:sz="6" w:space="0" w:color="000000"/>
            </w:tcBorders>
          </w:tcPr>
          <w:p w:rsidR="007043CB" w:rsidRDefault="004B5C2E">
            <w:pPr>
              <w:spacing w:after="0" w:line="259" w:lineRule="auto"/>
              <w:ind w:left="5" w:firstLine="0"/>
              <w:jc w:val="left"/>
            </w:pPr>
            <w:r>
              <w:rPr>
                <w:sz w:val="16"/>
              </w:rPr>
              <w:t xml:space="preserve">do 500 000 </w:t>
            </w: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dveře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5" w:firstLine="0"/>
              <w:jc w:val="left"/>
            </w:pPr>
            <w:r>
              <w:rPr>
                <w:b/>
                <w:sz w:val="16"/>
              </w:rPr>
              <w:t xml:space="preserve">plné </w:t>
            </w:r>
          </w:p>
        </w:tc>
      </w:tr>
      <w:tr w:rsidR="007043CB">
        <w:trPr>
          <w:trHeight w:val="787"/>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7043CB" w:rsidRDefault="007043CB">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zámek dveří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numPr>
                <w:ilvl w:val="0"/>
                <w:numId w:val="65"/>
              </w:numPr>
              <w:spacing w:after="0" w:line="239" w:lineRule="auto"/>
              <w:ind w:firstLine="0"/>
            </w:pPr>
            <w:r>
              <w:rPr>
                <w:b/>
                <w:sz w:val="16"/>
              </w:rPr>
              <w:t>bezpečnostní uzamykací systém</w:t>
            </w:r>
            <w:r>
              <w:rPr>
                <w:sz w:val="16"/>
              </w:rPr>
              <w:t xml:space="preserve"> a současně </w:t>
            </w:r>
            <w:r>
              <w:rPr>
                <w:b/>
                <w:sz w:val="16"/>
              </w:rPr>
              <w:t xml:space="preserve">přídavný bezpečnostní zámek </w:t>
            </w:r>
            <w:r>
              <w:rPr>
                <w:sz w:val="16"/>
              </w:rPr>
              <w:t xml:space="preserve">a současně otevíratelná </w:t>
            </w:r>
            <w:r>
              <w:rPr>
                <w:b/>
                <w:sz w:val="16"/>
              </w:rPr>
              <w:t xml:space="preserve">funkční mříž </w:t>
            </w:r>
            <w:r>
              <w:rPr>
                <w:sz w:val="16"/>
              </w:rPr>
              <w:t xml:space="preserve">nebo </w:t>
            </w:r>
            <w:r>
              <w:rPr>
                <w:b/>
                <w:sz w:val="16"/>
              </w:rPr>
              <w:t xml:space="preserve">funkční roleta </w:t>
            </w:r>
            <w:r>
              <w:rPr>
                <w:i/>
                <w:sz w:val="16"/>
              </w:rPr>
              <w:t xml:space="preserve">nebo </w:t>
            </w:r>
          </w:p>
          <w:p w:rsidR="007043CB" w:rsidRDefault="004B5C2E">
            <w:pPr>
              <w:numPr>
                <w:ilvl w:val="0"/>
                <w:numId w:val="65"/>
              </w:numPr>
              <w:spacing w:after="0" w:line="259" w:lineRule="auto"/>
              <w:ind w:firstLine="0"/>
            </w:pPr>
            <w:r>
              <w:rPr>
                <w:b/>
                <w:sz w:val="16"/>
              </w:rPr>
              <w:t>tříbodový rozvorový zámek</w:t>
            </w:r>
            <w:r>
              <w:rPr>
                <w:sz w:val="16"/>
              </w:rPr>
              <w:t xml:space="preserve"> a současně otevíratelná </w:t>
            </w:r>
            <w:r>
              <w:rPr>
                <w:b/>
                <w:sz w:val="16"/>
              </w:rPr>
              <w:t xml:space="preserve">funkční mříž </w:t>
            </w:r>
            <w:r>
              <w:rPr>
                <w:sz w:val="16"/>
              </w:rPr>
              <w:t xml:space="preserve">nebo </w:t>
            </w:r>
            <w:r>
              <w:rPr>
                <w:b/>
                <w:sz w:val="16"/>
              </w:rPr>
              <w:t xml:space="preserve">funkční roleta </w:t>
            </w:r>
          </w:p>
        </w:tc>
      </w:tr>
      <w:tr w:rsidR="007043CB">
        <w:trPr>
          <w:trHeight w:val="209"/>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7043CB" w:rsidRDefault="007043CB">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prosklené plochy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5" w:firstLine="0"/>
              <w:jc w:val="left"/>
            </w:pPr>
            <w:r>
              <w:rPr>
                <w:sz w:val="16"/>
              </w:rPr>
              <w:t xml:space="preserve">v rozsahu </w:t>
            </w:r>
            <w:r>
              <w:rPr>
                <w:b/>
                <w:sz w:val="16"/>
              </w:rPr>
              <w:t xml:space="preserve">B3 </w:t>
            </w:r>
          </w:p>
        </w:tc>
      </w:tr>
      <w:tr w:rsidR="007043CB">
        <w:trPr>
          <w:trHeight w:val="206"/>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7043CB" w:rsidRDefault="007043CB">
            <w:pPr>
              <w:spacing w:after="160" w:line="259" w:lineRule="auto"/>
              <w:ind w:left="0" w:firstLine="0"/>
              <w:jc w:val="left"/>
            </w:pPr>
          </w:p>
        </w:tc>
        <w:tc>
          <w:tcPr>
            <w:tcW w:w="7771" w:type="dxa"/>
            <w:gridSpan w:val="2"/>
            <w:tcBorders>
              <w:top w:val="single" w:sz="6" w:space="0" w:color="000000"/>
              <w:left w:val="single" w:sz="6" w:space="0" w:color="000000"/>
              <w:bottom w:val="single" w:sz="6" w:space="0" w:color="000000"/>
              <w:right w:val="single" w:sz="12" w:space="0" w:color="000000"/>
            </w:tcBorders>
          </w:tcPr>
          <w:p w:rsidR="007043CB" w:rsidRDefault="004B5C2E">
            <w:pPr>
              <w:spacing w:after="0" w:line="259" w:lineRule="auto"/>
              <w:ind w:left="0" w:firstLine="0"/>
              <w:jc w:val="left"/>
            </w:pPr>
            <w:r>
              <w:rPr>
                <w:b/>
                <w:sz w:val="16"/>
              </w:rPr>
              <w:t>nebo</w:t>
            </w:r>
            <w:r>
              <w:rPr>
                <w:sz w:val="16"/>
              </w:rPr>
              <w:t xml:space="preserve"> </w:t>
            </w:r>
          </w:p>
        </w:tc>
      </w:tr>
      <w:tr w:rsidR="007043CB">
        <w:trPr>
          <w:trHeight w:val="209"/>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7043CB" w:rsidRDefault="007043CB">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dveře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0" w:firstLine="0"/>
              <w:jc w:val="left"/>
            </w:pPr>
            <w:r>
              <w:rPr>
                <w:b/>
                <w:sz w:val="16"/>
              </w:rPr>
              <w:t xml:space="preserve">plné </w:t>
            </w:r>
          </w:p>
        </w:tc>
      </w:tr>
      <w:tr w:rsidR="007043CB">
        <w:trPr>
          <w:trHeight w:val="399"/>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7043CB" w:rsidRDefault="007043CB">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zámek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0" w:firstLine="0"/>
            </w:pPr>
            <w:r>
              <w:rPr>
                <w:b/>
                <w:sz w:val="16"/>
              </w:rPr>
              <w:t xml:space="preserve">bezpečnostní uzamykací systém </w:t>
            </w:r>
            <w:r>
              <w:rPr>
                <w:sz w:val="16"/>
              </w:rPr>
              <w:t xml:space="preserve">a současně otevíratelná </w:t>
            </w:r>
            <w:r>
              <w:rPr>
                <w:b/>
                <w:sz w:val="16"/>
              </w:rPr>
              <w:t xml:space="preserve">funkční mříž </w:t>
            </w:r>
            <w:r>
              <w:rPr>
                <w:sz w:val="16"/>
              </w:rPr>
              <w:t xml:space="preserve">nebo </w:t>
            </w:r>
            <w:r>
              <w:rPr>
                <w:b/>
                <w:sz w:val="16"/>
              </w:rPr>
              <w:t>funkční roleta</w:t>
            </w:r>
            <w:r>
              <w:rPr>
                <w:sz w:val="16"/>
              </w:rPr>
              <w:t xml:space="preserve"> </w:t>
            </w:r>
          </w:p>
        </w:tc>
      </w:tr>
      <w:tr w:rsidR="007043CB">
        <w:trPr>
          <w:trHeight w:val="400"/>
        </w:trPr>
        <w:tc>
          <w:tcPr>
            <w:tcW w:w="0" w:type="auto"/>
            <w:vMerge/>
            <w:tcBorders>
              <w:top w:val="nil"/>
              <w:left w:val="single" w:sz="12" w:space="0" w:color="000000"/>
              <w:bottom w:val="single" w:sz="4" w:space="0" w:color="000000"/>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single" w:sz="4" w:space="0" w:color="000000"/>
              <w:right w:val="single" w:sz="6" w:space="0" w:color="000000"/>
            </w:tcBorders>
          </w:tcPr>
          <w:p w:rsidR="007043CB" w:rsidRDefault="007043CB">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EZS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5" w:firstLine="0"/>
            </w:pPr>
            <w:r>
              <w:rPr>
                <w:sz w:val="16"/>
              </w:rPr>
              <w:t xml:space="preserve">s plášťovou a prostorovou ochranou s vyvedením poplachového signálu na </w:t>
            </w:r>
            <w:r>
              <w:rPr>
                <w:b/>
                <w:sz w:val="16"/>
              </w:rPr>
              <w:t>akustický hlásič</w:t>
            </w:r>
            <w:r>
              <w:rPr>
                <w:sz w:val="16"/>
              </w:rPr>
              <w:t xml:space="preserve"> </w:t>
            </w:r>
          </w:p>
        </w:tc>
      </w:tr>
      <w:tr w:rsidR="007043CB">
        <w:trPr>
          <w:trHeight w:val="214"/>
        </w:trPr>
        <w:tc>
          <w:tcPr>
            <w:tcW w:w="633" w:type="dxa"/>
            <w:tcBorders>
              <w:top w:val="single" w:sz="4" w:space="0" w:color="000000"/>
              <w:left w:val="single" w:sz="12" w:space="0" w:color="000000"/>
              <w:bottom w:val="single" w:sz="12" w:space="0" w:color="000000"/>
              <w:right w:val="single" w:sz="6" w:space="0" w:color="000000"/>
            </w:tcBorders>
          </w:tcPr>
          <w:p w:rsidR="007043CB" w:rsidRDefault="004B5C2E">
            <w:pPr>
              <w:spacing w:after="0" w:line="259" w:lineRule="auto"/>
              <w:ind w:left="1" w:firstLine="0"/>
              <w:jc w:val="left"/>
            </w:pPr>
            <w:r>
              <w:rPr>
                <w:sz w:val="16"/>
              </w:rPr>
              <w:t xml:space="preserve">B6 </w:t>
            </w:r>
          </w:p>
        </w:tc>
        <w:tc>
          <w:tcPr>
            <w:tcW w:w="1560" w:type="dxa"/>
            <w:tcBorders>
              <w:top w:val="single" w:sz="4" w:space="0" w:color="000000"/>
              <w:left w:val="single" w:sz="6" w:space="0" w:color="000000"/>
              <w:bottom w:val="single" w:sz="12" w:space="0" w:color="000000"/>
              <w:right w:val="single" w:sz="6" w:space="0" w:color="000000"/>
            </w:tcBorders>
          </w:tcPr>
          <w:p w:rsidR="007043CB" w:rsidRDefault="004B5C2E">
            <w:pPr>
              <w:spacing w:after="0" w:line="259" w:lineRule="auto"/>
              <w:ind w:left="5" w:firstLine="0"/>
              <w:jc w:val="left"/>
            </w:pPr>
            <w:r>
              <w:rPr>
                <w:sz w:val="16"/>
              </w:rPr>
              <w:t xml:space="preserve">nad 500 000 </w:t>
            </w:r>
          </w:p>
        </w:tc>
        <w:tc>
          <w:tcPr>
            <w:tcW w:w="7771" w:type="dxa"/>
            <w:gridSpan w:val="2"/>
            <w:tcBorders>
              <w:top w:val="single" w:sz="6" w:space="0" w:color="000000"/>
              <w:left w:val="single" w:sz="6" w:space="0" w:color="000000"/>
              <w:bottom w:val="single" w:sz="12" w:space="0" w:color="000000"/>
              <w:right w:val="single" w:sz="12" w:space="0" w:color="000000"/>
            </w:tcBorders>
          </w:tcPr>
          <w:p w:rsidR="007043CB" w:rsidRDefault="004B5C2E">
            <w:pPr>
              <w:spacing w:after="0" w:line="259" w:lineRule="auto"/>
              <w:ind w:left="5" w:firstLine="0"/>
              <w:jc w:val="left"/>
            </w:pPr>
            <w:r>
              <w:rPr>
                <w:sz w:val="16"/>
              </w:rPr>
              <w:t xml:space="preserve">Individuálně ujednaný způsob zabezpečení. </w:t>
            </w:r>
          </w:p>
        </w:tc>
      </w:tr>
    </w:tbl>
    <w:p w:rsidR="007043CB" w:rsidRDefault="004B5C2E">
      <w:pPr>
        <w:spacing w:after="0" w:line="259" w:lineRule="auto"/>
        <w:ind w:left="0" w:firstLine="0"/>
        <w:jc w:val="left"/>
      </w:pPr>
      <w:r>
        <w:rPr>
          <w:b/>
        </w:rPr>
        <w:t xml:space="preserve"> </w:t>
      </w:r>
    </w:p>
    <w:p w:rsidR="007043CB" w:rsidRDefault="004B5C2E">
      <w:pPr>
        <w:spacing w:after="0" w:line="259" w:lineRule="auto"/>
        <w:ind w:left="0" w:firstLine="0"/>
        <w:jc w:val="left"/>
      </w:pPr>
      <w:r>
        <w:rPr>
          <w:b/>
        </w:rPr>
        <w:t xml:space="preserve"> </w:t>
      </w:r>
    </w:p>
    <w:p w:rsidR="007043CB" w:rsidRDefault="004B5C2E">
      <w:pPr>
        <w:spacing w:after="0" w:line="259" w:lineRule="auto"/>
        <w:ind w:left="0" w:firstLine="0"/>
        <w:jc w:val="left"/>
      </w:pPr>
      <w:r>
        <w:rPr>
          <w:b/>
        </w:rPr>
        <w:t xml:space="preserve"> </w:t>
      </w:r>
    </w:p>
    <w:p w:rsidR="007043CB" w:rsidRDefault="004B5C2E">
      <w:pPr>
        <w:spacing w:after="0" w:line="259" w:lineRule="auto"/>
        <w:ind w:left="0" w:firstLine="0"/>
        <w:jc w:val="left"/>
      </w:pPr>
      <w:r>
        <w:rPr>
          <w:b/>
        </w:rPr>
        <w:t xml:space="preserve"> </w:t>
      </w:r>
    </w:p>
    <w:p w:rsidR="007043CB" w:rsidRDefault="004B5C2E">
      <w:pPr>
        <w:spacing w:after="0" w:line="259" w:lineRule="auto"/>
        <w:ind w:left="0" w:firstLine="0"/>
        <w:jc w:val="left"/>
      </w:pPr>
      <w:r>
        <w:rPr>
          <w:b/>
        </w:rPr>
        <w:t xml:space="preserve"> </w:t>
      </w:r>
    </w:p>
    <w:p w:rsidR="007043CB" w:rsidRDefault="004B5C2E">
      <w:pPr>
        <w:spacing w:after="0" w:line="259" w:lineRule="auto"/>
        <w:ind w:left="0" w:firstLine="0"/>
        <w:jc w:val="left"/>
      </w:pPr>
      <w:r>
        <w:rPr>
          <w:b/>
        </w:rPr>
        <w:t xml:space="preserve"> </w:t>
      </w:r>
    </w:p>
    <w:p w:rsidR="007043CB" w:rsidRDefault="004B5C2E">
      <w:pPr>
        <w:spacing w:after="0" w:line="259" w:lineRule="auto"/>
        <w:ind w:left="0" w:firstLine="0"/>
        <w:jc w:val="left"/>
      </w:pPr>
      <w:r>
        <w:rPr>
          <w:b/>
        </w:rPr>
        <w:t xml:space="preserve"> </w:t>
      </w:r>
    </w:p>
    <w:p w:rsidR="007043CB" w:rsidRDefault="004B5C2E">
      <w:pPr>
        <w:numPr>
          <w:ilvl w:val="0"/>
          <w:numId w:val="13"/>
        </w:numPr>
        <w:spacing w:after="7" w:line="250" w:lineRule="auto"/>
        <w:ind w:hanging="185"/>
        <w:jc w:val="left"/>
      </w:pPr>
      <w:r>
        <w:rPr>
          <w:b/>
        </w:rPr>
        <w:t xml:space="preserve">Movité věci a zásoby uložené v uzavřeném prostoru typu „C“ </w:t>
      </w:r>
    </w:p>
    <w:p w:rsidR="007043CB" w:rsidRDefault="004B5C2E">
      <w:pPr>
        <w:spacing w:after="7" w:line="250" w:lineRule="auto"/>
        <w:ind w:left="-5" w:hanging="10"/>
        <w:jc w:val="left"/>
      </w:pPr>
      <w:r>
        <w:t xml:space="preserve">Tabulka č. 3 </w:t>
      </w:r>
      <w:r>
        <w:rPr>
          <w:b/>
        </w:rPr>
        <w:t>Požadavky na</w:t>
      </w:r>
      <w:r>
        <w:t xml:space="preserve"> </w:t>
      </w:r>
      <w:r>
        <w:rPr>
          <w:b/>
        </w:rPr>
        <w:t>způsoby</w:t>
      </w:r>
      <w:r>
        <w:t xml:space="preserve"> </w:t>
      </w:r>
      <w:r>
        <w:rPr>
          <w:b/>
        </w:rPr>
        <w:t>zabezpečení proti odcizení krádeží</w:t>
      </w:r>
      <w:r>
        <w:rPr>
          <w:b/>
          <w:sz w:val="20"/>
        </w:rPr>
        <w:t xml:space="preserve"> </w:t>
      </w:r>
    </w:p>
    <w:tbl>
      <w:tblPr>
        <w:tblStyle w:val="TableGrid"/>
        <w:tblW w:w="9964" w:type="dxa"/>
        <w:tblInd w:w="1" w:type="dxa"/>
        <w:tblCellMar>
          <w:top w:w="39" w:type="dxa"/>
          <w:left w:w="66" w:type="dxa"/>
          <w:right w:w="24" w:type="dxa"/>
        </w:tblCellMar>
        <w:tblLook w:val="04A0" w:firstRow="1" w:lastRow="0" w:firstColumn="1" w:lastColumn="0" w:noHBand="0" w:noVBand="1"/>
      </w:tblPr>
      <w:tblGrid>
        <w:gridCol w:w="633"/>
        <w:gridCol w:w="1054"/>
        <w:gridCol w:w="1620"/>
        <w:gridCol w:w="6657"/>
      </w:tblGrid>
      <w:tr w:rsidR="007043CB">
        <w:trPr>
          <w:trHeight w:val="266"/>
        </w:trPr>
        <w:tc>
          <w:tcPr>
            <w:tcW w:w="633" w:type="dxa"/>
            <w:vMerge w:val="restart"/>
            <w:tcBorders>
              <w:top w:val="single" w:sz="12" w:space="0" w:color="000000"/>
              <w:left w:val="single" w:sz="12" w:space="0" w:color="000000"/>
              <w:bottom w:val="single" w:sz="6" w:space="0" w:color="000000"/>
              <w:right w:val="single" w:sz="6" w:space="0" w:color="000000"/>
            </w:tcBorders>
            <w:shd w:val="clear" w:color="auto" w:fill="CCCCCC"/>
            <w:vAlign w:val="center"/>
          </w:tcPr>
          <w:p w:rsidR="007043CB" w:rsidRDefault="004B5C2E">
            <w:pPr>
              <w:spacing w:after="0" w:line="259" w:lineRule="auto"/>
              <w:ind w:left="0" w:firstLine="0"/>
              <w:jc w:val="left"/>
            </w:pPr>
            <w:r>
              <w:rPr>
                <w:b/>
                <w:sz w:val="16"/>
              </w:rPr>
              <w:t xml:space="preserve">Kód </w:t>
            </w:r>
          </w:p>
        </w:tc>
        <w:tc>
          <w:tcPr>
            <w:tcW w:w="1054" w:type="dxa"/>
            <w:vMerge w:val="restart"/>
            <w:tcBorders>
              <w:top w:val="single" w:sz="12" w:space="0" w:color="000000"/>
              <w:left w:val="single" w:sz="6" w:space="0" w:color="000000"/>
              <w:bottom w:val="single" w:sz="6" w:space="0" w:color="000000"/>
              <w:right w:val="single" w:sz="6" w:space="0" w:color="000000"/>
            </w:tcBorders>
            <w:shd w:val="clear" w:color="auto" w:fill="CCCCCC"/>
          </w:tcPr>
          <w:p w:rsidR="007043CB" w:rsidRDefault="004B5C2E">
            <w:pPr>
              <w:spacing w:after="0" w:line="259" w:lineRule="auto"/>
              <w:ind w:left="4" w:firstLine="0"/>
              <w:jc w:val="left"/>
            </w:pPr>
            <w:r>
              <w:rPr>
                <w:b/>
                <w:sz w:val="16"/>
              </w:rPr>
              <w:t xml:space="preserve">Limit plnění (Kč) </w:t>
            </w:r>
          </w:p>
        </w:tc>
        <w:tc>
          <w:tcPr>
            <w:tcW w:w="8278" w:type="dxa"/>
            <w:gridSpan w:val="2"/>
            <w:tcBorders>
              <w:top w:val="single" w:sz="12" w:space="0" w:color="000000"/>
              <w:left w:val="single" w:sz="6" w:space="0" w:color="000000"/>
              <w:bottom w:val="single" w:sz="7" w:space="0" w:color="CCCCCC"/>
              <w:right w:val="single" w:sz="12" w:space="0" w:color="000000"/>
            </w:tcBorders>
            <w:shd w:val="clear" w:color="auto" w:fill="CCCCCC"/>
          </w:tcPr>
          <w:p w:rsidR="007043CB" w:rsidRDefault="004B5C2E">
            <w:pPr>
              <w:spacing w:after="0" w:line="259" w:lineRule="auto"/>
              <w:ind w:left="4" w:firstLine="0"/>
              <w:jc w:val="left"/>
            </w:pPr>
            <w:r>
              <w:rPr>
                <w:b/>
                <w:sz w:val="16"/>
              </w:rPr>
              <w:t xml:space="preserve">Požadovaný minimální způsob zabezpečení uzavřeného prostoru </w:t>
            </w:r>
          </w:p>
        </w:tc>
      </w:tr>
      <w:tr w:rsidR="007043CB">
        <w:trPr>
          <w:trHeight w:val="260"/>
        </w:trPr>
        <w:tc>
          <w:tcPr>
            <w:tcW w:w="0" w:type="auto"/>
            <w:vMerge/>
            <w:tcBorders>
              <w:top w:val="nil"/>
              <w:left w:val="single" w:sz="12"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1620" w:type="dxa"/>
            <w:tcBorders>
              <w:top w:val="single" w:sz="7" w:space="0" w:color="CCCCCC"/>
              <w:left w:val="single" w:sz="6" w:space="0" w:color="000000"/>
              <w:bottom w:val="single" w:sz="6" w:space="0" w:color="000000"/>
              <w:right w:val="single" w:sz="6" w:space="0" w:color="000000"/>
            </w:tcBorders>
            <w:shd w:val="clear" w:color="auto" w:fill="CCCCCC"/>
          </w:tcPr>
          <w:p w:rsidR="007043CB" w:rsidRDefault="004B5C2E">
            <w:pPr>
              <w:spacing w:after="0" w:line="259" w:lineRule="auto"/>
              <w:ind w:left="4" w:firstLine="0"/>
              <w:jc w:val="left"/>
            </w:pPr>
            <w:r>
              <w:rPr>
                <w:b/>
                <w:sz w:val="16"/>
              </w:rPr>
              <w:t xml:space="preserve">prvek zabezpečení </w:t>
            </w:r>
          </w:p>
        </w:tc>
        <w:tc>
          <w:tcPr>
            <w:tcW w:w="6657" w:type="dxa"/>
            <w:tcBorders>
              <w:top w:val="single" w:sz="7" w:space="0" w:color="CCCCCC"/>
              <w:left w:val="single" w:sz="6" w:space="0" w:color="000000"/>
              <w:bottom w:val="single" w:sz="6" w:space="0" w:color="000000"/>
              <w:right w:val="single" w:sz="12" w:space="0" w:color="000000"/>
            </w:tcBorders>
            <w:shd w:val="clear" w:color="auto" w:fill="CCCCCC"/>
          </w:tcPr>
          <w:p w:rsidR="007043CB" w:rsidRDefault="004B5C2E">
            <w:pPr>
              <w:spacing w:after="0" w:line="259" w:lineRule="auto"/>
              <w:ind w:left="4" w:firstLine="0"/>
              <w:jc w:val="left"/>
            </w:pPr>
            <w:r>
              <w:rPr>
                <w:b/>
                <w:sz w:val="16"/>
              </w:rPr>
              <w:t xml:space="preserve">kvalita prvku zabezpečení </w:t>
            </w:r>
          </w:p>
        </w:tc>
      </w:tr>
      <w:tr w:rsidR="007043CB">
        <w:trPr>
          <w:trHeight w:val="208"/>
        </w:trPr>
        <w:tc>
          <w:tcPr>
            <w:tcW w:w="633" w:type="dxa"/>
            <w:tcBorders>
              <w:top w:val="single" w:sz="6" w:space="0" w:color="000000"/>
              <w:left w:val="single" w:sz="12" w:space="0" w:color="000000"/>
              <w:bottom w:val="single" w:sz="6" w:space="0" w:color="000000"/>
              <w:right w:val="single" w:sz="6" w:space="0" w:color="000000"/>
            </w:tcBorders>
          </w:tcPr>
          <w:p w:rsidR="007043CB" w:rsidRDefault="004B5C2E">
            <w:pPr>
              <w:spacing w:after="0" w:line="259" w:lineRule="auto"/>
              <w:ind w:left="0" w:firstLine="0"/>
              <w:jc w:val="left"/>
            </w:pPr>
            <w:r>
              <w:rPr>
                <w:sz w:val="16"/>
              </w:rPr>
              <w:t xml:space="preserve">C1 </w:t>
            </w:r>
          </w:p>
        </w:tc>
        <w:tc>
          <w:tcPr>
            <w:tcW w:w="1054"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do 20 000 </w:t>
            </w:r>
          </w:p>
        </w:tc>
        <w:tc>
          <w:tcPr>
            <w:tcW w:w="8278" w:type="dxa"/>
            <w:gridSpan w:val="2"/>
            <w:tcBorders>
              <w:top w:val="single" w:sz="6" w:space="0" w:color="000000"/>
              <w:left w:val="single" w:sz="6" w:space="0" w:color="000000"/>
              <w:bottom w:val="single" w:sz="6" w:space="0" w:color="000000"/>
              <w:right w:val="single" w:sz="12" w:space="0" w:color="000000"/>
            </w:tcBorders>
          </w:tcPr>
          <w:p w:rsidR="007043CB" w:rsidRDefault="004B5C2E">
            <w:pPr>
              <w:spacing w:after="0" w:line="259" w:lineRule="auto"/>
              <w:ind w:left="4" w:firstLine="0"/>
              <w:jc w:val="left"/>
            </w:pPr>
            <w:r>
              <w:rPr>
                <w:sz w:val="16"/>
              </w:rPr>
              <w:t xml:space="preserve">Zabezpečení podle odst. 1. této doložky – dále nespecifikováno. </w:t>
            </w:r>
          </w:p>
        </w:tc>
      </w:tr>
      <w:tr w:rsidR="007043CB">
        <w:trPr>
          <w:trHeight w:val="214"/>
        </w:trPr>
        <w:tc>
          <w:tcPr>
            <w:tcW w:w="633" w:type="dxa"/>
            <w:vMerge w:val="restart"/>
            <w:tcBorders>
              <w:top w:val="single" w:sz="6" w:space="0" w:color="000000"/>
              <w:left w:val="single" w:sz="12" w:space="0" w:color="000000"/>
              <w:bottom w:val="single" w:sz="6" w:space="0" w:color="000000"/>
              <w:right w:val="single" w:sz="6" w:space="0" w:color="000000"/>
            </w:tcBorders>
          </w:tcPr>
          <w:p w:rsidR="007043CB" w:rsidRDefault="004B5C2E">
            <w:pPr>
              <w:spacing w:after="0" w:line="259" w:lineRule="auto"/>
              <w:ind w:left="0" w:firstLine="0"/>
              <w:jc w:val="left"/>
            </w:pPr>
            <w:r>
              <w:rPr>
                <w:sz w:val="16"/>
              </w:rPr>
              <w:t xml:space="preserve">C2 </w:t>
            </w:r>
          </w:p>
        </w:tc>
        <w:tc>
          <w:tcPr>
            <w:tcW w:w="1054" w:type="dxa"/>
            <w:vMerge w:val="restart"/>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do 50 000 </w:t>
            </w:r>
          </w:p>
        </w:tc>
        <w:tc>
          <w:tcPr>
            <w:tcW w:w="162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dveře </w:t>
            </w:r>
          </w:p>
        </w:tc>
        <w:tc>
          <w:tcPr>
            <w:tcW w:w="6657" w:type="dxa"/>
            <w:tcBorders>
              <w:top w:val="single" w:sz="6" w:space="0" w:color="000000"/>
              <w:left w:val="single" w:sz="6" w:space="0" w:color="000000"/>
              <w:bottom w:val="single" w:sz="6" w:space="0" w:color="000000"/>
              <w:right w:val="single" w:sz="12" w:space="0" w:color="000000"/>
            </w:tcBorders>
          </w:tcPr>
          <w:p w:rsidR="007043CB" w:rsidRDefault="004B5C2E">
            <w:pPr>
              <w:spacing w:after="0" w:line="259" w:lineRule="auto"/>
              <w:ind w:left="4" w:firstLine="0"/>
              <w:jc w:val="left"/>
            </w:pPr>
            <w:r>
              <w:rPr>
                <w:b/>
                <w:sz w:val="16"/>
              </w:rPr>
              <w:t>běžné</w:t>
            </w:r>
            <w:r>
              <w:rPr>
                <w:sz w:val="16"/>
              </w:rPr>
              <w:t xml:space="preserve"> </w:t>
            </w:r>
          </w:p>
        </w:tc>
      </w:tr>
      <w:tr w:rsidR="007043CB">
        <w:trPr>
          <w:trHeight w:val="595"/>
        </w:trPr>
        <w:tc>
          <w:tcPr>
            <w:tcW w:w="0" w:type="auto"/>
            <w:vMerge/>
            <w:tcBorders>
              <w:top w:val="nil"/>
              <w:left w:val="single" w:sz="12"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162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zámek dveří </w:t>
            </w:r>
          </w:p>
        </w:tc>
        <w:tc>
          <w:tcPr>
            <w:tcW w:w="6657" w:type="dxa"/>
            <w:tcBorders>
              <w:top w:val="single" w:sz="6" w:space="0" w:color="000000"/>
              <w:left w:val="single" w:sz="6" w:space="0" w:color="000000"/>
              <w:bottom w:val="single" w:sz="6" w:space="0" w:color="000000"/>
              <w:right w:val="single" w:sz="12" w:space="0" w:color="000000"/>
            </w:tcBorders>
          </w:tcPr>
          <w:p w:rsidR="007043CB" w:rsidRDefault="004B5C2E">
            <w:pPr>
              <w:numPr>
                <w:ilvl w:val="0"/>
                <w:numId w:val="66"/>
              </w:numPr>
              <w:spacing w:after="0" w:line="259" w:lineRule="auto"/>
              <w:ind w:left="93" w:hanging="89"/>
              <w:jc w:val="left"/>
            </w:pPr>
            <w:r>
              <w:rPr>
                <w:b/>
                <w:sz w:val="16"/>
              </w:rPr>
              <w:t>dozický</w:t>
            </w:r>
            <w:r>
              <w:rPr>
                <w:sz w:val="16"/>
              </w:rPr>
              <w:t xml:space="preserve"> </w:t>
            </w:r>
            <w:r>
              <w:rPr>
                <w:i/>
                <w:sz w:val="16"/>
              </w:rPr>
              <w:t>nebo</w:t>
            </w:r>
            <w:r>
              <w:rPr>
                <w:sz w:val="16"/>
              </w:rPr>
              <w:t xml:space="preserve"> </w:t>
            </w:r>
          </w:p>
          <w:p w:rsidR="007043CB" w:rsidRDefault="004B5C2E">
            <w:pPr>
              <w:numPr>
                <w:ilvl w:val="0"/>
                <w:numId w:val="66"/>
              </w:numPr>
              <w:spacing w:after="0" w:line="259" w:lineRule="auto"/>
              <w:ind w:left="93" w:hanging="89"/>
              <w:jc w:val="left"/>
            </w:pPr>
            <w:r>
              <w:rPr>
                <w:b/>
                <w:sz w:val="16"/>
              </w:rPr>
              <w:t>bezpečnostní visací</w:t>
            </w:r>
            <w:r>
              <w:rPr>
                <w:sz w:val="16"/>
              </w:rPr>
              <w:t xml:space="preserve"> </w:t>
            </w:r>
            <w:r>
              <w:rPr>
                <w:i/>
                <w:sz w:val="16"/>
              </w:rPr>
              <w:t>nebo</w:t>
            </w:r>
            <w:r>
              <w:rPr>
                <w:sz w:val="16"/>
              </w:rPr>
              <w:t xml:space="preserve"> </w:t>
            </w:r>
          </w:p>
          <w:p w:rsidR="007043CB" w:rsidRDefault="004B5C2E">
            <w:pPr>
              <w:numPr>
                <w:ilvl w:val="0"/>
                <w:numId w:val="66"/>
              </w:numPr>
              <w:spacing w:after="0" w:line="259" w:lineRule="auto"/>
              <w:ind w:left="93" w:hanging="89"/>
              <w:jc w:val="left"/>
            </w:pPr>
            <w:r>
              <w:rPr>
                <w:sz w:val="16"/>
              </w:rPr>
              <w:t xml:space="preserve">zámek s </w:t>
            </w:r>
            <w:r>
              <w:rPr>
                <w:b/>
                <w:sz w:val="16"/>
              </w:rPr>
              <w:t>bezpečnostní cylindrickou vložkou</w:t>
            </w:r>
            <w:r>
              <w:rPr>
                <w:sz w:val="16"/>
              </w:rPr>
              <w:t xml:space="preserve"> </w:t>
            </w:r>
          </w:p>
        </w:tc>
      </w:tr>
      <w:tr w:rsidR="007043CB">
        <w:trPr>
          <w:trHeight w:val="211"/>
        </w:trPr>
        <w:tc>
          <w:tcPr>
            <w:tcW w:w="633" w:type="dxa"/>
            <w:vMerge w:val="restart"/>
            <w:tcBorders>
              <w:top w:val="single" w:sz="6" w:space="0" w:color="000000"/>
              <w:left w:val="single" w:sz="12" w:space="0" w:color="000000"/>
              <w:bottom w:val="single" w:sz="6" w:space="0" w:color="000000"/>
              <w:right w:val="single" w:sz="6" w:space="0" w:color="000000"/>
            </w:tcBorders>
          </w:tcPr>
          <w:p w:rsidR="007043CB" w:rsidRDefault="004B5C2E">
            <w:pPr>
              <w:spacing w:after="0" w:line="259" w:lineRule="auto"/>
              <w:ind w:left="0" w:firstLine="0"/>
              <w:jc w:val="left"/>
            </w:pPr>
            <w:r>
              <w:rPr>
                <w:sz w:val="16"/>
              </w:rPr>
              <w:t xml:space="preserve">C3 </w:t>
            </w:r>
          </w:p>
        </w:tc>
        <w:tc>
          <w:tcPr>
            <w:tcW w:w="1054" w:type="dxa"/>
            <w:vMerge w:val="restart"/>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do 100 000 </w:t>
            </w:r>
          </w:p>
        </w:tc>
        <w:tc>
          <w:tcPr>
            <w:tcW w:w="162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dveře </w:t>
            </w:r>
          </w:p>
        </w:tc>
        <w:tc>
          <w:tcPr>
            <w:tcW w:w="6657" w:type="dxa"/>
            <w:tcBorders>
              <w:top w:val="single" w:sz="6" w:space="0" w:color="000000"/>
              <w:left w:val="single" w:sz="6" w:space="0" w:color="000000"/>
              <w:bottom w:val="single" w:sz="6" w:space="0" w:color="000000"/>
              <w:right w:val="single" w:sz="12" w:space="0" w:color="000000"/>
            </w:tcBorders>
          </w:tcPr>
          <w:p w:rsidR="007043CB" w:rsidRDefault="004B5C2E">
            <w:pPr>
              <w:spacing w:after="0" w:line="259" w:lineRule="auto"/>
              <w:ind w:left="4" w:firstLine="0"/>
              <w:jc w:val="left"/>
            </w:pPr>
            <w:r>
              <w:rPr>
                <w:b/>
                <w:sz w:val="16"/>
              </w:rPr>
              <w:t>plné</w:t>
            </w:r>
            <w:r>
              <w:rPr>
                <w:sz w:val="16"/>
              </w:rPr>
              <w:t xml:space="preserve"> </w:t>
            </w:r>
          </w:p>
        </w:tc>
      </w:tr>
      <w:tr w:rsidR="007043CB">
        <w:trPr>
          <w:trHeight w:val="790"/>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7043CB" w:rsidRDefault="007043CB">
            <w:pPr>
              <w:spacing w:after="160" w:line="259" w:lineRule="auto"/>
              <w:ind w:left="0" w:firstLine="0"/>
              <w:jc w:val="left"/>
            </w:pPr>
          </w:p>
        </w:tc>
        <w:tc>
          <w:tcPr>
            <w:tcW w:w="162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zámek dveří </w:t>
            </w:r>
          </w:p>
        </w:tc>
        <w:tc>
          <w:tcPr>
            <w:tcW w:w="6657" w:type="dxa"/>
            <w:tcBorders>
              <w:top w:val="single" w:sz="6" w:space="0" w:color="000000"/>
              <w:left w:val="single" w:sz="6" w:space="0" w:color="000000"/>
              <w:bottom w:val="single" w:sz="6" w:space="0" w:color="000000"/>
              <w:right w:val="single" w:sz="12" w:space="0" w:color="000000"/>
            </w:tcBorders>
          </w:tcPr>
          <w:p w:rsidR="007043CB" w:rsidRDefault="004B5C2E">
            <w:pPr>
              <w:numPr>
                <w:ilvl w:val="0"/>
                <w:numId w:val="67"/>
              </w:numPr>
              <w:spacing w:after="0" w:line="259" w:lineRule="auto"/>
              <w:ind w:firstLine="0"/>
              <w:jc w:val="left"/>
            </w:pPr>
            <w:r>
              <w:rPr>
                <w:b/>
                <w:sz w:val="16"/>
              </w:rPr>
              <w:t>zámek s bezpečnostní cylindrickou vložkou a bezpečnostním kováním</w:t>
            </w:r>
            <w:r>
              <w:rPr>
                <w:sz w:val="16"/>
              </w:rPr>
              <w:t xml:space="preserve"> </w:t>
            </w:r>
            <w:r>
              <w:rPr>
                <w:i/>
                <w:sz w:val="16"/>
              </w:rPr>
              <w:t>nebo</w:t>
            </w:r>
            <w:r>
              <w:rPr>
                <w:sz w:val="16"/>
              </w:rPr>
              <w:t xml:space="preserve"> </w:t>
            </w:r>
          </w:p>
          <w:p w:rsidR="007043CB" w:rsidRDefault="004B5C2E">
            <w:pPr>
              <w:numPr>
                <w:ilvl w:val="0"/>
                <w:numId w:val="67"/>
              </w:numPr>
              <w:spacing w:after="0" w:line="239" w:lineRule="auto"/>
              <w:ind w:firstLine="0"/>
              <w:jc w:val="left"/>
            </w:pPr>
            <w:r>
              <w:rPr>
                <w:sz w:val="16"/>
              </w:rPr>
              <w:t xml:space="preserve">zámek s </w:t>
            </w:r>
            <w:r>
              <w:rPr>
                <w:b/>
                <w:sz w:val="16"/>
              </w:rPr>
              <w:t xml:space="preserve">bezpečnostní cylindrickou vložkou </w:t>
            </w:r>
            <w:r>
              <w:rPr>
                <w:sz w:val="16"/>
              </w:rPr>
              <w:t xml:space="preserve">a současně otevíratelná </w:t>
            </w:r>
            <w:r>
              <w:rPr>
                <w:b/>
                <w:sz w:val="16"/>
              </w:rPr>
              <w:t xml:space="preserve">funkční mříž </w:t>
            </w:r>
            <w:r>
              <w:rPr>
                <w:sz w:val="16"/>
              </w:rPr>
              <w:t xml:space="preserve">nebo </w:t>
            </w:r>
            <w:r>
              <w:rPr>
                <w:b/>
                <w:sz w:val="16"/>
              </w:rPr>
              <w:t xml:space="preserve">funkční roleta </w:t>
            </w:r>
            <w:r>
              <w:rPr>
                <w:i/>
                <w:sz w:val="16"/>
              </w:rPr>
              <w:t>nebo</w:t>
            </w:r>
            <w:r>
              <w:rPr>
                <w:sz w:val="16"/>
              </w:rPr>
              <w:t xml:space="preserve"> </w:t>
            </w:r>
          </w:p>
          <w:p w:rsidR="007043CB" w:rsidRDefault="004B5C2E">
            <w:pPr>
              <w:numPr>
                <w:ilvl w:val="0"/>
                <w:numId w:val="67"/>
              </w:numPr>
              <w:spacing w:after="0" w:line="259" w:lineRule="auto"/>
              <w:ind w:firstLine="0"/>
              <w:jc w:val="left"/>
            </w:pPr>
            <w:r>
              <w:rPr>
                <w:sz w:val="16"/>
              </w:rPr>
              <w:t xml:space="preserve">dva </w:t>
            </w:r>
            <w:r>
              <w:rPr>
                <w:b/>
                <w:sz w:val="16"/>
              </w:rPr>
              <w:t>bezpečnostní visací zámky</w:t>
            </w:r>
            <w:r>
              <w:rPr>
                <w:sz w:val="16"/>
              </w:rPr>
              <w:t xml:space="preserve"> </w:t>
            </w:r>
          </w:p>
        </w:tc>
      </w:tr>
      <w:tr w:rsidR="007043CB">
        <w:trPr>
          <w:trHeight w:val="209"/>
        </w:trPr>
        <w:tc>
          <w:tcPr>
            <w:tcW w:w="0" w:type="auto"/>
            <w:vMerge/>
            <w:tcBorders>
              <w:top w:val="nil"/>
              <w:left w:val="single" w:sz="12"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vAlign w:val="center"/>
          </w:tcPr>
          <w:p w:rsidR="007043CB" w:rsidRDefault="007043CB">
            <w:pPr>
              <w:spacing w:after="160" w:line="259" w:lineRule="auto"/>
              <w:ind w:left="0" w:firstLine="0"/>
              <w:jc w:val="left"/>
            </w:pPr>
          </w:p>
        </w:tc>
        <w:tc>
          <w:tcPr>
            <w:tcW w:w="162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prosklené plochy </w:t>
            </w:r>
          </w:p>
        </w:tc>
        <w:tc>
          <w:tcPr>
            <w:tcW w:w="6657" w:type="dxa"/>
            <w:tcBorders>
              <w:top w:val="single" w:sz="6" w:space="0" w:color="000000"/>
              <w:left w:val="single" w:sz="6" w:space="0" w:color="000000"/>
              <w:bottom w:val="single" w:sz="6" w:space="0" w:color="000000"/>
              <w:right w:val="single" w:sz="12" w:space="0" w:color="000000"/>
            </w:tcBorders>
          </w:tcPr>
          <w:p w:rsidR="007043CB" w:rsidRDefault="004B5C2E">
            <w:pPr>
              <w:spacing w:after="0" w:line="259" w:lineRule="auto"/>
              <w:ind w:left="4" w:firstLine="0"/>
              <w:jc w:val="left"/>
            </w:pPr>
            <w:r>
              <w:rPr>
                <w:sz w:val="16"/>
              </w:rPr>
              <w:t xml:space="preserve">zabezpečení prosklených částí pouze </w:t>
            </w:r>
            <w:r>
              <w:rPr>
                <w:b/>
                <w:sz w:val="16"/>
              </w:rPr>
              <w:t>dveří</w:t>
            </w:r>
            <w:r>
              <w:rPr>
                <w:sz w:val="16"/>
              </w:rPr>
              <w:t xml:space="preserve"> </w:t>
            </w:r>
          </w:p>
        </w:tc>
      </w:tr>
      <w:tr w:rsidR="007043CB">
        <w:trPr>
          <w:trHeight w:val="211"/>
        </w:trPr>
        <w:tc>
          <w:tcPr>
            <w:tcW w:w="633" w:type="dxa"/>
            <w:vMerge w:val="restart"/>
            <w:tcBorders>
              <w:top w:val="single" w:sz="6" w:space="0" w:color="000000"/>
              <w:left w:val="single" w:sz="12" w:space="0" w:color="000000"/>
              <w:bottom w:val="single" w:sz="6" w:space="0" w:color="000000"/>
              <w:right w:val="single" w:sz="6" w:space="0" w:color="000000"/>
            </w:tcBorders>
          </w:tcPr>
          <w:p w:rsidR="007043CB" w:rsidRDefault="004B5C2E">
            <w:pPr>
              <w:spacing w:after="0" w:line="259" w:lineRule="auto"/>
              <w:ind w:left="0" w:firstLine="0"/>
              <w:jc w:val="left"/>
            </w:pPr>
            <w:r>
              <w:rPr>
                <w:sz w:val="16"/>
              </w:rPr>
              <w:t xml:space="preserve">C4 </w:t>
            </w:r>
          </w:p>
        </w:tc>
        <w:tc>
          <w:tcPr>
            <w:tcW w:w="1054" w:type="dxa"/>
            <w:vMerge w:val="restart"/>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do 300 000 </w:t>
            </w:r>
          </w:p>
        </w:tc>
        <w:tc>
          <w:tcPr>
            <w:tcW w:w="162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dveře </w:t>
            </w:r>
          </w:p>
        </w:tc>
        <w:tc>
          <w:tcPr>
            <w:tcW w:w="6657" w:type="dxa"/>
            <w:tcBorders>
              <w:top w:val="single" w:sz="6" w:space="0" w:color="000000"/>
              <w:left w:val="single" w:sz="6" w:space="0" w:color="000000"/>
              <w:bottom w:val="single" w:sz="6" w:space="0" w:color="000000"/>
              <w:right w:val="single" w:sz="12" w:space="0" w:color="000000"/>
            </w:tcBorders>
          </w:tcPr>
          <w:p w:rsidR="007043CB" w:rsidRDefault="004B5C2E">
            <w:pPr>
              <w:spacing w:after="0" w:line="259" w:lineRule="auto"/>
              <w:ind w:left="4" w:firstLine="0"/>
              <w:jc w:val="left"/>
            </w:pPr>
            <w:r>
              <w:rPr>
                <w:b/>
                <w:sz w:val="16"/>
              </w:rPr>
              <w:t xml:space="preserve">plné </w:t>
            </w:r>
          </w:p>
        </w:tc>
      </w:tr>
      <w:tr w:rsidR="007043CB">
        <w:trPr>
          <w:trHeight w:val="593"/>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7043CB" w:rsidRDefault="007043CB">
            <w:pPr>
              <w:spacing w:after="160" w:line="259" w:lineRule="auto"/>
              <w:ind w:left="0" w:firstLine="0"/>
              <w:jc w:val="left"/>
            </w:pPr>
          </w:p>
        </w:tc>
        <w:tc>
          <w:tcPr>
            <w:tcW w:w="162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zámek dveří </w:t>
            </w:r>
          </w:p>
        </w:tc>
        <w:tc>
          <w:tcPr>
            <w:tcW w:w="6657" w:type="dxa"/>
            <w:tcBorders>
              <w:top w:val="single" w:sz="6" w:space="0" w:color="000000"/>
              <w:left w:val="single" w:sz="6" w:space="0" w:color="000000"/>
              <w:bottom w:val="single" w:sz="6" w:space="0" w:color="000000"/>
              <w:right w:val="single" w:sz="12" w:space="0" w:color="000000"/>
            </w:tcBorders>
          </w:tcPr>
          <w:p w:rsidR="007043CB" w:rsidRDefault="004B5C2E">
            <w:pPr>
              <w:numPr>
                <w:ilvl w:val="0"/>
                <w:numId w:val="68"/>
              </w:numPr>
              <w:spacing w:after="0" w:line="259" w:lineRule="auto"/>
              <w:ind w:firstLine="0"/>
              <w:jc w:val="left"/>
            </w:pPr>
            <w:r>
              <w:rPr>
                <w:b/>
                <w:sz w:val="16"/>
              </w:rPr>
              <w:t>bezpečnostní uzamykací systém</w:t>
            </w:r>
            <w:r>
              <w:rPr>
                <w:sz w:val="16"/>
              </w:rPr>
              <w:t xml:space="preserve"> </w:t>
            </w:r>
            <w:r>
              <w:rPr>
                <w:i/>
                <w:sz w:val="16"/>
              </w:rPr>
              <w:t>nebo</w:t>
            </w:r>
            <w:r>
              <w:rPr>
                <w:sz w:val="16"/>
              </w:rPr>
              <w:t xml:space="preserve"> </w:t>
            </w:r>
          </w:p>
          <w:p w:rsidR="007043CB" w:rsidRDefault="004B5C2E">
            <w:pPr>
              <w:numPr>
                <w:ilvl w:val="0"/>
                <w:numId w:val="68"/>
              </w:numPr>
              <w:spacing w:after="0" w:line="259" w:lineRule="auto"/>
              <w:ind w:firstLine="0"/>
              <w:jc w:val="left"/>
            </w:pPr>
            <w:r>
              <w:rPr>
                <w:sz w:val="16"/>
              </w:rPr>
              <w:t xml:space="preserve">zámek s </w:t>
            </w:r>
            <w:r>
              <w:rPr>
                <w:b/>
                <w:sz w:val="16"/>
              </w:rPr>
              <w:t xml:space="preserve">bezpečnostní cylindrickou vložkou </w:t>
            </w:r>
            <w:r>
              <w:rPr>
                <w:sz w:val="16"/>
              </w:rPr>
              <w:t xml:space="preserve">a současně otevíratelná </w:t>
            </w:r>
            <w:r>
              <w:rPr>
                <w:b/>
                <w:sz w:val="16"/>
              </w:rPr>
              <w:t xml:space="preserve">funkční mříž </w:t>
            </w:r>
            <w:r>
              <w:rPr>
                <w:sz w:val="16"/>
              </w:rPr>
              <w:t xml:space="preserve">nebo </w:t>
            </w:r>
            <w:r>
              <w:rPr>
                <w:b/>
                <w:sz w:val="16"/>
              </w:rPr>
              <w:t>funkční roleta</w:t>
            </w:r>
            <w:r>
              <w:rPr>
                <w:sz w:val="16"/>
              </w:rPr>
              <w:t xml:space="preserve"> </w:t>
            </w:r>
          </w:p>
        </w:tc>
      </w:tr>
      <w:tr w:rsidR="007043CB">
        <w:trPr>
          <w:trHeight w:val="401"/>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7043CB" w:rsidRDefault="007043CB">
            <w:pPr>
              <w:spacing w:after="160" w:line="259" w:lineRule="auto"/>
              <w:ind w:left="0" w:firstLine="0"/>
              <w:jc w:val="left"/>
            </w:pPr>
          </w:p>
        </w:tc>
        <w:tc>
          <w:tcPr>
            <w:tcW w:w="162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prosklené plochy </w:t>
            </w:r>
          </w:p>
        </w:tc>
        <w:tc>
          <w:tcPr>
            <w:tcW w:w="6657" w:type="dxa"/>
            <w:tcBorders>
              <w:top w:val="single" w:sz="6" w:space="0" w:color="000000"/>
              <w:left w:val="single" w:sz="6" w:space="0" w:color="000000"/>
              <w:bottom w:val="single" w:sz="6" w:space="0" w:color="000000"/>
              <w:right w:val="single" w:sz="12" w:space="0" w:color="000000"/>
            </w:tcBorders>
          </w:tcPr>
          <w:p w:rsidR="007043CB" w:rsidRDefault="004B5C2E">
            <w:pPr>
              <w:spacing w:after="0" w:line="259" w:lineRule="auto"/>
              <w:ind w:left="4" w:firstLine="0"/>
            </w:pPr>
            <w:r>
              <w:rPr>
                <w:sz w:val="16"/>
              </w:rPr>
              <w:t xml:space="preserve">zabezpečení prosklených částí </w:t>
            </w:r>
            <w:r>
              <w:rPr>
                <w:b/>
                <w:sz w:val="16"/>
              </w:rPr>
              <w:t>oken</w:t>
            </w:r>
            <w:r>
              <w:rPr>
                <w:sz w:val="16"/>
              </w:rPr>
              <w:t>,</w:t>
            </w:r>
            <w:r>
              <w:rPr>
                <w:b/>
                <w:sz w:val="16"/>
              </w:rPr>
              <w:t xml:space="preserve"> dveří</w:t>
            </w:r>
            <w:r>
              <w:rPr>
                <w:sz w:val="16"/>
              </w:rPr>
              <w:t xml:space="preserve"> a </w:t>
            </w:r>
            <w:r>
              <w:rPr>
                <w:b/>
                <w:sz w:val="16"/>
              </w:rPr>
              <w:t xml:space="preserve">jiných technických otvorů </w:t>
            </w:r>
            <w:r>
              <w:rPr>
                <w:sz w:val="16"/>
              </w:rPr>
              <w:t xml:space="preserve">s plochou větší než </w:t>
            </w:r>
          </w:p>
          <w:p w:rsidR="007043CB" w:rsidRDefault="004B5C2E">
            <w:pPr>
              <w:spacing w:after="0" w:line="259" w:lineRule="auto"/>
              <w:ind w:left="4" w:firstLine="0"/>
              <w:jc w:val="left"/>
            </w:pPr>
            <w:r>
              <w:rPr>
                <w:sz w:val="16"/>
              </w:rPr>
              <w:t>600 cm</w:t>
            </w:r>
            <w:r>
              <w:rPr>
                <w:sz w:val="16"/>
                <w:vertAlign w:val="superscript"/>
              </w:rPr>
              <w:t xml:space="preserve">2 </w:t>
            </w:r>
          </w:p>
        </w:tc>
      </w:tr>
      <w:tr w:rsidR="007043CB">
        <w:trPr>
          <w:trHeight w:val="209"/>
        </w:trPr>
        <w:tc>
          <w:tcPr>
            <w:tcW w:w="0" w:type="auto"/>
            <w:vMerge/>
            <w:tcBorders>
              <w:top w:val="nil"/>
              <w:left w:val="single" w:sz="12"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162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EZS </w:t>
            </w:r>
          </w:p>
        </w:tc>
        <w:tc>
          <w:tcPr>
            <w:tcW w:w="6657" w:type="dxa"/>
            <w:tcBorders>
              <w:top w:val="single" w:sz="6" w:space="0" w:color="000000"/>
              <w:left w:val="single" w:sz="6" w:space="0" w:color="000000"/>
              <w:bottom w:val="single" w:sz="6" w:space="0" w:color="000000"/>
              <w:right w:val="single" w:sz="12" w:space="0" w:color="000000"/>
            </w:tcBorders>
          </w:tcPr>
          <w:p w:rsidR="007043CB" w:rsidRDefault="004B5C2E">
            <w:pPr>
              <w:spacing w:after="0" w:line="259" w:lineRule="auto"/>
              <w:ind w:left="4" w:firstLine="0"/>
              <w:jc w:val="left"/>
            </w:pPr>
            <w:r>
              <w:rPr>
                <w:sz w:val="16"/>
              </w:rPr>
              <w:t xml:space="preserve">s plášťovou a prostorovou ochranou s vyvedením poplach. signálu na </w:t>
            </w:r>
            <w:r>
              <w:rPr>
                <w:b/>
                <w:sz w:val="16"/>
              </w:rPr>
              <w:t>akustický hlásič</w:t>
            </w:r>
            <w:r>
              <w:rPr>
                <w:sz w:val="16"/>
              </w:rPr>
              <w:t xml:space="preserve"> </w:t>
            </w:r>
          </w:p>
        </w:tc>
      </w:tr>
      <w:tr w:rsidR="007043CB">
        <w:trPr>
          <w:trHeight w:val="212"/>
        </w:trPr>
        <w:tc>
          <w:tcPr>
            <w:tcW w:w="633" w:type="dxa"/>
            <w:vMerge w:val="restart"/>
            <w:tcBorders>
              <w:top w:val="single" w:sz="6" w:space="0" w:color="000000"/>
              <w:left w:val="single" w:sz="12" w:space="0" w:color="000000"/>
              <w:bottom w:val="single" w:sz="6" w:space="0" w:color="000000"/>
              <w:right w:val="single" w:sz="6" w:space="0" w:color="000000"/>
            </w:tcBorders>
          </w:tcPr>
          <w:p w:rsidR="007043CB" w:rsidRDefault="004B5C2E">
            <w:pPr>
              <w:spacing w:after="0" w:line="259" w:lineRule="auto"/>
              <w:ind w:left="0" w:firstLine="0"/>
              <w:jc w:val="left"/>
            </w:pPr>
            <w:r>
              <w:rPr>
                <w:sz w:val="16"/>
              </w:rPr>
              <w:t xml:space="preserve">C5 </w:t>
            </w:r>
          </w:p>
        </w:tc>
        <w:tc>
          <w:tcPr>
            <w:tcW w:w="1054" w:type="dxa"/>
            <w:vMerge w:val="restart"/>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do 500 000 </w:t>
            </w:r>
          </w:p>
        </w:tc>
        <w:tc>
          <w:tcPr>
            <w:tcW w:w="162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dveře </w:t>
            </w:r>
          </w:p>
        </w:tc>
        <w:tc>
          <w:tcPr>
            <w:tcW w:w="6657" w:type="dxa"/>
            <w:tcBorders>
              <w:top w:val="single" w:sz="6" w:space="0" w:color="000000"/>
              <w:left w:val="single" w:sz="6" w:space="0" w:color="000000"/>
              <w:bottom w:val="single" w:sz="6" w:space="0" w:color="000000"/>
              <w:right w:val="single" w:sz="12" w:space="0" w:color="000000"/>
            </w:tcBorders>
          </w:tcPr>
          <w:p w:rsidR="007043CB" w:rsidRDefault="004B5C2E">
            <w:pPr>
              <w:spacing w:after="0" w:line="259" w:lineRule="auto"/>
              <w:ind w:left="4" w:firstLine="0"/>
              <w:jc w:val="left"/>
            </w:pPr>
            <w:r>
              <w:rPr>
                <w:b/>
                <w:sz w:val="16"/>
              </w:rPr>
              <w:t xml:space="preserve">plné </w:t>
            </w:r>
          </w:p>
        </w:tc>
      </w:tr>
      <w:tr w:rsidR="007043CB">
        <w:trPr>
          <w:trHeight w:val="595"/>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7043CB" w:rsidRDefault="007043CB">
            <w:pPr>
              <w:spacing w:after="160" w:line="259" w:lineRule="auto"/>
              <w:ind w:left="0" w:firstLine="0"/>
              <w:jc w:val="left"/>
            </w:pPr>
          </w:p>
        </w:tc>
        <w:tc>
          <w:tcPr>
            <w:tcW w:w="162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zámek dveří </w:t>
            </w:r>
          </w:p>
        </w:tc>
        <w:tc>
          <w:tcPr>
            <w:tcW w:w="6657" w:type="dxa"/>
            <w:tcBorders>
              <w:top w:val="single" w:sz="6" w:space="0" w:color="000000"/>
              <w:left w:val="single" w:sz="6" w:space="0" w:color="000000"/>
              <w:bottom w:val="single" w:sz="6" w:space="0" w:color="000000"/>
              <w:right w:val="single" w:sz="12" w:space="0" w:color="000000"/>
            </w:tcBorders>
          </w:tcPr>
          <w:p w:rsidR="007043CB" w:rsidRDefault="004B5C2E">
            <w:pPr>
              <w:numPr>
                <w:ilvl w:val="0"/>
                <w:numId w:val="69"/>
              </w:numPr>
              <w:spacing w:after="0" w:line="259" w:lineRule="auto"/>
              <w:ind w:left="93" w:hanging="89"/>
              <w:jc w:val="left"/>
            </w:pPr>
            <w:r>
              <w:rPr>
                <w:b/>
                <w:sz w:val="16"/>
              </w:rPr>
              <w:t>bezpečnostní uzamykací systém</w:t>
            </w:r>
            <w:r>
              <w:rPr>
                <w:sz w:val="16"/>
              </w:rPr>
              <w:t xml:space="preserve"> a současně </w:t>
            </w:r>
            <w:r>
              <w:rPr>
                <w:b/>
                <w:sz w:val="16"/>
              </w:rPr>
              <w:t xml:space="preserve">přídavný bezpečnostní zámek </w:t>
            </w:r>
            <w:r>
              <w:rPr>
                <w:i/>
                <w:sz w:val="16"/>
              </w:rPr>
              <w:t>nebo</w:t>
            </w:r>
            <w:r>
              <w:rPr>
                <w:sz w:val="16"/>
              </w:rPr>
              <w:t xml:space="preserve"> </w:t>
            </w:r>
          </w:p>
          <w:p w:rsidR="007043CB" w:rsidRDefault="004B5C2E">
            <w:pPr>
              <w:numPr>
                <w:ilvl w:val="0"/>
                <w:numId w:val="69"/>
              </w:numPr>
              <w:spacing w:after="0" w:line="259" w:lineRule="auto"/>
              <w:ind w:left="93" w:hanging="89"/>
              <w:jc w:val="left"/>
            </w:pPr>
            <w:r>
              <w:rPr>
                <w:b/>
                <w:sz w:val="16"/>
              </w:rPr>
              <w:t>tříbodový rozvorový zámek</w:t>
            </w:r>
            <w:r>
              <w:rPr>
                <w:sz w:val="16"/>
              </w:rPr>
              <w:t xml:space="preserve"> </w:t>
            </w:r>
            <w:r>
              <w:rPr>
                <w:i/>
                <w:sz w:val="16"/>
              </w:rPr>
              <w:t>nebo</w:t>
            </w:r>
            <w:r>
              <w:rPr>
                <w:b/>
                <w:sz w:val="16"/>
              </w:rPr>
              <w:t xml:space="preserve"> </w:t>
            </w:r>
          </w:p>
          <w:p w:rsidR="007043CB" w:rsidRDefault="004B5C2E">
            <w:pPr>
              <w:numPr>
                <w:ilvl w:val="0"/>
                <w:numId w:val="69"/>
              </w:numPr>
              <w:spacing w:after="0" w:line="259" w:lineRule="auto"/>
              <w:ind w:left="93" w:hanging="89"/>
              <w:jc w:val="left"/>
            </w:pPr>
            <w:r>
              <w:rPr>
                <w:b/>
                <w:sz w:val="16"/>
              </w:rPr>
              <w:t>bezpečnostní uzamykací systém</w:t>
            </w:r>
            <w:r>
              <w:rPr>
                <w:sz w:val="16"/>
              </w:rPr>
              <w:t xml:space="preserve"> a současně otevíratelná </w:t>
            </w:r>
            <w:r>
              <w:rPr>
                <w:b/>
                <w:sz w:val="16"/>
              </w:rPr>
              <w:t xml:space="preserve">funkční mříž (funkční roleta) </w:t>
            </w:r>
          </w:p>
        </w:tc>
      </w:tr>
      <w:tr w:rsidR="007043CB">
        <w:trPr>
          <w:trHeight w:val="209"/>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7043CB" w:rsidRDefault="007043CB">
            <w:pPr>
              <w:spacing w:after="160" w:line="259" w:lineRule="auto"/>
              <w:ind w:left="0" w:firstLine="0"/>
              <w:jc w:val="left"/>
            </w:pPr>
          </w:p>
        </w:tc>
        <w:tc>
          <w:tcPr>
            <w:tcW w:w="162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prosklené plochy </w:t>
            </w:r>
          </w:p>
        </w:tc>
        <w:tc>
          <w:tcPr>
            <w:tcW w:w="6657" w:type="dxa"/>
            <w:tcBorders>
              <w:top w:val="single" w:sz="6" w:space="0" w:color="000000"/>
              <w:left w:val="single" w:sz="6" w:space="0" w:color="000000"/>
              <w:bottom w:val="single" w:sz="6" w:space="0" w:color="000000"/>
              <w:right w:val="single" w:sz="12" w:space="0" w:color="000000"/>
            </w:tcBorders>
          </w:tcPr>
          <w:p w:rsidR="007043CB" w:rsidRDefault="004B5C2E">
            <w:pPr>
              <w:spacing w:after="0" w:line="259" w:lineRule="auto"/>
              <w:ind w:left="4" w:firstLine="0"/>
              <w:jc w:val="left"/>
            </w:pPr>
            <w:r>
              <w:rPr>
                <w:sz w:val="16"/>
              </w:rPr>
              <w:t xml:space="preserve">v rozsahu </w:t>
            </w:r>
            <w:r>
              <w:rPr>
                <w:b/>
                <w:sz w:val="16"/>
              </w:rPr>
              <w:t xml:space="preserve">C4 </w:t>
            </w:r>
          </w:p>
        </w:tc>
      </w:tr>
      <w:tr w:rsidR="007043CB">
        <w:trPr>
          <w:trHeight w:val="401"/>
        </w:trPr>
        <w:tc>
          <w:tcPr>
            <w:tcW w:w="0" w:type="auto"/>
            <w:vMerge/>
            <w:tcBorders>
              <w:top w:val="nil"/>
              <w:left w:val="single" w:sz="12"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162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EZS </w:t>
            </w:r>
          </w:p>
        </w:tc>
        <w:tc>
          <w:tcPr>
            <w:tcW w:w="6657" w:type="dxa"/>
            <w:tcBorders>
              <w:top w:val="single" w:sz="6" w:space="0" w:color="000000"/>
              <w:left w:val="single" w:sz="6" w:space="0" w:color="000000"/>
              <w:bottom w:val="single" w:sz="6" w:space="0" w:color="000000"/>
              <w:right w:val="single" w:sz="12" w:space="0" w:color="000000"/>
            </w:tcBorders>
          </w:tcPr>
          <w:p w:rsidR="007043CB" w:rsidRDefault="004B5C2E">
            <w:pPr>
              <w:spacing w:after="0" w:line="259" w:lineRule="auto"/>
              <w:ind w:left="4" w:firstLine="0"/>
            </w:pPr>
            <w:r>
              <w:rPr>
                <w:sz w:val="16"/>
              </w:rPr>
              <w:t xml:space="preserve">s plášťovou a prostorovou ochranou s vyvedením poplachového signálu na </w:t>
            </w:r>
            <w:r>
              <w:rPr>
                <w:b/>
                <w:sz w:val="16"/>
              </w:rPr>
              <w:t xml:space="preserve">PCO </w:t>
            </w:r>
            <w:r>
              <w:rPr>
                <w:sz w:val="16"/>
              </w:rPr>
              <w:t xml:space="preserve">nebo do </w:t>
            </w:r>
            <w:r>
              <w:rPr>
                <w:b/>
                <w:sz w:val="16"/>
              </w:rPr>
              <w:t>místa s nepřetržitou službou</w:t>
            </w:r>
            <w:r>
              <w:rPr>
                <w:sz w:val="16"/>
              </w:rPr>
              <w:t xml:space="preserve"> </w:t>
            </w:r>
          </w:p>
        </w:tc>
      </w:tr>
      <w:tr w:rsidR="007043CB">
        <w:trPr>
          <w:trHeight w:val="216"/>
        </w:trPr>
        <w:tc>
          <w:tcPr>
            <w:tcW w:w="633" w:type="dxa"/>
            <w:tcBorders>
              <w:top w:val="single" w:sz="6" w:space="0" w:color="000000"/>
              <w:left w:val="single" w:sz="12" w:space="0" w:color="000000"/>
              <w:bottom w:val="single" w:sz="12" w:space="0" w:color="000000"/>
              <w:right w:val="single" w:sz="6" w:space="0" w:color="000000"/>
            </w:tcBorders>
          </w:tcPr>
          <w:p w:rsidR="007043CB" w:rsidRDefault="004B5C2E">
            <w:pPr>
              <w:spacing w:after="0" w:line="259" w:lineRule="auto"/>
              <w:ind w:left="0" w:firstLine="0"/>
              <w:jc w:val="left"/>
            </w:pPr>
            <w:r>
              <w:rPr>
                <w:sz w:val="16"/>
              </w:rPr>
              <w:t xml:space="preserve">C6 </w:t>
            </w:r>
          </w:p>
        </w:tc>
        <w:tc>
          <w:tcPr>
            <w:tcW w:w="1054" w:type="dxa"/>
            <w:tcBorders>
              <w:top w:val="single" w:sz="6" w:space="0" w:color="000000"/>
              <w:left w:val="single" w:sz="6" w:space="0" w:color="000000"/>
              <w:bottom w:val="single" w:sz="12" w:space="0" w:color="000000"/>
              <w:right w:val="single" w:sz="6" w:space="0" w:color="000000"/>
            </w:tcBorders>
          </w:tcPr>
          <w:p w:rsidR="007043CB" w:rsidRDefault="004B5C2E">
            <w:pPr>
              <w:spacing w:after="0" w:line="259" w:lineRule="auto"/>
              <w:ind w:left="4" w:firstLine="0"/>
            </w:pPr>
            <w:r>
              <w:rPr>
                <w:sz w:val="16"/>
              </w:rPr>
              <w:t xml:space="preserve">nad 500 000 </w:t>
            </w:r>
          </w:p>
        </w:tc>
        <w:tc>
          <w:tcPr>
            <w:tcW w:w="8278" w:type="dxa"/>
            <w:gridSpan w:val="2"/>
            <w:tcBorders>
              <w:top w:val="single" w:sz="6" w:space="0" w:color="000000"/>
              <w:left w:val="single" w:sz="6" w:space="0" w:color="000000"/>
              <w:bottom w:val="single" w:sz="12" w:space="0" w:color="000000"/>
              <w:right w:val="single" w:sz="12" w:space="0" w:color="000000"/>
            </w:tcBorders>
          </w:tcPr>
          <w:p w:rsidR="007043CB" w:rsidRDefault="004B5C2E">
            <w:pPr>
              <w:spacing w:after="0" w:line="259" w:lineRule="auto"/>
              <w:ind w:left="4" w:firstLine="0"/>
              <w:jc w:val="left"/>
            </w:pPr>
            <w:r>
              <w:rPr>
                <w:sz w:val="16"/>
              </w:rPr>
              <w:t xml:space="preserve">Individuálně ujednaný způsob zabezpečení. </w:t>
            </w:r>
          </w:p>
        </w:tc>
      </w:tr>
    </w:tbl>
    <w:p w:rsidR="007043CB" w:rsidRDefault="004B5C2E">
      <w:pPr>
        <w:spacing w:after="0" w:line="259" w:lineRule="auto"/>
        <w:ind w:left="428" w:firstLine="0"/>
        <w:jc w:val="left"/>
      </w:pPr>
      <w:r>
        <w:rPr>
          <w:i/>
          <w:sz w:val="20"/>
        </w:rPr>
        <w:t xml:space="preserve"> </w:t>
      </w:r>
    </w:p>
    <w:p w:rsidR="007043CB" w:rsidRDefault="004B5C2E">
      <w:pPr>
        <w:spacing w:after="7" w:line="250" w:lineRule="auto"/>
        <w:ind w:left="-5" w:hanging="10"/>
        <w:jc w:val="left"/>
      </w:pPr>
      <w:r>
        <w:rPr>
          <w:b/>
        </w:rPr>
        <w:t xml:space="preserve">II. Movité věci a zásoby uložené mimo uzavřený prostor na oploceném prostranství </w:t>
      </w:r>
    </w:p>
    <w:p w:rsidR="007043CB" w:rsidRDefault="004B5C2E">
      <w:pPr>
        <w:ind w:left="-15" w:firstLine="0"/>
      </w:pPr>
      <w:r>
        <w:t xml:space="preserve">Pojištění se vztahuje na škody vzniklé krádeží na věcech, u kterých je obvyklé vzhledem k jejich vlastnostem a charakteru (hmotnost, objem, druh materiálu apod.) uložení na oploceném prostranství. Pojištění se nevztahuje na škody vzniklé na cennostech, cenných věcech, věcech zvláštní hodnoty, písemnostech, ručním nářadí, výpočetní technice, elektronických zařízeních (pokud nejsou součástí nebo příslušenstvím jiné věci) apod. </w:t>
      </w:r>
    </w:p>
    <w:p w:rsidR="007043CB" w:rsidRDefault="004B5C2E">
      <w:pPr>
        <w:spacing w:after="0" w:line="259" w:lineRule="auto"/>
        <w:ind w:left="0" w:firstLine="0"/>
        <w:jc w:val="left"/>
      </w:pPr>
      <w:r>
        <w:t xml:space="preserve"> </w:t>
      </w:r>
    </w:p>
    <w:p w:rsidR="007043CB" w:rsidRDefault="004B5C2E">
      <w:pPr>
        <w:spacing w:after="7" w:line="250" w:lineRule="auto"/>
        <w:ind w:left="-5" w:hanging="10"/>
        <w:jc w:val="left"/>
      </w:pPr>
      <w:r>
        <w:t xml:space="preserve">Tabulka č. 4 </w:t>
      </w:r>
      <w:r>
        <w:rPr>
          <w:b/>
        </w:rPr>
        <w:t xml:space="preserve">Požadavky na způsoby zabezpečení proti odcizení krádeží </w:t>
      </w:r>
    </w:p>
    <w:tbl>
      <w:tblPr>
        <w:tblStyle w:val="TableGrid"/>
        <w:tblW w:w="9964" w:type="dxa"/>
        <w:tblInd w:w="1" w:type="dxa"/>
        <w:tblCellMar>
          <w:top w:w="39" w:type="dxa"/>
          <w:left w:w="66" w:type="dxa"/>
          <w:right w:w="23" w:type="dxa"/>
        </w:tblCellMar>
        <w:tblLook w:val="04A0" w:firstRow="1" w:lastRow="0" w:firstColumn="1" w:lastColumn="0" w:noHBand="0" w:noVBand="1"/>
      </w:tblPr>
      <w:tblGrid>
        <w:gridCol w:w="606"/>
        <w:gridCol w:w="1080"/>
        <w:gridCol w:w="1620"/>
        <w:gridCol w:w="6658"/>
      </w:tblGrid>
      <w:tr w:rsidR="007043CB">
        <w:trPr>
          <w:trHeight w:val="373"/>
        </w:trPr>
        <w:tc>
          <w:tcPr>
            <w:tcW w:w="606" w:type="dxa"/>
            <w:vMerge w:val="restart"/>
            <w:tcBorders>
              <w:top w:val="single" w:sz="12" w:space="0" w:color="000000"/>
              <w:left w:val="single" w:sz="12" w:space="0" w:color="000000"/>
              <w:bottom w:val="single" w:sz="6" w:space="0" w:color="000000"/>
              <w:right w:val="single" w:sz="6" w:space="0" w:color="000000"/>
            </w:tcBorders>
            <w:shd w:val="clear" w:color="auto" w:fill="CCCCCC"/>
            <w:vAlign w:val="center"/>
          </w:tcPr>
          <w:p w:rsidR="007043CB" w:rsidRDefault="004B5C2E">
            <w:pPr>
              <w:spacing w:after="0" w:line="259" w:lineRule="auto"/>
              <w:ind w:left="0" w:firstLine="0"/>
              <w:jc w:val="left"/>
            </w:pPr>
            <w:r>
              <w:rPr>
                <w:sz w:val="16"/>
              </w:rPr>
              <w:t xml:space="preserve">Kód </w:t>
            </w:r>
          </w:p>
        </w:tc>
        <w:tc>
          <w:tcPr>
            <w:tcW w:w="1080" w:type="dxa"/>
            <w:vMerge w:val="restart"/>
            <w:tcBorders>
              <w:top w:val="single" w:sz="12" w:space="0" w:color="000000"/>
              <w:left w:val="single" w:sz="6" w:space="0" w:color="000000"/>
              <w:bottom w:val="single" w:sz="6" w:space="0" w:color="000000"/>
              <w:right w:val="single" w:sz="6" w:space="0" w:color="000000"/>
            </w:tcBorders>
            <w:shd w:val="clear" w:color="auto" w:fill="CCCCCC"/>
            <w:vAlign w:val="center"/>
          </w:tcPr>
          <w:p w:rsidR="007043CB" w:rsidRDefault="004B5C2E">
            <w:pPr>
              <w:spacing w:after="0" w:line="259" w:lineRule="auto"/>
              <w:ind w:left="4" w:firstLine="0"/>
              <w:jc w:val="left"/>
            </w:pPr>
            <w:r>
              <w:rPr>
                <w:sz w:val="16"/>
              </w:rPr>
              <w:t xml:space="preserve">Limit plnění (Kč) </w:t>
            </w:r>
          </w:p>
        </w:tc>
        <w:tc>
          <w:tcPr>
            <w:tcW w:w="8278" w:type="dxa"/>
            <w:gridSpan w:val="2"/>
            <w:tcBorders>
              <w:top w:val="single" w:sz="12" w:space="0" w:color="000000"/>
              <w:left w:val="single" w:sz="6" w:space="0" w:color="000000"/>
              <w:bottom w:val="single" w:sz="7" w:space="0" w:color="CCCCCC"/>
              <w:right w:val="single" w:sz="12" w:space="0" w:color="000000"/>
            </w:tcBorders>
            <w:shd w:val="clear" w:color="auto" w:fill="CCCCCC"/>
          </w:tcPr>
          <w:p w:rsidR="007043CB" w:rsidRDefault="004B5C2E">
            <w:pPr>
              <w:spacing w:after="0" w:line="259" w:lineRule="auto"/>
              <w:ind w:left="4" w:firstLine="0"/>
              <w:jc w:val="left"/>
            </w:pPr>
            <w:r>
              <w:rPr>
                <w:sz w:val="16"/>
              </w:rPr>
              <w:t xml:space="preserve">Požadovaný minimální způsob zabezpečení oploceného prostranství </w:t>
            </w:r>
          </w:p>
        </w:tc>
      </w:tr>
      <w:tr w:rsidR="007043CB">
        <w:trPr>
          <w:trHeight w:val="332"/>
        </w:trPr>
        <w:tc>
          <w:tcPr>
            <w:tcW w:w="0" w:type="auto"/>
            <w:vMerge/>
            <w:tcBorders>
              <w:top w:val="nil"/>
              <w:left w:val="single" w:sz="12"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1620" w:type="dxa"/>
            <w:tcBorders>
              <w:top w:val="single" w:sz="7" w:space="0" w:color="CCCCCC"/>
              <w:left w:val="single" w:sz="6" w:space="0" w:color="000000"/>
              <w:bottom w:val="single" w:sz="6" w:space="0" w:color="000000"/>
              <w:right w:val="single" w:sz="6" w:space="0" w:color="000000"/>
            </w:tcBorders>
            <w:shd w:val="clear" w:color="auto" w:fill="CCCCCC"/>
          </w:tcPr>
          <w:p w:rsidR="007043CB" w:rsidRDefault="004B5C2E">
            <w:pPr>
              <w:spacing w:after="0" w:line="259" w:lineRule="auto"/>
              <w:ind w:left="4" w:firstLine="0"/>
              <w:jc w:val="left"/>
            </w:pPr>
            <w:r>
              <w:rPr>
                <w:sz w:val="16"/>
              </w:rPr>
              <w:t xml:space="preserve">prvek zabezpečení </w:t>
            </w:r>
          </w:p>
        </w:tc>
        <w:tc>
          <w:tcPr>
            <w:tcW w:w="6657" w:type="dxa"/>
            <w:tcBorders>
              <w:top w:val="single" w:sz="7" w:space="0" w:color="CCCCCC"/>
              <w:left w:val="single" w:sz="6" w:space="0" w:color="000000"/>
              <w:bottom w:val="single" w:sz="6" w:space="0" w:color="000000"/>
              <w:right w:val="single" w:sz="12" w:space="0" w:color="000000"/>
            </w:tcBorders>
            <w:shd w:val="clear" w:color="auto" w:fill="CCCCCC"/>
          </w:tcPr>
          <w:p w:rsidR="007043CB" w:rsidRDefault="004B5C2E">
            <w:pPr>
              <w:spacing w:after="0" w:line="259" w:lineRule="auto"/>
              <w:ind w:left="4" w:firstLine="0"/>
              <w:jc w:val="left"/>
            </w:pPr>
            <w:r>
              <w:rPr>
                <w:sz w:val="16"/>
              </w:rPr>
              <w:t xml:space="preserve">kvalita prvku zabezpečení </w:t>
            </w:r>
          </w:p>
        </w:tc>
      </w:tr>
      <w:tr w:rsidR="007043CB">
        <w:trPr>
          <w:trHeight w:val="208"/>
        </w:trPr>
        <w:tc>
          <w:tcPr>
            <w:tcW w:w="606" w:type="dxa"/>
            <w:vMerge w:val="restart"/>
            <w:tcBorders>
              <w:top w:val="single" w:sz="6" w:space="0" w:color="000000"/>
              <w:left w:val="single" w:sz="12" w:space="0" w:color="000000"/>
              <w:bottom w:val="single" w:sz="6" w:space="0" w:color="000000"/>
              <w:right w:val="single" w:sz="6" w:space="0" w:color="000000"/>
            </w:tcBorders>
          </w:tcPr>
          <w:p w:rsidR="007043CB" w:rsidRDefault="004B5C2E">
            <w:pPr>
              <w:spacing w:after="0" w:line="259" w:lineRule="auto"/>
              <w:ind w:left="0" w:firstLine="0"/>
              <w:jc w:val="left"/>
            </w:pPr>
            <w:r>
              <w:rPr>
                <w:sz w:val="16"/>
              </w:rPr>
              <w:lastRenderedPageBreak/>
              <w:t xml:space="preserve">D1 </w:t>
            </w:r>
          </w:p>
        </w:tc>
        <w:tc>
          <w:tcPr>
            <w:tcW w:w="1080" w:type="dxa"/>
            <w:vMerge w:val="restart"/>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do 50 000 </w:t>
            </w:r>
          </w:p>
        </w:tc>
        <w:tc>
          <w:tcPr>
            <w:tcW w:w="162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oplocení </w:t>
            </w:r>
          </w:p>
        </w:tc>
        <w:tc>
          <w:tcPr>
            <w:tcW w:w="6657" w:type="dxa"/>
            <w:tcBorders>
              <w:top w:val="single" w:sz="6" w:space="0" w:color="000000"/>
              <w:left w:val="single" w:sz="6" w:space="0" w:color="000000"/>
              <w:bottom w:val="single" w:sz="6" w:space="0" w:color="000000"/>
              <w:right w:val="single" w:sz="12" w:space="0" w:color="000000"/>
            </w:tcBorders>
          </w:tcPr>
          <w:p w:rsidR="007043CB" w:rsidRDefault="004B5C2E">
            <w:pPr>
              <w:spacing w:after="0" w:line="259" w:lineRule="auto"/>
              <w:ind w:left="4" w:firstLine="0"/>
              <w:jc w:val="left"/>
            </w:pPr>
            <w:r>
              <w:rPr>
                <w:sz w:val="16"/>
              </w:rPr>
              <w:t xml:space="preserve">výška 160 cm </w:t>
            </w:r>
          </w:p>
        </w:tc>
      </w:tr>
      <w:tr w:rsidR="007043CB">
        <w:trPr>
          <w:trHeight w:val="595"/>
        </w:trPr>
        <w:tc>
          <w:tcPr>
            <w:tcW w:w="0" w:type="auto"/>
            <w:vMerge/>
            <w:tcBorders>
              <w:top w:val="nil"/>
              <w:left w:val="single" w:sz="12"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162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zámek vstupů </w:t>
            </w:r>
          </w:p>
        </w:tc>
        <w:tc>
          <w:tcPr>
            <w:tcW w:w="6657" w:type="dxa"/>
            <w:tcBorders>
              <w:top w:val="single" w:sz="6" w:space="0" w:color="000000"/>
              <w:left w:val="single" w:sz="6" w:space="0" w:color="000000"/>
              <w:bottom w:val="single" w:sz="6" w:space="0" w:color="000000"/>
              <w:right w:val="single" w:sz="12" w:space="0" w:color="000000"/>
            </w:tcBorders>
          </w:tcPr>
          <w:p w:rsidR="007043CB" w:rsidRDefault="004B5C2E">
            <w:pPr>
              <w:numPr>
                <w:ilvl w:val="0"/>
                <w:numId w:val="70"/>
              </w:numPr>
              <w:spacing w:after="0" w:line="259" w:lineRule="auto"/>
              <w:ind w:left="93" w:hanging="89"/>
              <w:jc w:val="left"/>
            </w:pPr>
            <w:r>
              <w:rPr>
                <w:b/>
                <w:sz w:val="16"/>
              </w:rPr>
              <w:t xml:space="preserve">zámek dozický </w:t>
            </w:r>
            <w:r>
              <w:rPr>
                <w:i/>
                <w:sz w:val="16"/>
              </w:rPr>
              <w:t>nebo</w:t>
            </w:r>
            <w:r>
              <w:rPr>
                <w:sz w:val="16"/>
              </w:rPr>
              <w:t xml:space="preserve"> </w:t>
            </w:r>
          </w:p>
          <w:p w:rsidR="007043CB" w:rsidRDefault="004B5C2E">
            <w:pPr>
              <w:numPr>
                <w:ilvl w:val="0"/>
                <w:numId w:val="70"/>
              </w:numPr>
              <w:spacing w:after="0" w:line="259" w:lineRule="auto"/>
              <w:ind w:left="93" w:hanging="89"/>
              <w:jc w:val="left"/>
            </w:pPr>
            <w:r>
              <w:rPr>
                <w:b/>
                <w:sz w:val="16"/>
              </w:rPr>
              <w:t>zámek</w:t>
            </w:r>
            <w:r>
              <w:rPr>
                <w:sz w:val="16"/>
              </w:rPr>
              <w:t xml:space="preserve"> s</w:t>
            </w:r>
            <w:r>
              <w:rPr>
                <w:b/>
                <w:sz w:val="16"/>
              </w:rPr>
              <w:t xml:space="preserve"> bezpečnostní cylindrickou vložkou</w:t>
            </w:r>
            <w:r>
              <w:rPr>
                <w:i/>
                <w:sz w:val="16"/>
              </w:rPr>
              <w:t xml:space="preserve"> nebo</w:t>
            </w:r>
            <w:r>
              <w:rPr>
                <w:sz w:val="16"/>
              </w:rPr>
              <w:t xml:space="preserve"> </w:t>
            </w:r>
          </w:p>
          <w:p w:rsidR="007043CB" w:rsidRDefault="004B5C2E">
            <w:pPr>
              <w:numPr>
                <w:ilvl w:val="0"/>
                <w:numId w:val="70"/>
              </w:numPr>
              <w:spacing w:after="0" w:line="259" w:lineRule="auto"/>
              <w:ind w:left="93" w:hanging="89"/>
              <w:jc w:val="left"/>
            </w:pPr>
            <w:r>
              <w:rPr>
                <w:b/>
                <w:sz w:val="16"/>
              </w:rPr>
              <w:t>bezpečnostní visací zámek</w:t>
            </w:r>
            <w:r>
              <w:rPr>
                <w:sz w:val="16"/>
              </w:rPr>
              <w:t xml:space="preserve"> </w:t>
            </w:r>
          </w:p>
        </w:tc>
      </w:tr>
      <w:tr w:rsidR="007043CB">
        <w:trPr>
          <w:trHeight w:val="211"/>
        </w:trPr>
        <w:tc>
          <w:tcPr>
            <w:tcW w:w="606" w:type="dxa"/>
            <w:vMerge w:val="restart"/>
            <w:tcBorders>
              <w:top w:val="single" w:sz="6" w:space="0" w:color="000000"/>
              <w:left w:val="single" w:sz="12" w:space="0" w:color="000000"/>
              <w:bottom w:val="single" w:sz="6" w:space="0" w:color="000000"/>
              <w:right w:val="single" w:sz="6" w:space="0" w:color="000000"/>
            </w:tcBorders>
          </w:tcPr>
          <w:p w:rsidR="007043CB" w:rsidRDefault="004B5C2E">
            <w:pPr>
              <w:spacing w:after="0" w:line="259" w:lineRule="auto"/>
              <w:ind w:left="0" w:firstLine="0"/>
              <w:jc w:val="left"/>
            </w:pPr>
            <w:r>
              <w:rPr>
                <w:sz w:val="16"/>
              </w:rPr>
              <w:t xml:space="preserve">D2 </w:t>
            </w:r>
          </w:p>
        </w:tc>
        <w:tc>
          <w:tcPr>
            <w:tcW w:w="1080" w:type="dxa"/>
            <w:vMerge w:val="restart"/>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do 300 000 </w:t>
            </w:r>
          </w:p>
        </w:tc>
        <w:tc>
          <w:tcPr>
            <w:tcW w:w="162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oplocení </w:t>
            </w:r>
          </w:p>
        </w:tc>
        <w:tc>
          <w:tcPr>
            <w:tcW w:w="6657" w:type="dxa"/>
            <w:tcBorders>
              <w:top w:val="single" w:sz="6" w:space="0" w:color="000000"/>
              <w:left w:val="single" w:sz="6" w:space="0" w:color="000000"/>
              <w:bottom w:val="single" w:sz="6" w:space="0" w:color="000000"/>
              <w:right w:val="single" w:sz="12" w:space="0" w:color="000000"/>
            </w:tcBorders>
          </w:tcPr>
          <w:p w:rsidR="007043CB" w:rsidRDefault="004B5C2E">
            <w:pPr>
              <w:spacing w:after="0" w:line="259" w:lineRule="auto"/>
              <w:ind w:left="4" w:firstLine="0"/>
              <w:jc w:val="left"/>
            </w:pPr>
            <w:r>
              <w:rPr>
                <w:sz w:val="16"/>
              </w:rPr>
              <w:t xml:space="preserve">výška 180 cm </w:t>
            </w:r>
          </w:p>
        </w:tc>
      </w:tr>
      <w:tr w:rsidR="007043CB">
        <w:trPr>
          <w:trHeight w:val="401"/>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7043CB" w:rsidRDefault="007043CB">
            <w:pPr>
              <w:spacing w:after="160" w:line="259" w:lineRule="auto"/>
              <w:ind w:left="0" w:firstLine="0"/>
              <w:jc w:val="left"/>
            </w:pPr>
          </w:p>
        </w:tc>
        <w:tc>
          <w:tcPr>
            <w:tcW w:w="162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zámek vstupů </w:t>
            </w:r>
          </w:p>
        </w:tc>
        <w:tc>
          <w:tcPr>
            <w:tcW w:w="6657" w:type="dxa"/>
            <w:tcBorders>
              <w:top w:val="single" w:sz="6" w:space="0" w:color="000000"/>
              <w:left w:val="single" w:sz="6" w:space="0" w:color="000000"/>
              <w:bottom w:val="single" w:sz="6" w:space="0" w:color="000000"/>
              <w:right w:val="single" w:sz="12" w:space="0" w:color="000000"/>
            </w:tcBorders>
          </w:tcPr>
          <w:p w:rsidR="007043CB" w:rsidRDefault="004B5C2E">
            <w:pPr>
              <w:numPr>
                <w:ilvl w:val="0"/>
                <w:numId w:val="71"/>
              </w:numPr>
              <w:spacing w:after="0" w:line="259" w:lineRule="auto"/>
              <w:ind w:left="93" w:hanging="89"/>
              <w:jc w:val="left"/>
            </w:pPr>
            <w:r>
              <w:rPr>
                <w:b/>
                <w:sz w:val="16"/>
              </w:rPr>
              <w:t>zámek</w:t>
            </w:r>
            <w:r>
              <w:rPr>
                <w:sz w:val="16"/>
              </w:rPr>
              <w:t xml:space="preserve"> s </w:t>
            </w:r>
            <w:r>
              <w:rPr>
                <w:b/>
                <w:sz w:val="16"/>
              </w:rPr>
              <w:t xml:space="preserve">bezpečnostní cylindrickou vložkou </w:t>
            </w:r>
            <w:r>
              <w:rPr>
                <w:i/>
                <w:sz w:val="16"/>
              </w:rPr>
              <w:t>nebo</w:t>
            </w:r>
            <w:r>
              <w:rPr>
                <w:sz w:val="16"/>
              </w:rPr>
              <w:t xml:space="preserve">   </w:t>
            </w:r>
          </w:p>
          <w:p w:rsidR="007043CB" w:rsidRDefault="004B5C2E">
            <w:pPr>
              <w:numPr>
                <w:ilvl w:val="0"/>
                <w:numId w:val="71"/>
              </w:numPr>
              <w:spacing w:after="0" w:line="259" w:lineRule="auto"/>
              <w:ind w:left="93" w:hanging="89"/>
              <w:jc w:val="left"/>
            </w:pPr>
            <w:r>
              <w:rPr>
                <w:b/>
                <w:sz w:val="16"/>
              </w:rPr>
              <w:t>bezpečnostní visací zámek</w:t>
            </w:r>
            <w:r>
              <w:rPr>
                <w:sz w:val="16"/>
              </w:rPr>
              <w:t xml:space="preserve"> </w:t>
            </w:r>
          </w:p>
        </w:tc>
      </w:tr>
      <w:tr w:rsidR="007043CB">
        <w:trPr>
          <w:trHeight w:val="206"/>
        </w:trPr>
        <w:tc>
          <w:tcPr>
            <w:tcW w:w="0" w:type="auto"/>
            <w:vMerge/>
            <w:tcBorders>
              <w:top w:val="nil"/>
              <w:left w:val="single" w:sz="12"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162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ostraha </w:t>
            </w:r>
          </w:p>
        </w:tc>
        <w:tc>
          <w:tcPr>
            <w:tcW w:w="6657" w:type="dxa"/>
            <w:tcBorders>
              <w:top w:val="single" w:sz="6" w:space="0" w:color="000000"/>
              <w:left w:val="single" w:sz="6" w:space="0" w:color="000000"/>
              <w:bottom w:val="single" w:sz="6" w:space="0" w:color="000000"/>
              <w:right w:val="single" w:sz="12" w:space="0" w:color="000000"/>
            </w:tcBorders>
          </w:tcPr>
          <w:p w:rsidR="007043CB" w:rsidRDefault="004B5C2E">
            <w:pPr>
              <w:spacing w:after="0" w:line="259" w:lineRule="auto"/>
              <w:ind w:left="4" w:firstLine="0"/>
              <w:jc w:val="left"/>
            </w:pPr>
            <w:r>
              <w:rPr>
                <w:sz w:val="16"/>
              </w:rPr>
              <w:t>v mimopracovní době střežené volně pobíhajícím</w:t>
            </w:r>
            <w:r>
              <w:rPr>
                <w:b/>
                <w:sz w:val="16"/>
              </w:rPr>
              <w:t xml:space="preserve"> </w:t>
            </w:r>
            <w:r>
              <w:rPr>
                <w:sz w:val="16"/>
              </w:rPr>
              <w:t xml:space="preserve">služebním psem </w:t>
            </w:r>
          </w:p>
        </w:tc>
      </w:tr>
      <w:tr w:rsidR="007043CB">
        <w:trPr>
          <w:trHeight w:val="214"/>
        </w:trPr>
        <w:tc>
          <w:tcPr>
            <w:tcW w:w="606" w:type="dxa"/>
            <w:vMerge w:val="restart"/>
            <w:tcBorders>
              <w:top w:val="single" w:sz="6" w:space="0" w:color="000000"/>
              <w:left w:val="single" w:sz="12" w:space="0" w:color="000000"/>
              <w:bottom w:val="single" w:sz="6" w:space="0" w:color="000000"/>
              <w:right w:val="single" w:sz="6" w:space="0" w:color="000000"/>
            </w:tcBorders>
          </w:tcPr>
          <w:p w:rsidR="007043CB" w:rsidRDefault="004B5C2E">
            <w:pPr>
              <w:spacing w:after="0" w:line="259" w:lineRule="auto"/>
              <w:ind w:left="0" w:firstLine="0"/>
              <w:jc w:val="left"/>
            </w:pPr>
            <w:r>
              <w:rPr>
                <w:sz w:val="16"/>
              </w:rPr>
              <w:t xml:space="preserve">D3 </w:t>
            </w:r>
          </w:p>
        </w:tc>
        <w:tc>
          <w:tcPr>
            <w:tcW w:w="1080" w:type="dxa"/>
            <w:vMerge w:val="restart"/>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do 500 000 </w:t>
            </w:r>
          </w:p>
        </w:tc>
        <w:tc>
          <w:tcPr>
            <w:tcW w:w="162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oplocení </w:t>
            </w:r>
          </w:p>
        </w:tc>
        <w:tc>
          <w:tcPr>
            <w:tcW w:w="6657" w:type="dxa"/>
            <w:tcBorders>
              <w:top w:val="single" w:sz="6" w:space="0" w:color="000000"/>
              <w:left w:val="single" w:sz="6" w:space="0" w:color="000000"/>
              <w:bottom w:val="single" w:sz="6" w:space="0" w:color="000000"/>
              <w:right w:val="single" w:sz="12" w:space="0" w:color="000000"/>
            </w:tcBorders>
          </w:tcPr>
          <w:p w:rsidR="007043CB" w:rsidRDefault="004B5C2E">
            <w:pPr>
              <w:spacing w:after="0" w:line="259" w:lineRule="auto"/>
              <w:ind w:left="4" w:firstLine="0"/>
              <w:jc w:val="left"/>
            </w:pPr>
            <w:r>
              <w:rPr>
                <w:sz w:val="16"/>
              </w:rPr>
              <w:t xml:space="preserve">výška 180 cm </w:t>
            </w:r>
          </w:p>
        </w:tc>
      </w:tr>
      <w:tr w:rsidR="007043CB">
        <w:trPr>
          <w:trHeight w:val="398"/>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7043CB" w:rsidRDefault="007043CB">
            <w:pPr>
              <w:spacing w:after="160" w:line="259" w:lineRule="auto"/>
              <w:ind w:left="0" w:firstLine="0"/>
              <w:jc w:val="left"/>
            </w:pPr>
          </w:p>
        </w:tc>
        <w:tc>
          <w:tcPr>
            <w:tcW w:w="162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zámek vstupů </w:t>
            </w:r>
          </w:p>
        </w:tc>
        <w:tc>
          <w:tcPr>
            <w:tcW w:w="6657" w:type="dxa"/>
            <w:tcBorders>
              <w:top w:val="single" w:sz="6" w:space="0" w:color="000000"/>
              <w:left w:val="single" w:sz="6" w:space="0" w:color="000000"/>
              <w:bottom w:val="single" w:sz="6" w:space="0" w:color="000000"/>
              <w:right w:val="single" w:sz="12" w:space="0" w:color="000000"/>
            </w:tcBorders>
          </w:tcPr>
          <w:p w:rsidR="007043CB" w:rsidRDefault="004B5C2E">
            <w:pPr>
              <w:numPr>
                <w:ilvl w:val="0"/>
                <w:numId w:val="72"/>
              </w:numPr>
              <w:spacing w:after="0" w:line="259" w:lineRule="auto"/>
              <w:ind w:left="93" w:hanging="89"/>
              <w:jc w:val="left"/>
            </w:pPr>
            <w:r>
              <w:rPr>
                <w:b/>
                <w:sz w:val="16"/>
              </w:rPr>
              <w:t>zámek</w:t>
            </w:r>
            <w:r>
              <w:rPr>
                <w:sz w:val="16"/>
              </w:rPr>
              <w:t xml:space="preserve"> s </w:t>
            </w:r>
            <w:r>
              <w:rPr>
                <w:b/>
                <w:sz w:val="16"/>
              </w:rPr>
              <w:t xml:space="preserve">bezpečnostní cylindrickou vložkou </w:t>
            </w:r>
            <w:r>
              <w:rPr>
                <w:i/>
                <w:sz w:val="16"/>
              </w:rPr>
              <w:t>nebo</w:t>
            </w:r>
            <w:r>
              <w:rPr>
                <w:sz w:val="16"/>
              </w:rPr>
              <w:t xml:space="preserve">  </w:t>
            </w:r>
          </w:p>
          <w:p w:rsidR="007043CB" w:rsidRDefault="004B5C2E">
            <w:pPr>
              <w:numPr>
                <w:ilvl w:val="0"/>
                <w:numId w:val="72"/>
              </w:numPr>
              <w:spacing w:after="0" w:line="259" w:lineRule="auto"/>
              <w:ind w:left="93" w:hanging="89"/>
              <w:jc w:val="left"/>
            </w:pPr>
            <w:r>
              <w:rPr>
                <w:b/>
                <w:sz w:val="16"/>
              </w:rPr>
              <w:t>bezpečnostní visací zámek</w:t>
            </w:r>
            <w:r>
              <w:rPr>
                <w:sz w:val="16"/>
              </w:rPr>
              <w:t xml:space="preserve"> </w:t>
            </w:r>
          </w:p>
        </w:tc>
      </w:tr>
      <w:tr w:rsidR="007043CB">
        <w:trPr>
          <w:trHeight w:val="595"/>
        </w:trPr>
        <w:tc>
          <w:tcPr>
            <w:tcW w:w="0" w:type="auto"/>
            <w:vMerge/>
            <w:tcBorders>
              <w:top w:val="nil"/>
              <w:left w:val="single" w:sz="12"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162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ostraha </w:t>
            </w:r>
          </w:p>
        </w:tc>
        <w:tc>
          <w:tcPr>
            <w:tcW w:w="6657" w:type="dxa"/>
            <w:tcBorders>
              <w:top w:val="single" w:sz="6" w:space="0" w:color="000000"/>
              <w:left w:val="single" w:sz="6" w:space="0" w:color="000000"/>
              <w:bottom w:val="single" w:sz="6" w:space="0" w:color="000000"/>
              <w:right w:val="single" w:sz="12" w:space="0" w:color="000000"/>
            </w:tcBorders>
          </w:tcPr>
          <w:p w:rsidR="007043CB" w:rsidRDefault="004B5C2E">
            <w:pPr>
              <w:numPr>
                <w:ilvl w:val="0"/>
                <w:numId w:val="73"/>
              </w:numPr>
              <w:spacing w:after="0" w:line="259" w:lineRule="auto"/>
              <w:ind w:firstLine="0"/>
              <w:jc w:val="left"/>
            </w:pPr>
            <w:r>
              <w:rPr>
                <w:sz w:val="16"/>
              </w:rPr>
              <w:t xml:space="preserve">v mimopracovní době trvale střežené jednočlennou </w:t>
            </w:r>
            <w:r>
              <w:rPr>
                <w:b/>
                <w:sz w:val="16"/>
              </w:rPr>
              <w:t xml:space="preserve">fyzickou ostrahou </w:t>
            </w:r>
            <w:r>
              <w:rPr>
                <w:i/>
                <w:sz w:val="16"/>
              </w:rPr>
              <w:t xml:space="preserve">nebo </w:t>
            </w:r>
          </w:p>
          <w:p w:rsidR="007043CB" w:rsidRDefault="004B5C2E">
            <w:pPr>
              <w:numPr>
                <w:ilvl w:val="0"/>
                <w:numId w:val="73"/>
              </w:numPr>
              <w:spacing w:after="0" w:line="259" w:lineRule="auto"/>
              <w:ind w:firstLine="0"/>
              <w:jc w:val="left"/>
            </w:pPr>
            <w:r>
              <w:rPr>
                <w:sz w:val="16"/>
              </w:rPr>
              <w:t xml:space="preserve">v mimopracovní době </w:t>
            </w:r>
            <w:r>
              <w:rPr>
                <w:b/>
                <w:sz w:val="16"/>
              </w:rPr>
              <w:t xml:space="preserve">oplocené prostranství </w:t>
            </w:r>
            <w:r>
              <w:rPr>
                <w:sz w:val="16"/>
              </w:rPr>
              <w:t xml:space="preserve">osvětlené a střežené volně pobíhajícím služebním psem </w:t>
            </w:r>
          </w:p>
        </w:tc>
      </w:tr>
      <w:tr w:rsidR="007043CB">
        <w:trPr>
          <w:trHeight w:val="211"/>
        </w:trPr>
        <w:tc>
          <w:tcPr>
            <w:tcW w:w="606" w:type="dxa"/>
            <w:vMerge w:val="restart"/>
            <w:tcBorders>
              <w:top w:val="single" w:sz="6" w:space="0" w:color="000000"/>
              <w:left w:val="single" w:sz="12" w:space="0" w:color="000000"/>
              <w:bottom w:val="single" w:sz="6" w:space="0" w:color="000000"/>
              <w:right w:val="single" w:sz="6" w:space="0" w:color="000000"/>
            </w:tcBorders>
          </w:tcPr>
          <w:p w:rsidR="007043CB" w:rsidRDefault="004B5C2E">
            <w:pPr>
              <w:spacing w:after="0" w:line="259" w:lineRule="auto"/>
              <w:ind w:left="0" w:firstLine="0"/>
              <w:jc w:val="left"/>
            </w:pPr>
            <w:r>
              <w:rPr>
                <w:sz w:val="16"/>
              </w:rPr>
              <w:t xml:space="preserve">D4 </w:t>
            </w:r>
          </w:p>
        </w:tc>
        <w:tc>
          <w:tcPr>
            <w:tcW w:w="1080" w:type="dxa"/>
            <w:vMerge w:val="restart"/>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pPr>
            <w:r>
              <w:rPr>
                <w:sz w:val="16"/>
              </w:rPr>
              <w:t xml:space="preserve">do 2 000 000 </w:t>
            </w:r>
          </w:p>
        </w:tc>
        <w:tc>
          <w:tcPr>
            <w:tcW w:w="162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oplocení </w:t>
            </w:r>
          </w:p>
        </w:tc>
        <w:tc>
          <w:tcPr>
            <w:tcW w:w="6657" w:type="dxa"/>
            <w:tcBorders>
              <w:top w:val="single" w:sz="6" w:space="0" w:color="000000"/>
              <w:left w:val="single" w:sz="6" w:space="0" w:color="000000"/>
              <w:bottom w:val="single" w:sz="6" w:space="0" w:color="000000"/>
              <w:right w:val="single" w:sz="12" w:space="0" w:color="000000"/>
            </w:tcBorders>
          </w:tcPr>
          <w:p w:rsidR="007043CB" w:rsidRDefault="004B5C2E">
            <w:pPr>
              <w:spacing w:after="0" w:line="259" w:lineRule="auto"/>
              <w:ind w:left="4" w:firstLine="0"/>
              <w:jc w:val="left"/>
            </w:pPr>
            <w:r>
              <w:rPr>
                <w:sz w:val="16"/>
              </w:rPr>
              <w:t xml:space="preserve">výška 180 cm </w:t>
            </w:r>
          </w:p>
        </w:tc>
      </w:tr>
      <w:tr w:rsidR="007043CB">
        <w:trPr>
          <w:trHeight w:val="788"/>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7043CB" w:rsidRDefault="007043CB">
            <w:pPr>
              <w:spacing w:after="160" w:line="259" w:lineRule="auto"/>
              <w:ind w:left="0" w:firstLine="0"/>
              <w:jc w:val="left"/>
            </w:pPr>
          </w:p>
        </w:tc>
        <w:tc>
          <w:tcPr>
            <w:tcW w:w="162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zámek vstupů </w:t>
            </w:r>
          </w:p>
        </w:tc>
        <w:tc>
          <w:tcPr>
            <w:tcW w:w="6657" w:type="dxa"/>
            <w:tcBorders>
              <w:top w:val="single" w:sz="6" w:space="0" w:color="000000"/>
              <w:left w:val="single" w:sz="6" w:space="0" w:color="000000"/>
              <w:bottom w:val="single" w:sz="6" w:space="0" w:color="000000"/>
              <w:right w:val="single" w:sz="12" w:space="0" w:color="000000"/>
            </w:tcBorders>
          </w:tcPr>
          <w:p w:rsidR="007043CB" w:rsidRDefault="004B5C2E">
            <w:pPr>
              <w:numPr>
                <w:ilvl w:val="0"/>
                <w:numId w:val="74"/>
              </w:numPr>
              <w:spacing w:after="0" w:line="236" w:lineRule="auto"/>
              <w:ind w:firstLine="0"/>
            </w:pPr>
            <w:r>
              <w:rPr>
                <w:b/>
                <w:sz w:val="16"/>
              </w:rPr>
              <w:t>bezpečnostní uzamykací systém</w:t>
            </w:r>
            <w:r>
              <w:rPr>
                <w:sz w:val="16"/>
              </w:rPr>
              <w:t xml:space="preserve"> a současně zámek s </w:t>
            </w:r>
            <w:r>
              <w:rPr>
                <w:b/>
                <w:sz w:val="16"/>
              </w:rPr>
              <w:t>bezpečnostní cylindrickou vložkou</w:t>
            </w:r>
            <w:r>
              <w:rPr>
                <w:i/>
                <w:sz w:val="16"/>
              </w:rPr>
              <w:t xml:space="preserve"> nebo </w:t>
            </w:r>
          </w:p>
          <w:p w:rsidR="007043CB" w:rsidRDefault="004B5C2E">
            <w:pPr>
              <w:numPr>
                <w:ilvl w:val="0"/>
                <w:numId w:val="74"/>
              </w:numPr>
              <w:spacing w:after="0" w:line="259" w:lineRule="auto"/>
              <w:ind w:firstLine="0"/>
            </w:pPr>
            <w:r>
              <w:rPr>
                <w:b/>
                <w:sz w:val="16"/>
              </w:rPr>
              <w:t>dva</w:t>
            </w:r>
            <w:r>
              <w:rPr>
                <w:sz w:val="16"/>
              </w:rPr>
              <w:t xml:space="preserve"> </w:t>
            </w:r>
            <w:r>
              <w:rPr>
                <w:b/>
                <w:sz w:val="16"/>
              </w:rPr>
              <w:t>bezpečnostní visací zámky,</w:t>
            </w:r>
            <w:r>
              <w:rPr>
                <w:sz w:val="16"/>
              </w:rPr>
              <w:t xml:space="preserve"> z nichž minimálně jeden je se </w:t>
            </w:r>
            <w:r>
              <w:rPr>
                <w:b/>
                <w:sz w:val="16"/>
              </w:rPr>
              <w:t>zvýšenou ochranou třmene</w:t>
            </w:r>
            <w:r>
              <w:rPr>
                <w:sz w:val="16"/>
              </w:rPr>
              <w:t xml:space="preserve"> visacího zámku </w:t>
            </w:r>
          </w:p>
        </w:tc>
      </w:tr>
      <w:tr w:rsidR="007043CB">
        <w:trPr>
          <w:trHeight w:val="595"/>
        </w:trPr>
        <w:tc>
          <w:tcPr>
            <w:tcW w:w="0" w:type="auto"/>
            <w:vMerge/>
            <w:tcBorders>
              <w:top w:val="nil"/>
              <w:left w:val="single" w:sz="12"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162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ostraha/EZS </w:t>
            </w:r>
          </w:p>
        </w:tc>
        <w:tc>
          <w:tcPr>
            <w:tcW w:w="6657" w:type="dxa"/>
            <w:tcBorders>
              <w:top w:val="single" w:sz="6" w:space="0" w:color="000000"/>
              <w:left w:val="single" w:sz="6" w:space="0" w:color="000000"/>
              <w:bottom w:val="single" w:sz="6" w:space="0" w:color="000000"/>
              <w:right w:val="single" w:sz="12" w:space="0" w:color="000000"/>
            </w:tcBorders>
          </w:tcPr>
          <w:p w:rsidR="007043CB" w:rsidRDefault="004B5C2E">
            <w:pPr>
              <w:spacing w:after="0" w:line="259" w:lineRule="auto"/>
              <w:ind w:left="4" w:right="40" w:firstLine="0"/>
            </w:pPr>
            <w:r>
              <w:rPr>
                <w:sz w:val="16"/>
              </w:rPr>
              <w:t xml:space="preserve">- v mimopracovní době osvětlené, trvale střežené jednočlennou </w:t>
            </w:r>
            <w:r>
              <w:rPr>
                <w:b/>
                <w:sz w:val="16"/>
              </w:rPr>
              <w:t xml:space="preserve">fyzickou ostrahou </w:t>
            </w:r>
            <w:r>
              <w:rPr>
                <w:i/>
                <w:sz w:val="16"/>
              </w:rPr>
              <w:t>nebo</w:t>
            </w:r>
            <w:r>
              <w:rPr>
                <w:sz w:val="16"/>
              </w:rPr>
              <w:t xml:space="preserve"> - v mimopracovní době chráněné </w:t>
            </w:r>
            <w:r>
              <w:rPr>
                <w:b/>
                <w:sz w:val="16"/>
              </w:rPr>
              <w:t xml:space="preserve">EZS </w:t>
            </w:r>
            <w:r>
              <w:rPr>
                <w:sz w:val="16"/>
              </w:rPr>
              <w:t>s obvodovou (perimetrickou) ochranou</w:t>
            </w:r>
            <w:r>
              <w:rPr>
                <w:b/>
                <w:sz w:val="16"/>
              </w:rPr>
              <w:t>,</w:t>
            </w:r>
            <w:r>
              <w:rPr>
                <w:sz w:val="16"/>
              </w:rPr>
              <w:t xml:space="preserve"> jejíž poplachový signál je vyveden na </w:t>
            </w:r>
            <w:r>
              <w:rPr>
                <w:b/>
                <w:sz w:val="16"/>
              </w:rPr>
              <w:t>pult centralizované ochrany</w:t>
            </w:r>
            <w:r>
              <w:rPr>
                <w:sz w:val="16"/>
              </w:rPr>
              <w:t xml:space="preserve"> </w:t>
            </w:r>
          </w:p>
        </w:tc>
      </w:tr>
      <w:tr w:rsidR="007043CB">
        <w:trPr>
          <w:trHeight w:val="211"/>
        </w:trPr>
        <w:tc>
          <w:tcPr>
            <w:tcW w:w="606" w:type="dxa"/>
            <w:vMerge w:val="restart"/>
            <w:tcBorders>
              <w:top w:val="single" w:sz="6" w:space="0" w:color="000000"/>
              <w:left w:val="single" w:sz="12" w:space="0" w:color="000000"/>
              <w:bottom w:val="single" w:sz="6" w:space="0" w:color="000000"/>
              <w:right w:val="single" w:sz="6" w:space="0" w:color="000000"/>
            </w:tcBorders>
          </w:tcPr>
          <w:p w:rsidR="007043CB" w:rsidRDefault="004B5C2E">
            <w:pPr>
              <w:spacing w:after="0" w:line="259" w:lineRule="auto"/>
              <w:ind w:left="0" w:firstLine="0"/>
              <w:jc w:val="left"/>
            </w:pPr>
            <w:r>
              <w:rPr>
                <w:sz w:val="16"/>
              </w:rPr>
              <w:t xml:space="preserve">D5 </w:t>
            </w:r>
          </w:p>
        </w:tc>
        <w:tc>
          <w:tcPr>
            <w:tcW w:w="1080" w:type="dxa"/>
            <w:vMerge w:val="restart"/>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pPr>
            <w:r>
              <w:rPr>
                <w:sz w:val="16"/>
              </w:rPr>
              <w:t xml:space="preserve">do 5 000 000 </w:t>
            </w:r>
          </w:p>
        </w:tc>
        <w:tc>
          <w:tcPr>
            <w:tcW w:w="162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oplocení </w:t>
            </w:r>
          </w:p>
        </w:tc>
        <w:tc>
          <w:tcPr>
            <w:tcW w:w="6657" w:type="dxa"/>
            <w:tcBorders>
              <w:top w:val="single" w:sz="6" w:space="0" w:color="000000"/>
              <w:left w:val="single" w:sz="6" w:space="0" w:color="000000"/>
              <w:bottom w:val="single" w:sz="6" w:space="0" w:color="000000"/>
              <w:right w:val="single" w:sz="12" w:space="0" w:color="000000"/>
            </w:tcBorders>
          </w:tcPr>
          <w:p w:rsidR="007043CB" w:rsidRDefault="004B5C2E">
            <w:pPr>
              <w:spacing w:after="0" w:line="259" w:lineRule="auto"/>
              <w:ind w:left="4" w:firstLine="0"/>
              <w:jc w:val="left"/>
            </w:pPr>
            <w:r>
              <w:rPr>
                <w:sz w:val="16"/>
              </w:rPr>
              <w:t xml:space="preserve">výška 180 cm, po celém obvodě s vrcholovou ochranou (ostnatý drát apod.) </w:t>
            </w:r>
          </w:p>
        </w:tc>
      </w:tr>
      <w:tr w:rsidR="007043CB">
        <w:trPr>
          <w:trHeight w:val="403"/>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7043CB" w:rsidRDefault="007043CB">
            <w:pPr>
              <w:spacing w:after="160" w:line="259" w:lineRule="auto"/>
              <w:ind w:left="0" w:firstLine="0"/>
              <w:jc w:val="left"/>
            </w:pPr>
          </w:p>
        </w:tc>
        <w:tc>
          <w:tcPr>
            <w:tcW w:w="162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zámek vstupů </w:t>
            </w:r>
          </w:p>
        </w:tc>
        <w:tc>
          <w:tcPr>
            <w:tcW w:w="6657" w:type="dxa"/>
            <w:tcBorders>
              <w:top w:val="single" w:sz="6" w:space="0" w:color="000000"/>
              <w:left w:val="single" w:sz="6" w:space="0" w:color="000000"/>
              <w:bottom w:val="single" w:sz="6" w:space="0" w:color="000000"/>
              <w:right w:val="single" w:sz="12" w:space="0" w:color="000000"/>
            </w:tcBorders>
          </w:tcPr>
          <w:p w:rsidR="007043CB" w:rsidRDefault="004B5C2E">
            <w:pPr>
              <w:numPr>
                <w:ilvl w:val="0"/>
                <w:numId w:val="75"/>
              </w:numPr>
              <w:spacing w:after="0" w:line="259" w:lineRule="auto"/>
              <w:ind w:left="93" w:hanging="89"/>
              <w:jc w:val="left"/>
            </w:pPr>
            <w:r>
              <w:rPr>
                <w:sz w:val="16"/>
              </w:rPr>
              <w:t xml:space="preserve">dva </w:t>
            </w:r>
            <w:r>
              <w:rPr>
                <w:b/>
                <w:sz w:val="16"/>
              </w:rPr>
              <w:t xml:space="preserve">bezpečnostní uzamykací systémy </w:t>
            </w:r>
            <w:r>
              <w:rPr>
                <w:i/>
                <w:sz w:val="16"/>
              </w:rPr>
              <w:t xml:space="preserve">nebo </w:t>
            </w:r>
          </w:p>
          <w:p w:rsidR="007043CB" w:rsidRDefault="004B5C2E">
            <w:pPr>
              <w:numPr>
                <w:ilvl w:val="0"/>
                <w:numId w:val="75"/>
              </w:numPr>
              <w:spacing w:after="0" w:line="259" w:lineRule="auto"/>
              <w:ind w:left="93" w:hanging="89"/>
              <w:jc w:val="left"/>
            </w:pPr>
            <w:r>
              <w:rPr>
                <w:sz w:val="16"/>
              </w:rPr>
              <w:t xml:space="preserve">dva </w:t>
            </w:r>
            <w:r>
              <w:rPr>
                <w:b/>
                <w:sz w:val="16"/>
              </w:rPr>
              <w:t>bezpečnostní visací zámky se zvýšenou ochranou třmene</w:t>
            </w:r>
            <w:r>
              <w:rPr>
                <w:sz w:val="16"/>
              </w:rPr>
              <w:t xml:space="preserve"> </w:t>
            </w:r>
          </w:p>
        </w:tc>
      </w:tr>
      <w:tr w:rsidR="007043CB">
        <w:trPr>
          <w:trHeight w:val="977"/>
        </w:trPr>
        <w:tc>
          <w:tcPr>
            <w:tcW w:w="0" w:type="auto"/>
            <w:vMerge/>
            <w:tcBorders>
              <w:top w:val="nil"/>
              <w:left w:val="single" w:sz="12"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162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ostraha/EZS </w:t>
            </w:r>
          </w:p>
        </w:tc>
        <w:tc>
          <w:tcPr>
            <w:tcW w:w="6657" w:type="dxa"/>
            <w:tcBorders>
              <w:top w:val="single" w:sz="6" w:space="0" w:color="000000"/>
              <w:left w:val="single" w:sz="6" w:space="0" w:color="000000"/>
              <w:bottom w:val="single" w:sz="6" w:space="0" w:color="000000"/>
              <w:right w:val="single" w:sz="12" w:space="0" w:color="000000"/>
            </w:tcBorders>
          </w:tcPr>
          <w:p w:rsidR="007043CB" w:rsidRDefault="004B5C2E">
            <w:pPr>
              <w:numPr>
                <w:ilvl w:val="0"/>
                <w:numId w:val="76"/>
              </w:numPr>
              <w:spacing w:after="0" w:line="235" w:lineRule="auto"/>
              <w:ind w:right="20" w:firstLine="0"/>
              <w:jc w:val="left"/>
            </w:pPr>
            <w:r>
              <w:rPr>
                <w:sz w:val="16"/>
              </w:rPr>
              <w:t xml:space="preserve">trvale střežené jednočlennou </w:t>
            </w:r>
            <w:r>
              <w:rPr>
                <w:b/>
                <w:sz w:val="16"/>
              </w:rPr>
              <w:t>fyzickou ostrahou</w:t>
            </w:r>
            <w:r>
              <w:rPr>
                <w:i/>
                <w:sz w:val="16"/>
              </w:rPr>
              <w:t xml:space="preserve"> nebo </w:t>
            </w:r>
            <w:r>
              <w:rPr>
                <w:sz w:val="16"/>
              </w:rPr>
              <w:t xml:space="preserve">chráněné </w:t>
            </w:r>
            <w:r>
              <w:rPr>
                <w:b/>
                <w:sz w:val="16"/>
              </w:rPr>
              <w:t xml:space="preserve">EZS </w:t>
            </w:r>
            <w:r>
              <w:rPr>
                <w:sz w:val="16"/>
              </w:rPr>
              <w:t>minimálně 3. stupně s obvodovou (perimetrickou) ochranou, jejíž poplachový signál je vyveden na pult centralizované ochrany s dobou zásahu do 10 minut a prostranství je monitorováno průmyslovou TV (CCTV) se záznamem</w:t>
            </w:r>
            <w:r>
              <w:rPr>
                <w:i/>
                <w:sz w:val="16"/>
              </w:rPr>
              <w:t xml:space="preserve"> </w:t>
            </w:r>
          </w:p>
          <w:p w:rsidR="007043CB" w:rsidRDefault="004B5C2E">
            <w:pPr>
              <w:numPr>
                <w:ilvl w:val="0"/>
                <w:numId w:val="76"/>
              </w:numPr>
              <w:spacing w:after="0" w:line="259" w:lineRule="auto"/>
              <w:ind w:right="20" w:firstLine="0"/>
              <w:jc w:val="left"/>
            </w:pPr>
            <w:r>
              <w:rPr>
                <w:sz w:val="16"/>
              </w:rPr>
              <w:t xml:space="preserve">v mimopracovní době osvětlené, trvale střežené dvoučlennou </w:t>
            </w:r>
            <w:r>
              <w:rPr>
                <w:b/>
                <w:sz w:val="16"/>
              </w:rPr>
              <w:t>fyzickou ostrahou</w:t>
            </w:r>
            <w:r>
              <w:rPr>
                <w:sz w:val="16"/>
              </w:rPr>
              <w:t xml:space="preserve"> </w:t>
            </w:r>
          </w:p>
        </w:tc>
      </w:tr>
      <w:tr w:rsidR="007043CB">
        <w:trPr>
          <w:trHeight w:val="376"/>
        </w:trPr>
        <w:tc>
          <w:tcPr>
            <w:tcW w:w="606" w:type="dxa"/>
            <w:vMerge w:val="restart"/>
            <w:tcBorders>
              <w:top w:val="single" w:sz="12" w:space="0" w:color="000000"/>
              <w:left w:val="single" w:sz="12" w:space="0" w:color="000000"/>
              <w:bottom w:val="single" w:sz="6" w:space="0" w:color="000000"/>
              <w:right w:val="single" w:sz="6" w:space="0" w:color="000000"/>
            </w:tcBorders>
            <w:shd w:val="clear" w:color="auto" w:fill="CCCCCC"/>
            <w:vAlign w:val="center"/>
          </w:tcPr>
          <w:p w:rsidR="007043CB" w:rsidRDefault="004B5C2E">
            <w:pPr>
              <w:spacing w:after="0" w:line="259" w:lineRule="auto"/>
              <w:ind w:left="0" w:firstLine="0"/>
              <w:jc w:val="left"/>
            </w:pPr>
            <w:r>
              <w:rPr>
                <w:sz w:val="16"/>
              </w:rPr>
              <w:t xml:space="preserve">Kód </w:t>
            </w:r>
          </w:p>
        </w:tc>
        <w:tc>
          <w:tcPr>
            <w:tcW w:w="1080" w:type="dxa"/>
            <w:vMerge w:val="restart"/>
            <w:tcBorders>
              <w:top w:val="single" w:sz="12" w:space="0" w:color="000000"/>
              <w:left w:val="single" w:sz="6" w:space="0" w:color="000000"/>
              <w:bottom w:val="single" w:sz="6" w:space="0" w:color="000000"/>
              <w:right w:val="single" w:sz="6" w:space="0" w:color="000000"/>
            </w:tcBorders>
            <w:shd w:val="clear" w:color="auto" w:fill="CCCCCC"/>
            <w:vAlign w:val="center"/>
          </w:tcPr>
          <w:p w:rsidR="007043CB" w:rsidRDefault="004B5C2E">
            <w:pPr>
              <w:spacing w:after="0" w:line="259" w:lineRule="auto"/>
              <w:ind w:left="4" w:firstLine="0"/>
              <w:jc w:val="left"/>
            </w:pPr>
            <w:r>
              <w:rPr>
                <w:sz w:val="16"/>
              </w:rPr>
              <w:t xml:space="preserve">Limit plnění (Kč) </w:t>
            </w:r>
          </w:p>
        </w:tc>
        <w:tc>
          <w:tcPr>
            <w:tcW w:w="8278" w:type="dxa"/>
            <w:gridSpan w:val="2"/>
            <w:tcBorders>
              <w:top w:val="single" w:sz="12" w:space="0" w:color="000000"/>
              <w:left w:val="single" w:sz="6" w:space="0" w:color="000000"/>
              <w:bottom w:val="single" w:sz="7" w:space="0" w:color="CCCCCC"/>
              <w:right w:val="single" w:sz="12" w:space="0" w:color="000000"/>
            </w:tcBorders>
            <w:shd w:val="clear" w:color="auto" w:fill="CCCCCC"/>
          </w:tcPr>
          <w:p w:rsidR="007043CB" w:rsidRDefault="004B5C2E">
            <w:pPr>
              <w:spacing w:after="0" w:line="259" w:lineRule="auto"/>
              <w:ind w:left="4" w:firstLine="0"/>
              <w:jc w:val="left"/>
            </w:pPr>
            <w:r>
              <w:rPr>
                <w:sz w:val="16"/>
              </w:rPr>
              <w:t xml:space="preserve">Požadovaný minimální způsob zabezpečení oploceného prostranství </w:t>
            </w:r>
          </w:p>
        </w:tc>
      </w:tr>
      <w:tr w:rsidR="007043CB">
        <w:trPr>
          <w:trHeight w:val="332"/>
        </w:trPr>
        <w:tc>
          <w:tcPr>
            <w:tcW w:w="0" w:type="auto"/>
            <w:vMerge/>
            <w:tcBorders>
              <w:top w:val="nil"/>
              <w:left w:val="single" w:sz="12"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1620" w:type="dxa"/>
            <w:tcBorders>
              <w:top w:val="single" w:sz="7" w:space="0" w:color="CCCCCC"/>
              <w:left w:val="single" w:sz="6" w:space="0" w:color="000000"/>
              <w:bottom w:val="single" w:sz="6" w:space="0" w:color="000000"/>
              <w:right w:val="single" w:sz="6" w:space="0" w:color="000000"/>
            </w:tcBorders>
            <w:shd w:val="clear" w:color="auto" w:fill="CCCCCC"/>
          </w:tcPr>
          <w:p w:rsidR="007043CB" w:rsidRDefault="004B5C2E">
            <w:pPr>
              <w:spacing w:after="0" w:line="259" w:lineRule="auto"/>
              <w:ind w:left="4" w:firstLine="0"/>
              <w:jc w:val="left"/>
            </w:pPr>
            <w:r>
              <w:rPr>
                <w:sz w:val="16"/>
              </w:rPr>
              <w:t xml:space="preserve">prvek zabezpečení </w:t>
            </w:r>
          </w:p>
        </w:tc>
        <w:tc>
          <w:tcPr>
            <w:tcW w:w="6657" w:type="dxa"/>
            <w:tcBorders>
              <w:top w:val="single" w:sz="7" w:space="0" w:color="CCCCCC"/>
              <w:left w:val="single" w:sz="6" w:space="0" w:color="000000"/>
              <w:bottom w:val="single" w:sz="6" w:space="0" w:color="000000"/>
              <w:right w:val="single" w:sz="12" w:space="0" w:color="000000"/>
            </w:tcBorders>
            <w:shd w:val="clear" w:color="auto" w:fill="CCCCCC"/>
          </w:tcPr>
          <w:p w:rsidR="007043CB" w:rsidRDefault="004B5C2E">
            <w:pPr>
              <w:spacing w:after="0" w:line="259" w:lineRule="auto"/>
              <w:ind w:left="4" w:firstLine="0"/>
              <w:jc w:val="left"/>
            </w:pPr>
            <w:r>
              <w:rPr>
                <w:sz w:val="16"/>
              </w:rPr>
              <w:t xml:space="preserve">kvalita prvku zabezpečení </w:t>
            </w:r>
          </w:p>
        </w:tc>
      </w:tr>
      <w:tr w:rsidR="007043CB">
        <w:trPr>
          <w:trHeight w:val="410"/>
        </w:trPr>
        <w:tc>
          <w:tcPr>
            <w:tcW w:w="606" w:type="dxa"/>
            <w:tcBorders>
              <w:top w:val="single" w:sz="6" w:space="0" w:color="000000"/>
              <w:left w:val="single" w:sz="12" w:space="0" w:color="000000"/>
              <w:bottom w:val="single" w:sz="12" w:space="0" w:color="000000"/>
              <w:right w:val="single" w:sz="6" w:space="0" w:color="000000"/>
            </w:tcBorders>
          </w:tcPr>
          <w:p w:rsidR="007043CB" w:rsidRDefault="004B5C2E">
            <w:pPr>
              <w:spacing w:after="0" w:line="259" w:lineRule="auto"/>
              <w:ind w:left="0" w:firstLine="0"/>
              <w:jc w:val="left"/>
            </w:pPr>
            <w:r>
              <w:rPr>
                <w:sz w:val="16"/>
              </w:rPr>
              <w:t xml:space="preserve">D6 </w:t>
            </w:r>
          </w:p>
        </w:tc>
        <w:tc>
          <w:tcPr>
            <w:tcW w:w="1080" w:type="dxa"/>
            <w:tcBorders>
              <w:top w:val="single" w:sz="6" w:space="0" w:color="000000"/>
              <w:left w:val="single" w:sz="6" w:space="0" w:color="000000"/>
              <w:bottom w:val="single" w:sz="12" w:space="0" w:color="000000"/>
              <w:right w:val="single" w:sz="6" w:space="0" w:color="000000"/>
            </w:tcBorders>
          </w:tcPr>
          <w:p w:rsidR="007043CB" w:rsidRDefault="004B5C2E">
            <w:pPr>
              <w:spacing w:after="0" w:line="259" w:lineRule="auto"/>
              <w:ind w:left="4" w:right="200" w:firstLine="0"/>
              <w:jc w:val="left"/>
            </w:pPr>
            <w:r>
              <w:rPr>
                <w:sz w:val="16"/>
              </w:rPr>
              <w:t xml:space="preserve">nad 5 000 000 </w:t>
            </w:r>
          </w:p>
        </w:tc>
        <w:tc>
          <w:tcPr>
            <w:tcW w:w="8278" w:type="dxa"/>
            <w:gridSpan w:val="2"/>
            <w:tcBorders>
              <w:top w:val="single" w:sz="6" w:space="0" w:color="000000"/>
              <w:left w:val="single" w:sz="6" w:space="0" w:color="000000"/>
              <w:bottom w:val="single" w:sz="12" w:space="0" w:color="000000"/>
              <w:right w:val="single" w:sz="12" w:space="0" w:color="000000"/>
            </w:tcBorders>
          </w:tcPr>
          <w:p w:rsidR="007043CB" w:rsidRDefault="004B5C2E">
            <w:pPr>
              <w:spacing w:after="0" w:line="259" w:lineRule="auto"/>
              <w:ind w:left="4" w:firstLine="0"/>
              <w:jc w:val="left"/>
            </w:pPr>
            <w:r>
              <w:rPr>
                <w:sz w:val="16"/>
              </w:rPr>
              <w:t xml:space="preserve">Individuálně ujednaný způsob zabezpečení. </w:t>
            </w:r>
          </w:p>
        </w:tc>
      </w:tr>
    </w:tbl>
    <w:p w:rsidR="007043CB" w:rsidRDefault="004B5C2E">
      <w:pPr>
        <w:ind w:left="-15" w:firstLine="0"/>
      </w:pPr>
      <w:r>
        <w:t xml:space="preserve">Nedílnou součástí této doložky je výklad pojmů uvedený v doložce DOZ5. </w:t>
      </w:r>
    </w:p>
    <w:p w:rsidR="007043CB" w:rsidRDefault="004B5C2E">
      <w:pPr>
        <w:spacing w:after="39" w:line="259" w:lineRule="auto"/>
        <w:ind w:left="0" w:firstLine="0"/>
        <w:jc w:val="left"/>
      </w:pPr>
      <w:r>
        <w:rPr>
          <w:b/>
        </w:rPr>
        <w:t xml:space="preserve"> </w:t>
      </w:r>
    </w:p>
    <w:p w:rsidR="007043CB" w:rsidRDefault="004B5C2E">
      <w:pPr>
        <w:spacing w:after="39" w:line="259" w:lineRule="auto"/>
        <w:ind w:left="0" w:firstLine="0"/>
        <w:jc w:val="left"/>
      </w:pPr>
      <w:r>
        <w:rPr>
          <w:b/>
        </w:rPr>
        <w:t xml:space="preserve"> </w:t>
      </w:r>
    </w:p>
    <w:p w:rsidR="007043CB" w:rsidRDefault="004B5C2E">
      <w:pPr>
        <w:spacing w:after="47" w:line="250" w:lineRule="auto"/>
        <w:ind w:left="-5" w:hanging="10"/>
        <w:jc w:val="left"/>
      </w:pPr>
      <w:r>
        <w:rPr>
          <w:b/>
        </w:rPr>
        <w:t>Doložka DOZ2 - Předepsané způsoby zabezpečení cenností a cenných věcí</w:t>
      </w:r>
      <w:r>
        <w:t xml:space="preserve"> - Upřesnění (1211) </w:t>
      </w:r>
    </w:p>
    <w:p w:rsidR="007043CB" w:rsidRDefault="004B5C2E">
      <w:pPr>
        <w:numPr>
          <w:ilvl w:val="0"/>
          <w:numId w:val="14"/>
        </w:numPr>
        <w:ind w:hanging="271"/>
      </w:pPr>
      <w:r>
        <w:t xml:space="preserve">Tato doložka stanoví způsoby zabezpečení v návaznosti na ujednání ZPP P - 200/05 podrobněji specifikuje zabezpečení pojištěných věcí proti krádeži a v uvedených případech proti loupeži a stanovuje tomu odpovídající limity pojistného plnění. </w:t>
      </w:r>
    </w:p>
    <w:p w:rsidR="007043CB" w:rsidRDefault="004B5C2E">
      <w:pPr>
        <w:numPr>
          <w:ilvl w:val="0"/>
          <w:numId w:val="14"/>
        </w:numPr>
        <w:ind w:hanging="271"/>
      </w:pPr>
      <w:r>
        <w:t xml:space="preserve">Pojistník a pojištěný jsou povinni zajistit, aby v době pojistné události byly podle jednotlivě požadovaných způsobů uložení a zabezpečení pojištěných věcí (v uzavřeném prostoru, ve schránkách a trezorech): a) uzavírací a uzamykací mechanismy funkční,  </w:t>
      </w:r>
    </w:p>
    <w:p w:rsidR="007043CB" w:rsidRDefault="004B5C2E">
      <w:pPr>
        <w:numPr>
          <w:ilvl w:val="1"/>
          <w:numId w:val="14"/>
        </w:numPr>
        <w:spacing w:after="0" w:line="259" w:lineRule="auto"/>
        <w:ind w:hanging="274"/>
      </w:pPr>
      <w:r>
        <w:t xml:space="preserve">otevíratelné otvory, jako jsou okna, výlohy, světlíky aj., zevnitř uzavřeny, a pokud jsou otevíratelné zvenčí, i uzamčeny,  </w:t>
      </w:r>
    </w:p>
    <w:p w:rsidR="007043CB" w:rsidRDefault="004B5C2E">
      <w:pPr>
        <w:numPr>
          <w:ilvl w:val="1"/>
          <w:numId w:val="14"/>
        </w:numPr>
        <w:ind w:hanging="274"/>
      </w:pPr>
      <w:r>
        <w:t>dveře, vrata, vstupy, vjezdy apod. řádně uzavřeny a uzamčeny, ostatní otvory o velikosti 600 cm</w:t>
      </w:r>
      <w:r>
        <w:rPr>
          <w:vertAlign w:val="superscript"/>
        </w:rPr>
        <w:t>2</w:t>
      </w:r>
      <w:r>
        <w:t xml:space="preserve"> a větší zevnitř zneprůchodněny,  </w:t>
      </w:r>
    </w:p>
    <w:p w:rsidR="007043CB" w:rsidRDefault="004B5C2E">
      <w:pPr>
        <w:numPr>
          <w:ilvl w:val="1"/>
          <w:numId w:val="14"/>
        </w:numPr>
        <w:ind w:hanging="274"/>
      </w:pPr>
      <w:r>
        <w:t xml:space="preserve">elektrický zabezpečovací systém funkční a ve stavu střežení, </w:t>
      </w:r>
    </w:p>
    <w:p w:rsidR="007043CB" w:rsidRDefault="004B5C2E">
      <w:pPr>
        <w:numPr>
          <w:ilvl w:val="1"/>
          <w:numId w:val="14"/>
        </w:numPr>
        <w:ind w:hanging="274"/>
      </w:pPr>
      <w:r>
        <w:t xml:space="preserve">schránky a trezory uzamčeny. </w:t>
      </w:r>
    </w:p>
    <w:p w:rsidR="007043CB" w:rsidRDefault="004B5C2E">
      <w:pPr>
        <w:numPr>
          <w:ilvl w:val="0"/>
          <w:numId w:val="14"/>
        </w:numPr>
        <w:ind w:hanging="271"/>
      </w:pPr>
      <w:r>
        <w:t xml:space="preserve">Klíče od dveří a vstupů, od trezorů a schránek nesmí být volně uloženy (uschovány) ve stejném místě pojištění (např. v pracovním stole, ve skříni na klíče, ve vrátnici), ve kterém jsou pojištěné věci uloženy.  </w:t>
      </w:r>
    </w:p>
    <w:p w:rsidR="007043CB" w:rsidRDefault="004B5C2E">
      <w:pPr>
        <w:numPr>
          <w:ilvl w:val="0"/>
          <w:numId w:val="14"/>
        </w:numPr>
        <w:ind w:hanging="271"/>
      </w:pPr>
      <w:r>
        <w:t xml:space="preserve">Nejsou-li splněny výše uvedené minimální požadavky na zabezpečení, pojistitel má právo odmítnout pojistné plnění.  </w:t>
      </w:r>
    </w:p>
    <w:p w:rsidR="007043CB" w:rsidRDefault="004B5C2E">
      <w:pPr>
        <w:numPr>
          <w:ilvl w:val="0"/>
          <w:numId w:val="14"/>
        </w:numPr>
        <w:ind w:hanging="271"/>
      </w:pPr>
      <w:r>
        <w:t xml:space="preserve">Pojistitel může vyžadovat způsob zabezpečení vyššího stupně, pokud usoudí, že jde o vyšší riziko vzhledem k charakteru a hodnotě uloženého majetku nebo s ohledem na umístění objektu. Požadavky na uložení a zabezpečení pojištěných věcí podle jejich charakteru a hodnoty vztahující se k jednotlivým limitům plnění pojistitele jsou uvedeny dále v tabulce 1 až 2.  </w:t>
      </w:r>
    </w:p>
    <w:p w:rsidR="007043CB" w:rsidRDefault="004B5C2E">
      <w:pPr>
        <w:numPr>
          <w:ilvl w:val="0"/>
          <w:numId w:val="14"/>
        </w:numPr>
        <w:ind w:hanging="271"/>
      </w:pPr>
      <w:r>
        <w:rPr>
          <w:b/>
        </w:rPr>
        <w:t>Uzavřeným prostorem</w:t>
      </w:r>
      <w:r>
        <w:t xml:space="preserve"> se rozumí prostor, ve kterém jsou uloženy pojištěné věci a který pojistník nebo pojištěný užívá sám a po právu. Prvky zabezpečující uzavřený prostor musí být provedeny tak, že z vnější přístupové strany je nelze demontovat běžnými nástroji, jako jsou šroubováky, kleště, montážní klíče apod., a nelze je z vnější přístupové strany překonat bez destruktivních metod.  </w:t>
      </w:r>
    </w:p>
    <w:p w:rsidR="007043CB" w:rsidRDefault="004B5C2E">
      <w:pPr>
        <w:spacing w:after="0" w:line="259" w:lineRule="auto"/>
        <w:ind w:left="0" w:firstLine="0"/>
        <w:jc w:val="left"/>
      </w:pPr>
      <w:r>
        <w:t xml:space="preserve"> </w:t>
      </w:r>
    </w:p>
    <w:p w:rsidR="007043CB" w:rsidRDefault="004B5C2E">
      <w:pPr>
        <w:ind w:left="-15" w:firstLine="0"/>
      </w:pPr>
      <w:r>
        <w:rPr>
          <w:b/>
        </w:rPr>
        <w:t xml:space="preserve">Typ „A“ </w:t>
      </w:r>
      <w:r>
        <w:t xml:space="preserve">je 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Stropy a podlahy musí vykazovat stejné vlastnosti. </w:t>
      </w:r>
    </w:p>
    <w:p w:rsidR="007043CB" w:rsidRDefault="004B5C2E">
      <w:pPr>
        <w:spacing w:after="0" w:line="259" w:lineRule="auto"/>
        <w:ind w:left="0" w:firstLine="0"/>
        <w:jc w:val="left"/>
      </w:pPr>
      <w:r>
        <w:t xml:space="preserve"> </w:t>
      </w:r>
    </w:p>
    <w:p w:rsidR="007043CB" w:rsidRDefault="004B5C2E">
      <w:pPr>
        <w:spacing w:after="7" w:line="250" w:lineRule="auto"/>
        <w:ind w:left="-5" w:hanging="10"/>
        <w:jc w:val="left"/>
      </w:pPr>
      <w:r>
        <w:rPr>
          <w:b/>
        </w:rPr>
        <w:lastRenderedPageBreak/>
        <w:t xml:space="preserve">Typ „A“ - běžný uzavřený prostor </w:t>
      </w:r>
    </w:p>
    <w:p w:rsidR="007043CB" w:rsidRDefault="004B5C2E">
      <w:pPr>
        <w:spacing w:after="7" w:line="250" w:lineRule="auto"/>
        <w:ind w:left="-5" w:hanging="10"/>
        <w:jc w:val="left"/>
      </w:pPr>
      <w:r>
        <w:t xml:space="preserve">Tabulka č. 1 </w:t>
      </w:r>
      <w:r>
        <w:rPr>
          <w:b/>
        </w:rPr>
        <w:t xml:space="preserve">Požadavky na způsoby zabezpečení proti odcizení krádeží </w:t>
      </w:r>
    </w:p>
    <w:tbl>
      <w:tblPr>
        <w:tblStyle w:val="TableGrid"/>
        <w:tblW w:w="8404" w:type="dxa"/>
        <w:tblInd w:w="1" w:type="dxa"/>
        <w:tblCellMar>
          <w:top w:w="32" w:type="dxa"/>
          <w:left w:w="65" w:type="dxa"/>
          <w:right w:w="24" w:type="dxa"/>
        </w:tblCellMar>
        <w:tblLook w:val="04A0" w:firstRow="1" w:lastRow="0" w:firstColumn="1" w:lastColumn="0" w:noHBand="0" w:noVBand="1"/>
      </w:tblPr>
      <w:tblGrid>
        <w:gridCol w:w="633"/>
        <w:gridCol w:w="1843"/>
        <w:gridCol w:w="5928"/>
      </w:tblGrid>
      <w:tr w:rsidR="007043CB">
        <w:trPr>
          <w:trHeight w:val="267"/>
        </w:trPr>
        <w:tc>
          <w:tcPr>
            <w:tcW w:w="633" w:type="dxa"/>
            <w:vMerge w:val="restart"/>
            <w:tcBorders>
              <w:top w:val="single" w:sz="12" w:space="0" w:color="000000"/>
              <w:left w:val="single" w:sz="12" w:space="0" w:color="000000"/>
              <w:bottom w:val="single" w:sz="6" w:space="0" w:color="000000"/>
              <w:right w:val="single" w:sz="6" w:space="0" w:color="000000"/>
            </w:tcBorders>
            <w:shd w:val="clear" w:color="auto" w:fill="CCCCCC"/>
            <w:vAlign w:val="center"/>
          </w:tcPr>
          <w:p w:rsidR="007043CB" w:rsidRDefault="004B5C2E">
            <w:pPr>
              <w:spacing w:after="0" w:line="259" w:lineRule="auto"/>
              <w:ind w:left="1" w:firstLine="0"/>
              <w:jc w:val="left"/>
            </w:pPr>
            <w:r>
              <w:rPr>
                <w:b/>
                <w:sz w:val="16"/>
              </w:rPr>
              <w:t xml:space="preserve">Kód </w:t>
            </w:r>
          </w:p>
        </w:tc>
        <w:tc>
          <w:tcPr>
            <w:tcW w:w="7771" w:type="dxa"/>
            <w:gridSpan w:val="2"/>
            <w:tcBorders>
              <w:top w:val="single" w:sz="12" w:space="0" w:color="000000"/>
              <w:left w:val="single" w:sz="6" w:space="0" w:color="000000"/>
              <w:bottom w:val="single" w:sz="9" w:space="0" w:color="CCCCCC"/>
              <w:right w:val="single" w:sz="12" w:space="0" w:color="000000"/>
            </w:tcBorders>
            <w:shd w:val="clear" w:color="auto" w:fill="CCCCCC"/>
          </w:tcPr>
          <w:p w:rsidR="007043CB" w:rsidRDefault="004B5C2E">
            <w:pPr>
              <w:spacing w:after="0" w:line="259" w:lineRule="auto"/>
              <w:ind w:left="5" w:firstLine="0"/>
              <w:jc w:val="left"/>
            </w:pPr>
            <w:r>
              <w:rPr>
                <w:b/>
                <w:sz w:val="16"/>
              </w:rPr>
              <w:t xml:space="preserve">Požadovaný minimální způsob zabezpečení uzavřeného prostoru </w:t>
            </w:r>
          </w:p>
        </w:tc>
      </w:tr>
      <w:tr w:rsidR="007043CB">
        <w:trPr>
          <w:trHeight w:val="260"/>
        </w:trPr>
        <w:tc>
          <w:tcPr>
            <w:tcW w:w="0" w:type="auto"/>
            <w:vMerge/>
            <w:tcBorders>
              <w:top w:val="nil"/>
              <w:left w:val="single" w:sz="12"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1843" w:type="dxa"/>
            <w:tcBorders>
              <w:top w:val="single" w:sz="9" w:space="0" w:color="CCCCCC"/>
              <w:left w:val="single" w:sz="6" w:space="0" w:color="000000"/>
              <w:bottom w:val="single" w:sz="6" w:space="0" w:color="000000"/>
              <w:right w:val="single" w:sz="4" w:space="0" w:color="000000"/>
            </w:tcBorders>
            <w:shd w:val="clear" w:color="auto" w:fill="CCCCCC"/>
          </w:tcPr>
          <w:p w:rsidR="007043CB" w:rsidRDefault="004B5C2E">
            <w:pPr>
              <w:spacing w:after="0" w:line="259" w:lineRule="auto"/>
              <w:ind w:left="5" w:firstLine="0"/>
              <w:jc w:val="left"/>
            </w:pPr>
            <w:r>
              <w:rPr>
                <w:b/>
                <w:sz w:val="16"/>
              </w:rPr>
              <w:t xml:space="preserve">prvek zabezpečení </w:t>
            </w:r>
          </w:p>
        </w:tc>
        <w:tc>
          <w:tcPr>
            <w:tcW w:w="5928" w:type="dxa"/>
            <w:tcBorders>
              <w:top w:val="single" w:sz="9" w:space="0" w:color="CCCCCC"/>
              <w:left w:val="single" w:sz="4" w:space="0" w:color="000000"/>
              <w:bottom w:val="single" w:sz="6" w:space="0" w:color="000000"/>
              <w:right w:val="single" w:sz="12" w:space="0" w:color="000000"/>
            </w:tcBorders>
            <w:shd w:val="clear" w:color="auto" w:fill="CCCCCC"/>
          </w:tcPr>
          <w:p w:rsidR="007043CB" w:rsidRDefault="004B5C2E">
            <w:pPr>
              <w:spacing w:after="0" w:line="259" w:lineRule="auto"/>
              <w:ind w:left="5" w:firstLine="0"/>
              <w:jc w:val="left"/>
            </w:pPr>
            <w:r>
              <w:rPr>
                <w:b/>
                <w:sz w:val="16"/>
              </w:rPr>
              <w:t xml:space="preserve">kvalita prvku zabezpečení </w:t>
            </w:r>
          </w:p>
        </w:tc>
      </w:tr>
      <w:tr w:rsidR="007043CB">
        <w:trPr>
          <w:trHeight w:val="211"/>
        </w:trPr>
        <w:tc>
          <w:tcPr>
            <w:tcW w:w="633" w:type="dxa"/>
            <w:tcBorders>
              <w:top w:val="single" w:sz="6" w:space="0" w:color="000000"/>
              <w:left w:val="single" w:sz="12" w:space="0" w:color="000000"/>
              <w:bottom w:val="single" w:sz="6" w:space="0" w:color="000000"/>
              <w:right w:val="single" w:sz="6" w:space="0" w:color="000000"/>
            </w:tcBorders>
          </w:tcPr>
          <w:p w:rsidR="007043CB" w:rsidRDefault="004B5C2E">
            <w:pPr>
              <w:spacing w:after="0" w:line="259" w:lineRule="auto"/>
              <w:ind w:left="1" w:firstLine="0"/>
              <w:jc w:val="left"/>
            </w:pPr>
            <w:r>
              <w:rPr>
                <w:sz w:val="16"/>
              </w:rPr>
              <w:t xml:space="preserve">A1 </w:t>
            </w:r>
          </w:p>
        </w:tc>
        <w:tc>
          <w:tcPr>
            <w:tcW w:w="7771" w:type="dxa"/>
            <w:gridSpan w:val="2"/>
            <w:tcBorders>
              <w:top w:val="single" w:sz="6" w:space="0" w:color="000000"/>
              <w:left w:val="single" w:sz="6" w:space="0" w:color="000000"/>
              <w:bottom w:val="single" w:sz="6" w:space="0" w:color="000000"/>
              <w:right w:val="single" w:sz="12" w:space="0" w:color="000000"/>
            </w:tcBorders>
          </w:tcPr>
          <w:p w:rsidR="007043CB" w:rsidRDefault="004B5C2E">
            <w:pPr>
              <w:spacing w:after="0" w:line="259" w:lineRule="auto"/>
              <w:ind w:left="5" w:firstLine="0"/>
              <w:jc w:val="left"/>
            </w:pPr>
            <w:r>
              <w:rPr>
                <w:sz w:val="16"/>
              </w:rPr>
              <w:t xml:space="preserve">Zabezpečení podle odst. 2. této doložky – dále nespecifikováno. </w:t>
            </w:r>
          </w:p>
        </w:tc>
      </w:tr>
      <w:tr w:rsidR="007043CB">
        <w:trPr>
          <w:trHeight w:val="211"/>
        </w:trPr>
        <w:tc>
          <w:tcPr>
            <w:tcW w:w="633" w:type="dxa"/>
            <w:vMerge w:val="restart"/>
            <w:tcBorders>
              <w:top w:val="single" w:sz="6" w:space="0" w:color="000000"/>
              <w:left w:val="single" w:sz="12" w:space="0" w:color="000000"/>
              <w:bottom w:val="single" w:sz="6" w:space="0" w:color="000000"/>
              <w:right w:val="single" w:sz="6" w:space="0" w:color="000000"/>
            </w:tcBorders>
          </w:tcPr>
          <w:p w:rsidR="007043CB" w:rsidRDefault="004B5C2E">
            <w:pPr>
              <w:spacing w:after="0" w:line="259" w:lineRule="auto"/>
              <w:ind w:left="1" w:firstLine="0"/>
              <w:jc w:val="left"/>
            </w:pPr>
            <w:r>
              <w:rPr>
                <w:sz w:val="16"/>
              </w:rPr>
              <w:t xml:space="preserve">A2 </w:t>
            </w:r>
          </w:p>
        </w:tc>
        <w:tc>
          <w:tcPr>
            <w:tcW w:w="1843"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dveře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5" w:firstLine="0"/>
              <w:jc w:val="left"/>
            </w:pPr>
            <w:r>
              <w:rPr>
                <w:b/>
                <w:sz w:val="16"/>
              </w:rPr>
              <w:t>běžné</w:t>
            </w:r>
            <w:r>
              <w:rPr>
                <w:sz w:val="16"/>
              </w:rPr>
              <w:t xml:space="preserve"> </w:t>
            </w:r>
          </w:p>
        </w:tc>
      </w:tr>
      <w:tr w:rsidR="007043CB">
        <w:trPr>
          <w:trHeight w:val="595"/>
        </w:trPr>
        <w:tc>
          <w:tcPr>
            <w:tcW w:w="0" w:type="auto"/>
            <w:vMerge/>
            <w:tcBorders>
              <w:top w:val="nil"/>
              <w:left w:val="single" w:sz="12"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1843"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zámek dveří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numPr>
                <w:ilvl w:val="0"/>
                <w:numId w:val="77"/>
              </w:numPr>
              <w:spacing w:after="0" w:line="259" w:lineRule="auto"/>
              <w:ind w:hanging="89"/>
              <w:jc w:val="left"/>
            </w:pPr>
            <w:r>
              <w:rPr>
                <w:b/>
                <w:sz w:val="16"/>
              </w:rPr>
              <w:t>dozický</w:t>
            </w:r>
            <w:r>
              <w:rPr>
                <w:sz w:val="16"/>
              </w:rPr>
              <w:t xml:space="preserve"> </w:t>
            </w:r>
            <w:r>
              <w:rPr>
                <w:i/>
                <w:sz w:val="16"/>
              </w:rPr>
              <w:t>nebo</w:t>
            </w:r>
            <w:r>
              <w:rPr>
                <w:sz w:val="16"/>
              </w:rPr>
              <w:t xml:space="preserve"> </w:t>
            </w:r>
          </w:p>
          <w:p w:rsidR="007043CB" w:rsidRDefault="004B5C2E">
            <w:pPr>
              <w:numPr>
                <w:ilvl w:val="0"/>
                <w:numId w:val="77"/>
              </w:numPr>
              <w:spacing w:after="0" w:line="259" w:lineRule="auto"/>
              <w:ind w:hanging="89"/>
              <w:jc w:val="left"/>
            </w:pPr>
            <w:r>
              <w:rPr>
                <w:b/>
                <w:sz w:val="16"/>
              </w:rPr>
              <w:t>bezpečnostní visací</w:t>
            </w:r>
            <w:r>
              <w:rPr>
                <w:sz w:val="16"/>
              </w:rPr>
              <w:t xml:space="preserve"> </w:t>
            </w:r>
            <w:r>
              <w:rPr>
                <w:i/>
                <w:sz w:val="16"/>
              </w:rPr>
              <w:t>nebo</w:t>
            </w:r>
            <w:r>
              <w:rPr>
                <w:sz w:val="16"/>
              </w:rPr>
              <w:t xml:space="preserve"> </w:t>
            </w:r>
          </w:p>
          <w:p w:rsidR="007043CB" w:rsidRDefault="004B5C2E">
            <w:pPr>
              <w:numPr>
                <w:ilvl w:val="0"/>
                <w:numId w:val="77"/>
              </w:numPr>
              <w:spacing w:after="0" w:line="259" w:lineRule="auto"/>
              <w:ind w:hanging="89"/>
              <w:jc w:val="left"/>
            </w:pPr>
            <w:r>
              <w:rPr>
                <w:sz w:val="16"/>
              </w:rPr>
              <w:t xml:space="preserve">zámek s </w:t>
            </w:r>
            <w:r>
              <w:rPr>
                <w:b/>
                <w:sz w:val="16"/>
              </w:rPr>
              <w:t>bezpečnostní cylindrickou vložkou</w:t>
            </w:r>
            <w:r>
              <w:rPr>
                <w:sz w:val="16"/>
              </w:rPr>
              <w:t xml:space="preserve"> </w:t>
            </w:r>
          </w:p>
        </w:tc>
      </w:tr>
      <w:tr w:rsidR="007043CB">
        <w:trPr>
          <w:trHeight w:val="211"/>
        </w:trPr>
        <w:tc>
          <w:tcPr>
            <w:tcW w:w="633" w:type="dxa"/>
            <w:vMerge w:val="restart"/>
            <w:tcBorders>
              <w:top w:val="single" w:sz="6" w:space="0" w:color="000000"/>
              <w:left w:val="single" w:sz="12" w:space="0" w:color="000000"/>
              <w:bottom w:val="single" w:sz="6" w:space="0" w:color="000000"/>
              <w:right w:val="single" w:sz="6" w:space="0" w:color="000000"/>
            </w:tcBorders>
          </w:tcPr>
          <w:p w:rsidR="007043CB" w:rsidRDefault="004B5C2E">
            <w:pPr>
              <w:spacing w:after="0" w:line="259" w:lineRule="auto"/>
              <w:ind w:left="1" w:firstLine="0"/>
              <w:jc w:val="left"/>
            </w:pPr>
            <w:r>
              <w:rPr>
                <w:sz w:val="16"/>
              </w:rPr>
              <w:t xml:space="preserve">A3 </w:t>
            </w:r>
          </w:p>
        </w:tc>
        <w:tc>
          <w:tcPr>
            <w:tcW w:w="1843"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dveře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5" w:firstLine="0"/>
              <w:jc w:val="left"/>
            </w:pPr>
            <w:r>
              <w:rPr>
                <w:b/>
                <w:sz w:val="16"/>
              </w:rPr>
              <w:t>plné</w:t>
            </w:r>
            <w:r>
              <w:rPr>
                <w:sz w:val="16"/>
              </w:rPr>
              <w:t xml:space="preserve"> </w:t>
            </w:r>
          </w:p>
        </w:tc>
      </w:tr>
      <w:tr w:rsidR="007043CB">
        <w:trPr>
          <w:trHeight w:val="790"/>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1843"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zámek dveří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5" w:right="40" w:firstLine="0"/>
            </w:pPr>
            <w:r>
              <w:rPr>
                <w:b/>
                <w:sz w:val="16"/>
              </w:rPr>
              <w:t>- zámek s bezpečnostní cylindrickou vložkou a bezpečnostním kováním</w:t>
            </w:r>
            <w:r>
              <w:rPr>
                <w:sz w:val="16"/>
              </w:rPr>
              <w:t xml:space="preserve"> </w:t>
            </w:r>
            <w:r>
              <w:rPr>
                <w:i/>
                <w:sz w:val="16"/>
              </w:rPr>
              <w:t>nebo</w:t>
            </w:r>
            <w:r>
              <w:rPr>
                <w:sz w:val="16"/>
              </w:rPr>
              <w:t xml:space="preserve"> - zámek s </w:t>
            </w:r>
            <w:r>
              <w:rPr>
                <w:b/>
                <w:sz w:val="16"/>
              </w:rPr>
              <w:t xml:space="preserve">bezpečnostní cylindrickou vložkou </w:t>
            </w:r>
            <w:r>
              <w:rPr>
                <w:sz w:val="16"/>
              </w:rPr>
              <w:t xml:space="preserve">a současně otevíratelná </w:t>
            </w:r>
            <w:r>
              <w:rPr>
                <w:b/>
                <w:sz w:val="16"/>
              </w:rPr>
              <w:t xml:space="preserve">funkční mříž </w:t>
            </w:r>
            <w:r>
              <w:rPr>
                <w:sz w:val="16"/>
              </w:rPr>
              <w:t xml:space="preserve">nebo </w:t>
            </w:r>
            <w:r>
              <w:rPr>
                <w:b/>
                <w:sz w:val="16"/>
              </w:rPr>
              <w:t xml:space="preserve">funkční roleta </w:t>
            </w:r>
            <w:r>
              <w:rPr>
                <w:i/>
                <w:sz w:val="16"/>
              </w:rPr>
              <w:t>nebo</w:t>
            </w:r>
            <w:r>
              <w:rPr>
                <w:sz w:val="16"/>
              </w:rPr>
              <w:t xml:space="preserve"> - dva </w:t>
            </w:r>
            <w:r>
              <w:rPr>
                <w:b/>
                <w:sz w:val="16"/>
              </w:rPr>
              <w:t>bezpečnostní visací zámky</w:t>
            </w:r>
            <w:r>
              <w:rPr>
                <w:sz w:val="16"/>
              </w:rPr>
              <w:t xml:space="preserve"> </w:t>
            </w:r>
          </w:p>
        </w:tc>
      </w:tr>
      <w:tr w:rsidR="007043CB">
        <w:trPr>
          <w:trHeight w:val="206"/>
        </w:trPr>
        <w:tc>
          <w:tcPr>
            <w:tcW w:w="0" w:type="auto"/>
            <w:vMerge/>
            <w:tcBorders>
              <w:top w:val="nil"/>
              <w:left w:val="single" w:sz="12"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1843"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prosklené plochy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5" w:firstLine="0"/>
              <w:jc w:val="left"/>
            </w:pPr>
            <w:r>
              <w:rPr>
                <w:sz w:val="16"/>
              </w:rPr>
              <w:t xml:space="preserve">zabezpečení prosklených částí dveří </w:t>
            </w:r>
          </w:p>
        </w:tc>
      </w:tr>
      <w:tr w:rsidR="007043CB">
        <w:trPr>
          <w:trHeight w:val="214"/>
        </w:trPr>
        <w:tc>
          <w:tcPr>
            <w:tcW w:w="633" w:type="dxa"/>
            <w:vMerge w:val="restart"/>
            <w:tcBorders>
              <w:top w:val="single" w:sz="6" w:space="0" w:color="000000"/>
              <w:left w:val="single" w:sz="12" w:space="0" w:color="000000"/>
              <w:bottom w:val="single" w:sz="4" w:space="0" w:color="000000"/>
              <w:right w:val="single" w:sz="6" w:space="0" w:color="000000"/>
            </w:tcBorders>
          </w:tcPr>
          <w:p w:rsidR="007043CB" w:rsidRDefault="004B5C2E">
            <w:pPr>
              <w:spacing w:after="0" w:line="259" w:lineRule="auto"/>
              <w:ind w:left="1" w:firstLine="0"/>
              <w:jc w:val="left"/>
            </w:pPr>
            <w:r>
              <w:rPr>
                <w:sz w:val="16"/>
              </w:rPr>
              <w:t xml:space="preserve">A4 </w:t>
            </w:r>
          </w:p>
        </w:tc>
        <w:tc>
          <w:tcPr>
            <w:tcW w:w="1843"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dveře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5" w:firstLine="0"/>
              <w:jc w:val="left"/>
            </w:pPr>
            <w:r>
              <w:rPr>
                <w:b/>
                <w:sz w:val="16"/>
              </w:rPr>
              <w:t xml:space="preserve">plné </w:t>
            </w:r>
          </w:p>
        </w:tc>
      </w:tr>
      <w:tr w:rsidR="007043CB">
        <w:trPr>
          <w:trHeight w:val="595"/>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1843"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zámek dveří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numPr>
                <w:ilvl w:val="0"/>
                <w:numId w:val="78"/>
              </w:numPr>
              <w:spacing w:after="0" w:line="259" w:lineRule="auto"/>
              <w:ind w:firstLine="0"/>
              <w:jc w:val="left"/>
            </w:pPr>
            <w:r>
              <w:rPr>
                <w:b/>
                <w:sz w:val="16"/>
              </w:rPr>
              <w:t>bezpečnostní uzamykací systém</w:t>
            </w:r>
            <w:r>
              <w:rPr>
                <w:sz w:val="16"/>
              </w:rPr>
              <w:t xml:space="preserve"> </w:t>
            </w:r>
            <w:r>
              <w:rPr>
                <w:i/>
                <w:sz w:val="16"/>
              </w:rPr>
              <w:t>nebo</w:t>
            </w:r>
            <w:r>
              <w:rPr>
                <w:sz w:val="16"/>
              </w:rPr>
              <w:t xml:space="preserve"> </w:t>
            </w:r>
          </w:p>
          <w:p w:rsidR="007043CB" w:rsidRDefault="004B5C2E">
            <w:pPr>
              <w:numPr>
                <w:ilvl w:val="0"/>
                <w:numId w:val="78"/>
              </w:numPr>
              <w:spacing w:after="0" w:line="259" w:lineRule="auto"/>
              <w:ind w:firstLine="0"/>
              <w:jc w:val="left"/>
            </w:pPr>
            <w:r>
              <w:rPr>
                <w:sz w:val="16"/>
              </w:rPr>
              <w:t xml:space="preserve">zámek s </w:t>
            </w:r>
            <w:r>
              <w:rPr>
                <w:b/>
                <w:sz w:val="16"/>
              </w:rPr>
              <w:t xml:space="preserve">bezpečnostní cylindrickou vložkou </w:t>
            </w:r>
            <w:r>
              <w:rPr>
                <w:sz w:val="16"/>
              </w:rPr>
              <w:t xml:space="preserve">a současně otevíratelná </w:t>
            </w:r>
            <w:r>
              <w:rPr>
                <w:b/>
                <w:sz w:val="16"/>
              </w:rPr>
              <w:t xml:space="preserve">funkční mříž </w:t>
            </w:r>
            <w:r>
              <w:rPr>
                <w:sz w:val="16"/>
              </w:rPr>
              <w:t xml:space="preserve">nebo </w:t>
            </w:r>
            <w:r>
              <w:rPr>
                <w:b/>
                <w:sz w:val="16"/>
              </w:rPr>
              <w:t>funkční roleta</w:t>
            </w:r>
            <w:r>
              <w:rPr>
                <w:sz w:val="16"/>
              </w:rPr>
              <w:t xml:space="preserve"> </w:t>
            </w:r>
          </w:p>
        </w:tc>
      </w:tr>
      <w:tr w:rsidR="007043CB">
        <w:trPr>
          <w:trHeight w:val="401"/>
        </w:trPr>
        <w:tc>
          <w:tcPr>
            <w:tcW w:w="0" w:type="auto"/>
            <w:vMerge/>
            <w:tcBorders>
              <w:top w:val="nil"/>
              <w:left w:val="single" w:sz="12" w:space="0" w:color="000000"/>
              <w:bottom w:val="single" w:sz="4" w:space="0" w:color="000000"/>
              <w:right w:val="single" w:sz="6" w:space="0" w:color="000000"/>
            </w:tcBorders>
          </w:tcPr>
          <w:p w:rsidR="007043CB" w:rsidRDefault="007043CB">
            <w:pPr>
              <w:spacing w:after="160" w:line="259" w:lineRule="auto"/>
              <w:ind w:left="0" w:firstLine="0"/>
              <w:jc w:val="left"/>
            </w:pPr>
          </w:p>
        </w:tc>
        <w:tc>
          <w:tcPr>
            <w:tcW w:w="1843"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prosklené plochy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5" w:firstLine="0"/>
            </w:pPr>
            <w:r>
              <w:rPr>
                <w:sz w:val="16"/>
              </w:rPr>
              <w:t xml:space="preserve">zabezpečení prosklených částí </w:t>
            </w:r>
            <w:r>
              <w:rPr>
                <w:b/>
                <w:sz w:val="16"/>
              </w:rPr>
              <w:t>oken</w:t>
            </w:r>
            <w:r>
              <w:rPr>
                <w:sz w:val="16"/>
              </w:rPr>
              <w:t>,</w:t>
            </w:r>
            <w:r>
              <w:rPr>
                <w:b/>
                <w:sz w:val="16"/>
              </w:rPr>
              <w:t xml:space="preserve"> dveří</w:t>
            </w:r>
            <w:r>
              <w:rPr>
                <w:sz w:val="16"/>
              </w:rPr>
              <w:t xml:space="preserve"> a </w:t>
            </w:r>
            <w:r>
              <w:rPr>
                <w:b/>
                <w:sz w:val="16"/>
              </w:rPr>
              <w:t xml:space="preserve">jiných technických otvorů </w:t>
            </w:r>
            <w:r>
              <w:rPr>
                <w:sz w:val="16"/>
              </w:rPr>
              <w:t xml:space="preserve">s plochou </w:t>
            </w:r>
          </w:p>
          <w:p w:rsidR="007043CB" w:rsidRDefault="004B5C2E">
            <w:pPr>
              <w:spacing w:after="0" w:line="259" w:lineRule="auto"/>
              <w:ind w:left="5" w:firstLine="0"/>
              <w:jc w:val="left"/>
            </w:pPr>
            <w:r>
              <w:rPr>
                <w:sz w:val="16"/>
              </w:rPr>
              <w:t>větší než 600 cm</w:t>
            </w:r>
            <w:r>
              <w:rPr>
                <w:sz w:val="16"/>
                <w:vertAlign w:val="superscript"/>
              </w:rPr>
              <w:t xml:space="preserve">2 </w:t>
            </w:r>
          </w:p>
        </w:tc>
      </w:tr>
      <w:tr w:rsidR="007043CB">
        <w:trPr>
          <w:trHeight w:val="212"/>
        </w:trPr>
        <w:tc>
          <w:tcPr>
            <w:tcW w:w="633" w:type="dxa"/>
            <w:vMerge w:val="restart"/>
            <w:tcBorders>
              <w:top w:val="single" w:sz="4" w:space="0" w:color="000000"/>
              <w:left w:val="single" w:sz="12" w:space="0" w:color="000000"/>
              <w:bottom w:val="single" w:sz="9" w:space="0" w:color="000000"/>
              <w:right w:val="single" w:sz="6" w:space="0" w:color="000000"/>
            </w:tcBorders>
          </w:tcPr>
          <w:p w:rsidR="007043CB" w:rsidRDefault="004B5C2E">
            <w:pPr>
              <w:spacing w:after="0" w:line="259" w:lineRule="auto"/>
              <w:ind w:left="1" w:firstLine="0"/>
              <w:jc w:val="left"/>
            </w:pPr>
            <w:r>
              <w:rPr>
                <w:sz w:val="16"/>
              </w:rPr>
              <w:t xml:space="preserve">A5 </w:t>
            </w:r>
          </w:p>
        </w:tc>
        <w:tc>
          <w:tcPr>
            <w:tcW w:w="1843"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dveře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5" w:firstLine="0"/>
              <w:jc w:val="left"/>
            </w:pPr>
            <w:r>
              <w:rPr>
                <w:b/>
                <w:sz w:val="16"/>
              </w:rPr>
              <w:t xml:space="preserve">plné </w:t>
            </w:r>
          </w:p>
        </w:tc>
      </w:tr>
      <w:tr w:rsidR="007043CB">
        <w:trPr>
          <w:trHeight w:val="787"/>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1843"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zámek dveří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numPr>
                <w:ilvl w:val="0"/>
                <w:numId w:val="79"/>
              </w:numPr>
              <w:spacing w:after="0" w:line="239" w:lineRule="auto"/>
              <w:ind w:right="53" w:firstLine="0"/>
              <w:jc w:val="left"/>
            </w:pPr>
            <w:r>
              <w:rPr>
                <w:b/>
                <w:sz w:val="16"/>
              </w:rPr>
              <w:t>bezpečnostní uzamykací systém</w:t>
            </w:r>
            <w:r>
              <w:rPr>
                <w:sz w:val="16"/>
              </w:rPr>
              <w:t xml:space="preserve"> a současně </w:t>
            </w:r>
            <w:r>
              <w:rPr>
                <w:b/>
                <w:sz w:val="16"/>
              </w:rPr>
              <w:t xml:space="preserve">přídavný bezpečnostní zámek </w:t>
            </w:r>
            <w:r>
              <w:rPr>
                <w:i/>
                <w:sz w:val="16"/>
              </w:rPr>
              <w:t>nebo</w:t>
            </w:r>
            <w:r>
              <w:rPr>
                <w:sz w:val="16"/>
              </w:rPr>
              <w:t xml:space="preserve"> </w:t>
            </w:r>
            <w:r>
              <w:rPr>
                <w:b/>
                <w:sz w:val="16"/>
              </w:rPr>
              <w:t>- tříbodový rozvorový zámek</w:t>
            </w:r>
            <w:r>
              <w:rPr>
                <w:sz w:val="16"/>
              </w:rPr>
              <w:t xml:space="preserve"> </w:t>
            </w:r>
            <w:r>
              <w:rPr>
                <w:i/>
                <w:sz w:val="16"/>
              </w:rPr>
              <w:t>nebo</w:t>
            </w:r>
            <w:r>
              <w:rPr>
                <w:b/>
                <w:sz w:val="16"/>
              </w:rPr>
              <w:t xml:space="preserve"> </w:t>
            </w:r>
          </w:p>
          <w:p w:rsidR="007043CB" w:rsidRDefault="004B5C2E">
            <w:pPr>
              <w:numPr>
                <w:ilvl w:val="0"/>
                <w:numId w:val="79"/>
              </w:numPr>
              <w:spacing w:after="0" w:line="259" w:lineRule="auto"/>
              <w:ind w:right="53" w:firstLine="0"/>
              <w:jc w:val="left"/>
            </w:pPr>
            <w:r>
              <w:rPr>
                <w:b/>
                <w:sz w:val="16"/>
              </w:rPr>
              <w:t>bezpečnostní uzamykací systém</w:t>
            </w:r>
            <w:r>
              <w:rPr>
                <w:sz w:val="16"/>
              </w:rPr>
              <w:t xml:space="preserve"> a současně otevíratelná </w:t>
            </w:r>
            <w:r>
              <w:rPr>
                <w:b/>
                <w:sz w:val="16"/>
              </w:rPr>
              <w:t xml:space="preserve">funkční mříž </w:t>
            </w:r>
            <w:r>
              <w:rPr>
                <w:sz w:val="16"/>
              </w:rPr>
              <w:t xml:space="preserve">nebo </w:t>
            </w:r>
            <w:r>
              <w:rPr>
                <w:b/>
                <w:sz w:val="16"/>
              </w:rPr>
              <w:t xml:space="preserve">funkční roleta </w:t>
            </w:r>
          </w:p>
        </w:tc>
      </w:tr>
      <w:tr w:rsidR="007043CB">
        <w:trPr>
          <w:trHeight w:val="209"/>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1843"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prosklené plochy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5" w:firstLine="0"/>
              <w:jc w:val="left"/>
            </w:pPr>
            <w:r>
              <w:rPr>
                <w:sz w:val="16"/>
              </w:rPr>
              <w:t xml:space="preserve">v rozsahu </w:t>
            </w:r>
            <w:r>
              <w:rPr>
                <w:b/>
                <w:sz w:val="16"/>
              </w:rPr>
              <w:t xml:space="preserve">A4 </w:t>
            </w:r>
          </w:p>
        </w:tc>
      </w:tr>
      <w:tr w:rsidR="007043CB">
        <w:trPr>
          <w:trHeight w:val="206"/>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7771" w:type="dxa"/>
            <w:gridSpan w:val="2"/>
            <w:tcBorders>
              <w:top w:val="single" w:sz="6" w:space="0" w:color="000000"/>
              <w:left w:val="single" w:sz="6" w:space="0" w:color="000000"/>
              <w:bottom w:val="single" w:sz="6" w:space="0" w:color="000000"/>
              <w:right w:val="single" w:sz="12" w:space="0" w:color="000000"/>
            </w:tcBorders>
          </w:tcPr>
          <w:p w:rsidR="007043CB" w:rsidRDefault="004B5C2E">
            <w:pPr>
              <w:spacing w:after="0" w:line="259" w:lineRule="auto"/>
              <w:ind w:left="0" w:firstLine="0"/>
              <w:jc w:val="left"/>
            </w:pPr>
            <w:r>
              <w:rPr>
                <w:b/>
                <w:sz w:val="16"/>
              </w:rPr>
              <w:t>nebo</w:t>
            </w:r>
            <w:r>
              <w:rPr>
                <w:sz w:val="16"/>
              </w:rPr>
              <w:t xml:space="preserve"> </w:t>
            </w:r>
          </w:p>
        </w:tc>
      </w:tr>
      <w:tr w:rsidR="007043CB">
        <w:trPr>
          <w:trHeight w:val="206"/>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1843"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dveře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0" w:firstLine="0"/>
              <w:jc w:val="left"/>
            </w:pPr>
            <w:r>
              <w:rPr>
                <w:b/>
                <w:sz w:val="16"/>
              </w:rPr>
              <w:t xml:space="preserve">plné </w:t>
            </w:r>
          </w:p>
        </w:tc>
      </w:tr>
      <w:tr w:rsidR="007043CB">
        <w:trPr>
          <w:trHeight w:val="209"/>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1843"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5" w:firstLine="0"/>
              <w:jc w:val="left"/>
            </w:pPr>
            <w:r>
              <w:rPr>
                <w:sz w:val="16"/>
              </w:rPr>
              <w:t xml:space="preserve">zámek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0" w:firstLine="0"/>
              <w:jc w:val="left"/>
            </w:pPr>
            <w:r>
              <w:rPr>
                <w:b/>
                <w:sz w:val="16"/>
              </w:rPr>
              <w:t>bezpečnostní uzamykací systém</w:t>
            </w:r>
            <w:r>
              <w:rPr>
                <w:sz w:val="16"/>
              </w:rPr>
              <w:t xml:space="preserve"> </w:t>
            </w:r>
          </w:p>
        </w:tc>
      </w:tr>
      <w:tr w:rsidR="007043CB">
        <w:trPr>
          <w:trHeight w:val="594"/>
        </w:trPr>
        <w:tc>
          <w:tcPr>
            <w:tcW w:w="0" w:type="auto"/>
            <w:vMerge/>
            <w:tcBorders>
              <w:top w:val="nil"/>
              <w:left w:val="single" w:sz="12" w:space="0" w:color="000000"/>
              <w:bottom w:val="single" w:sz="9" w:space="0" w:color="000000"/>
              <w:right w:val="single" w:sz="6" w:space="0" w:color="000000"/>
            </w:tcBorders>
          </w:tcPr>
          <w:p w:rsidR="007043CB" w:rsidRDefault="007043CB">
            <w:pPr>
              <w:spacing w:after="160" w:line="259" w:lineRule="auto"/>
              <w:ind w:left="0" w:firstLine="0"/>
              <w:jc w:val="left"/>
            </w:pPr>
          </w:p>
        </w:tc>
        <w:tc>
          <w:tcPr>
            <w:tcW w:w="1843" w:type="dxa"/>
            <w:tcBorders>
              <w:top w:val="single" w:sz="6" w:space="0" w:color="000000"/>
              <w:left w:val="single" w:sz="6" w:space="0" w:color="000000"/>
              <w:bottom w:val="single" w:sz="9" w:space="0" w:color="000000"/>
              <w:right w:val="single" w:sz="4" w:space="0" w:color="000000"/>
            </w:tcBorders>
          </w:tcPr>
          <w:p w:rsidR="007043CB" w:rsidRDefault="004B5C2E">
            <w:pPr>
              <w:spacing w:after="0" w:line="259" w:lineRule="auto"/>
              <w:ind w:left="5" w:firstLine="0"/>
              <w:jc w:val="left"/>
            </w:pPr>
            <w:r>
              <w:rPr>
                <w:sz w:val="16"/>
              </w:rPr>
              <w:t xml:space="preserve">EZS </w:t>
            </w:r>
          </w:p>
        </w:tc>
        <w:tc>
          <w:tcPr>
            <w:tcW w:w="5928" w:type="dxa"/>
            <w:tcBorders>
              <w:top w:val="single" w:sz="6" w:space="0" w:color="000000"/>
              <w:left w:val="single" w:sz="4" w:space="0" w:color="000000"/>
              <w:bottom w:val="single" w:sz="9" w:space="0" w:color="000000"/>
              <w:right w:val="single" w:sz="12" w:space="0" w:color="000000"/>
            </w:tcBorders>
          </w:tcPr>
          <w:p w:rsidR="007043CB" w:rsidRDefault="004B5C2E">
            <w:pPr>
              <w:spacing w:after="0" w:line="238" w:lineRule="auto"/>
              <w:ind w:left="5" w:firstLine="0"/>
            </w:pPr>
            <w:r>
              <w:rPr>
                <w:sz w:val="16"/>
              </w:rPr>
              <w:t xml:space="preserve">s </w:t>
            </w:r>
            <w:r>
              <w:rPr>
                <w:b/>
                <w:sz w:val="16"/>
              </w:rPr>
              <w:t>plášťovou</w:t>
            </w:r>
            <w:r>
              <w:rPr>
                <w:sz w:val="16"/>
              </w:rPr>
              <w:t xml:space="preserve"> a </w:t>
            </w:r>
            <w:r>
              <w:rPr>
                <w:b/>
                <w:sz w:val="16"/>
              </w:rPr>
              <w:t>prostorovou</w:t>
            </w:r>
            <w:r>
              <w:rPr>
                <w:sz w:val="16"/>
              </w:rPr>
              <w:t xml:space="preserve"> </w:t>
            </w:r>
            <w:r>
              <w:rPr>
                <w:b/>
                <w:sz w:val="16"/>
              </w:rPr>
              <w:t>ochranou</w:t>
            </w:r>
            <w:r>
              <w:rPr>
                <w:sz w:val="16"/>
              </w:rPr>
              <w:t xml:space="preserve"> s vyvedením poplachového signálu na </w:t>
            </w:r>
            <w:r>
              <w:rPr>
                <w:b/>
                <w:sz w:val="16"/>
              </w:rPr>
              <w:t xml:space="preserve">akustický hlásič </w:t>
            </w:r>
          </w:p>
          <w:p w:rsidR="007043CB" w:rsidRDefault="004B5C2E">
            <w:pPr>
              <w:spacing w:after="0" w:line="259" w:lineRule="auto"/>
              <w:ind w:left="5" w:firstLine="0"/>
              <w:jc w:val="left"/>
            </w:pPr>
            <w:r>
              <w:rPr>
                <w:sz w:val="16"/>
              </w:rPr>
              <w:t xml:space="preserve"> </w:t>
            </w:r>
          </w:p>
        </w:tc>
      </w:tr>
      <w:tr w:rsidR="007043CB">
        <w:trPr>
          <w:trHeight w:val="266"/>
        </w:trPr>
        <w:tc>
          <w:tcPr>
            <w:tcW w:w="633" w:type="dxa"/>
            <w:vMerge w:val="restart"/>
            <w:tcBorders>
              <w:top w:val="single" w:sz="12" w:space="0" w:color="000000"/>
              <w:left w:val="single" w:sz="12" w:space="0" w:color="000000"/>
              <w:bottom w:val="nil"/>
              <w:right w:val="single" w:sz="6" w:space="0" w:color="000000"/>
            </w:tcBorders>
            <w:shd w:val="clear" w:color="auto" w:fill="CCCCCC"/>
            <w:vAlign w:val="center"/>
          </w:tcPr>
          <w:p w:rsidR="007043CB" w:rsidRDefault="004B5C2E">
            <w:pPr>
              <w:spacing w:after="0" w:line="259" w:lineRule="auto"/>
              <w:ind w:left="0" w:firstLine="0"/>
              <w:jc w:val="left"/>
            </w:pPr>
            <w:r>
              <w:rPr>
                <w:b/>
                <w:sz w:val="16"/>
              </w:rPr>
              <w:t xml:space="preserve">Kód </w:t>
            </w:r>
          </w:p>
        </w:tc>
        <w:tc>
          <w:tcPr>
            <w:tcW w:w="7771" w:type="dxa"/>
            <w:gridSpan w:val="2"/>
            <w:tcBorders>
              <w:top w:val="single" w:sz="12" w:space="0" w:color="000000"/>
              <w:left w:val="single" w:sz="6" w:space="0" w:color="000000"/>
              <w:bottom w:val="single" w:sz="9" w:space="0" w:color="CCCCCC"/>
              <w:right w:val="single" w:sz="12" w:space="0" w:color="000000"/>
            </w:tcBorders>
            <w:shd w:val="clear" w:color="auto" w:fill="CCCCCC"/>
          </w:tcPr>
          <w:p w:rsidR="007043CB" w:rsidRDefault="004B5C2E">
            <w:pPr>
              <w:spacing w:after="0" w:line="259" w:lineRule="auto"/>
              <w:ind w:left="4" w:firstLine="0"/>
              <w:jc w:val="left"/>
            </w:pPr>
            <w:r>
              <w:rPr>
                <w:b/>
                <w:sz w:val="16"/>
              </w:rPr>
              <w:t xml:space="preserve">Požadovaný minimální způsob zabezpečení uzavřeného prostoru </w:t>
            </w:r>
          </w:p>
        </w:tc>
      </w:tr>
      <w:tr w:rsidR="007043CB">
        <w:trPr>
          <w:trHeight w:val="254"/>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1843" w:type="dxa"/>
            <w:tcBorders>
              <w:top w:val="single" w:sz="9" w:space="0" w:color="CCCCCC"/>
              <w:left w:val="single" w:sz="6" w:space="0" w:color="000000"/>
              <w:bottom w:val="nil"/>
              <w:right w:val="single" w:sz="4" w:space="0" w:color="000000"/>
            </w:tcBorders>
            <w:shd w:val="clear" w:color="auto" w:fill="CCCCCC"/>
          </w:tcPr>
          <w:p w:rsidR="007043CB" w:rsidRDefault="004B5C2E">
            <w:pPr>
              <w:spacing w:after="0" w:line="259" w:lineRule="auto"/>
              <w:ind w:left="4" w:firstLine="0"/>
              <w:jc w:val="left"/>
            </w:pPr>
            <w:r>
              <w:rPr>
                <w:b/>
                <w:sz w:val="16"/>
              </w:rPr>
              <w:t xml:space="preserve">prvek zabezpečení </w:t>
            </w:r>
          </w:p>
        </w:tc>
        <w:tc>
          <w:tcPr>
            <w:tcW w:w="5928" w:type="dxa"/>
            <w:tcBorders>
              <w:top w:val="single" w:sz="9" w:space="0" w:color="CCCCCC"/>
              <w:left w:val="single" w:sz="4" w:space="0" w:color="000000"/>
              <w:bottom w:val="nil"/>
              <w:right w:val="single" w:sz="12" w:space="0" w:color="000000"/>
            </w:tcBorders>
            <w:shd w:val="clear" w:color="auto" w:fill="CCCCCC"/>
          </w:tcPr>
          <w:p w:rsidR="007043CB" w:rsidRDefault="004B5C2E">
            <w:pPr>
              <w:spacing w:after="0" w:line="259" w:lineRule="auto"/>
              <w:ind w:left="4" w:firstLine="0"/>
              <w:jc w:val="left"/>
            </w:pPr>
            <w:r>
              <w:rPr>
                <w:b/>
                <w:sz w:val="16"/>
              </w:rPr>
              <w:t xml:space="preserve">kvalita prvku zabezpečení </w:t>
            </w:r>
          </w:p>
        </w:tc>
      </w:tr>
      <w:tr w:rsidR="007043CB">
        <w:trPr>
          <w:trHeight w:val="197"/>
        </w:trPr>
        <w:tc>
          <w:tcPr>
            <w:tcW w:w="633" w:type="dxa"/>
            <w:vMerge w:val="restart"/>
            <w:tcBorders>
              <w:top w:val="nil"/>
              <w:left w:val="single" w:sz="12" w:space="0" w:color="000000"/>
              <w:bottom w:val="single" w:sz="4" w:space="0" w:color="000000"/>
              <w:right w:val="single" w:sz="6" w:space="0" w:color="000000"/>
            </w:tcBorders>
          </w:tcPr>
          <w:p w:rsidR="007043CB" w:rsidRDefault="004B5C2E">
            <w:pPr>
              <w:spacing w:after="0" w:line="259" w:lineRule="auto"/>
              <w:ind w:left="0" w:firstLine="0"/>
              <w:jc w:val="left"/>
            </w:pPr>
            <w:r>
              <w:rPr>
                <w:sz w:val="16"/>
              </w:rPr>
              <w:t xml:space="preserve">A6 </w:t>
            </w:r>
          </w:p>
        </w:tc>
        <w:tc>
          <w:tcPr>
            <w:tcW w:w="1843" w:type="dxa"/>
            <w:tcBorders>
              <w:top w:val="nil"/>
              <w:left w:val="single" w:sz="6" w:space="0" w:color="000000"/>
              <w:bottom w:val="single" w:sz="4" w:space="0" w:color="000000"/>
              <w:right w:val="single" w:sz="4" w:space="0" w:color="000000"/>
            </w:tcBorders>
          </w:tcPr>
          <w:p w:rsidR="007043CB" w:rsidRDefault="004B5C2E">
            <w:pPr>
              <w:spacing w:after="0" w:line="259" w:lineRule="auto"/>
              <w:ind w:left="4" w:firstLine="0"/>
              <w:jc w:val="left"/>
            </w:pPr>
            <w:r>
              <w:rPr>
                <w:sz w:val="16"/>
              </w:rPr>
              <w:t xml:space="preserve">dveře </w:t>
            </w:r>
          </w:p>
        </w:tc>
        <w:tc>
          <w:tcPr>
            <w:tcW w:w="5928" w:type="dxa"/>
            <w:tcBorders>
              <w:top w:val="nil"/>
              <w:left w:val="single" w:sz="4" w:space="0" w:color="000000"/>
              <w:bottom w:val="single" w:sz="4" w:space="0" w:color="000000"/>
              <w:right w:val="single" w:sz="12" w:space="0" w:color="000000"/>
            </w:tcBorders>
          </w:tcPr>
          <w:p w:rsidR="007043CB" w:rsidRDefault="004B5C2E">
            <w:pPr>
              <w:spacing w:after="0" w:line="259" w:lineRule="auto"/>
              <w:ind w:left="4" w:firstLine="0"/>
              <w:jc w:val="left"/>
            </w:pPr>
            <w:r>
              <w:rPr>
                <w:b/>
                <w:sz w:val="16"/>
              </w:rPr>
              <w:t xml:space="preserve">plné </w:t>
            </w:r>
          </w:p>
        </w:tc>
      </w:tr>
      <w:tr w:rsidR="007043CB">
        <w:trPr>
          <w:trHeight w:val="399"/>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1843" w:type="dxa"/>
            <w:tcBorders>
              <w:top w:val="single" w:sz="4" w:space="0" w:color="000000"/>
              <w:left w:val="single" w:sz="6" w:space="0" w:color="000000"/>
              <w:bottom w:val="single" w:sz="6" w:space="0" w:color="000000"/>
              <w:right w:val="single" w:sz="4" w:space="0" w:color="000000"/>
            </w:tcBorders>
          </w:tcPr>
          <w:p w:rsidR="007043CB" w:rsidRDefault="004B5C2E">
            <w:pPr>
              <w:spacing w:after="0" w:line="259" w:lineRule="auto"/>
              <w:ind w:left="4" w:firstLine="0"/>
              <w:jc w:val="left"/>
            </w:pPr>
            <w:r>
              <w:rPr>
                <w:sz w:val="16"/>
              </w:rPr>
              <w:t xml:space="preserve">zámek dveří </w:t>
            </w:r>
          </w:p>
        </w:tc>
        <w:tc>
          <w:tcPr>
            <w:tcW w:w="5928" w:type="dxa"/>
            <w:tcBorders>
              <w:top w:val="single" w:sz="4" w:space="0" w:color="000000"/>
              <w:left w:val="single" w:sz="4" w:space="0" w:color="000000"/>
              <w:bottom w:val="single" w:sz="6" w:space="0" w:color="000000"/>
              <w:right w:val="single" w:sz="12" w:space="0" w:color="000000"/>
            </w:tcBorders>
          </w:tcPr>
          <w:p w:rsidR="007043CB" w:rsidRDefault="004B5C2E">
            <w:pPr>
              <w:spacing w:after="0" w:line="259" w:lineRule="auto"/>
              <w:ind w:left="4" w:right="105" w:firstLine="0"/>
              <w:jc w:val="left"/>
            </w:pPr>
            <w:r>
              <w:rPr>
                <w:b/>
                <w:sz w:val="16"/>
              </w:rPr>
              <w:t>- bezpečnostní uzamykací systém</w:t>
            </w:r>
            <w:r>
              <w:rPr>
                <w:sz w:val="16"/>
              </w:rPr>
              <w:t xml:space="preserve"> a současně </w:t>
            </w:r>
            <w:r>
              <w:rPr>
                <w:b/>
                <w:sz w:val="16"/>
              </w:rPr>
              <w:t xml:space="preserve">přídavný bezpečnostní zámek </w:t>
            </w:r>
            <w:r>
              <w:rPr>
                <w:i/>
                <w:sz w:val="16"/>
              </w:rPr>
              <w:t xml:space="preserve">nebo </w:t>
            </w:r>
            <w:r>
              <w:rPr>
                <w:b/>
                <w:sz w:val="16"/>
              </w:rPr>
              <w:t xml:space="preserve">- tříbodový rozvorový zámek </w:t>
            </w:r>
          </w:p>
        </w:tc>
      </w:tr>
      <w:tr w:rsidR="007043CB">
        <w:trPr>
          <w:trHeight w:val="785"/>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1843" w:type="dxa"/>
            <w:tcBorders>
              <w:top w:val="single" w:sz="6" w:space="0" w:color="000000"/>
              <w:left w:val="single" w:sz="6" w:space="0" w:color="000000"/>
              <w:bottom w:val="single" w:sz="4" w:space="0" w:color="000000"/>
              <w:right w:val="single" w:sz="4" w:space="0" w:color="000000"/>
            </w:tcBorders>
          </w:tcPr>
          <w:p w:rsidR="007043CB" w:rsidRDefault="004B5C2E">
            <w:pPr>
              <w:spacing w:after="0" w:line="259" w:lineRule="auto"/>
              <w:ind w:left="4" w:firstLine="0"/>
              <w:jc w:val="left"/>
            </w:pPr>
            <w:r>
              <w:rPr>
                <w:sz w:val="16"/>
              </w:rPr>
              <w:t xml:space="preserve">prosklené plochy </w:t>
            </w:r>
          </w:p>
        </w:tc>
        <w:tc>
          <w:tcPr>
            <w:tcW w:w="5928" w:type="dxa"/>
            <w:tcBorders>
              <w:top w:val="single" w:sz="6" w:space="0" w:color="000000"/>
              <w:left w:val="single" w:sz="4" w:space="0" w:color="000000"/>
              <w:bottom w:val="single" w:sz="4" w:space="0" w:color="000000"/>
              <w:right w:val="single" w:sz="12" w:space="0" w:color="000000"/>
            </w:tcBorders>
          </w:tcPr>
          <w:p w:rsidR="007043CB" w:rsidRDefault="004B5C2E">
            <w:pPr>
              <w:spacing w:after="36" w:line="226" w:lineRule="auto"/>
              <w:ind w:left="4" w:firstLine="0"/>
            </w:pPr>
            <w:r>
              <w:rPr>
                <w:sz w:val="16"/>
              </w:rPr>
              <w:t xml:space="preserve">zabezpečení prosklených částí </w:t>
            </w:r>
            <w:r>
              <w:rPr>
                <w:b/>
                <w:sz w:val="16"/>
              </w:rPr>
              <w:t>oken</w:t>
            </w:r>
            <w:r>
              <w:rPr>
                <w:sz w:val="16"/>
              </w:rPr>
              <w:t>,</w:t>
            </w:r>
            <w:r>
              <w:rPr>
                <w:b/>
                <w:sz w:val="16"/>
              </w:rPr>
              <w:t xml:space="preserve"> dveří</w:t>
            </w:r>
            <w:r>
              <w:rPr>
                <w:sz w:val="16"/>
              </w:rPr>
              <w:t xml:space="preserve"> a </w:t>
            </w:r>
            <w:r>
              <w:rPr>
                <w:b/>
                <w:sz w:val="16"/>
              </w:rPr>
              <w:t xml:space="preserve">jiných technických otvorů </w:t>
            </w:r>
            <w:r>
              <w:rPr>
                <w:sz w:val="16"/>
              </w:rPr>
              <w:t>s plochou větší než 600 cm</w:t>
            </w:r>
            <w:r>
              <w:rPr>
                <w:sz w:val="16"/>
                <w:vertAlign w:val="superscript"/>
              </w:rPr>
              <w:t xml:space="preserve">2 </w:t>
            </w:r>
            <w:r>
              <w:rPr>
                <w:sz w:val="16"/>
              </w:rPr>
              <w:t xml:space="preserve">: </w:t>
            </w:r>
          </w:p>
          <w:p w:rsidR="007043CB" w:rsidRDefault="004B5C2E">
            <w:pPr>
              <w:numPr>
                <w:ilvl w:val="0"/>
                <w:numId w:val="80"/>
              </w:numPr>
              <w:spacing w:after="0" w:line="259" w:lineRule="auto"/>
              <w:ind w:left="93" w:hanging="89"/>
              <w:jc w:val="left"/>
            </w:pPr>
            <w:r>
              <w:rPr>
                <w:b/>
                <w:sz w:val="16"/>
              </w:rPr>
              <w:t xml:space="preserve">funkční mříží </w:t>
            </w:r>
            <w:r>
              <w:rPr>
                <w:sz w:val="16"/>
              </w:rPr>
              <w:t xml:space="preserve">nebo </w:t>
            </w:r>
            <w:r>
              <w:rPr>
                <w:b/>
                <w:sz w:val="16"/>
              </w:rPr>
              <w:t xml:space="preserve">funkční roletou </w:t>
            </w:r>
            <w:r>
              <w:rPr>
                <w:i/>
                <w:sz w:val="16"/>
              </w:rPr>
              <w:t>nebo</w:t>
            </w:r>
            <w:r>
              <w:rPr>
                <w:sz w:val="16"/>
              </w:rPr>
              <w:t xml:space="preserve"> </w:t>
            </w:r>
          </w:p>
          <w:p w:rsidR="007043CB" w:rsidRDefault="004B5C2E">
            <w:pPr>
              <w:numPr>
                <w:ilvl w:val="0"/>
                <w:numId w:val="80"/>
              </w:numPr>
              <w:spacing w:after="0" w:line="259" w:lineRule="auto"/>
              <w:ind w:left="93" w:hanging="89"/>
              <w:jc w:val="left"/>
            </w:pPr>
            <w:r>
              <w:rPr>
                <w:b/>
                <w:sz w:val="16"/>
              </w:rPr>
              <w:t xml:space="preserve">bezpečnostním zasklením </w:t>
            </w:r>
            <w:r>
              <w:rPr>
                <w:sz w:val="16"/>
              </w:rPr>
              <w:t xml:space="preserve">ve třídě P3A  </w:t>
            </w:r>
          </w:p>
        </w:tc>
      </w:tr>
      <w:tr w:rsidR="007043CB">
        <w:trPr>
          <w:trHeight w:val="590"/>
        </w:trPr>
        <w:tc>
          <w:tcPr>
            <w:tcW w:w="0" w:type="auto"/>
            <w:vMerge/>
            <w:tcBorders>
              <w:top w:val="nil"/>
              <w:left w:val="single" w:sz="12" w:space="0" w:color="000000"/>
              <w:bottom w:val="single" w:sz="4" w:space="0" w:color="000000"/>
              <w:right w:val="single" w:sz="6" w:space="0" w:color="000000"/>
            </w:tcBorders>
          </w:tcPr>
          <w:p w:rsidR="007043CB" w:rsidRDefault="007043CB">
            <w:pPr>
              <w:spacing w:after="160" w:line="259" w:lineRule="auto"/>
              <w:ind w:left="0" w:firstLine="0"/>
              <w:jc w:val="left"/>
            </w:pPr>
          </w:p>
        </w:tc>
        <w:tc>
          <w:tcPr>
            <w:tcW w:w="1843" w:type="dxa"/>
            <w:tcBorders>
              <w:top w:val="single" w:sz="4" w:space="0" w:color="000000"/>
              <w:left w:val="single" w:sz="6" w:space="0" w:color="000000"/>
              <w:bottom w:val="single" w:sz="4" w:space="0" w:color="000000"/>
              <w:right w:val="single" w:sz="4" w:space="0" w:color="000000"/>
            </w:tcBorders>
          </w:tcPr>
          <w:p w:rsidR="007043CB" w:rsidRDefault="004B5C2E">
            <w:pPr>
              <w:spacing w:after="0" w:line="259" w:lineRule="auto"/>
              <w:ind w:left="4" w:firstLine="0"/>
              <w:jc w:val="left"/>
            </w:pPr>
            <w:r>
              <w:rPr>
                <w:sz w:val="16"/>
              </w:rPr>
              <w:t xml:space="preserve">EZS/ostraha </w:t>
            </w:r>
          </w:p>
        </w:tc>
        <w:tc>
          <w:tcPr>
            <w:tcW w:w="5928" w:type="dxa"/>
            <w:tcBorders>
              <w:top w:val="single" w:sz="4" w:space="0" w:color="000000"/>
              <w:left w:val="single" w:sz="4" w:space="0" w:color="000000"/>
              <w:bottom w:val="single" w:sz="4" w:space="0" w:color="000000"/>
              <w:right w:val="single" w:sz="12" w:space="0" w:color="000000"/>
            </w:tcBorders>
          </w:tcPr>
          <w:p w:rsidR="007043CB" w:rsidRDefault="004B5C2E">
            <w:pPr>
              <w:numPr>
                <w:ilvl w:val="0"/>
                <w:numId w:val="81"/>
              </w:numPr>
              <w:spacing w:after="0" w:line="239" w:lineRule="auto"/>
              <w:ind w:firstLine="0"/>
              <w:jc w:val="left"/>
            </w:pPr>
            <w:r>
              <w:rPr>
                <w:b/>
                <w:sz w:val="16"/>
              </w:rPr>
              <w:t>EZS s plášťovou a prostorovou ochranou</w:t>
            </w:r>
            <w:r>
              <w:rPr>
                <w:sz w:val="16"/>
              </w:rPr>
              <w:t xml:space="preserve"> s vyvedením poplachového signálu na </w:t>
            </w:r>
            <w:r>
              <w:rPr>
                <w:b/>
                <w:sz w:val="16"/>
              </w:rPr>
              <w:t xml:space="preserve">akustický hlásič </w:t>
            </w:r>
            <w:r>
              <w:rPr>
                <w:i/>
                <w:sz w:val="16"/>
              </w:rPr>
              <w:t>nebo</w:t>
            </w:r>
            <w:r>
              <w:rPr>
                <w:sz w:val="16"/>
              </w:rPr>
              <w:t xml:space="preserve"> </w:t>
            </w:r>
          </w:p>
          <w:p w:rsidR="007043CB" w:rsidRDefault="004B5C2E">
            <w:pPr>
              <w:numPr>
                <w:ilvl w:val="0"/>
                <w:numId w:val="81"/>
              </w:numPr>
              <w:spacing w:after="0" w:line="259" w:lineRule="auto"/>
              <w:ind w:firstLine="0"/>
              <w:jc w:val="left"/>
            </w:pPr>
            <w:r>
              <w:rPr>
                <w:sz w:val="16"/>
              </w:rPr>
              <w:t xml:space="preserve">trvale střežen jednočlennou fyzickou </w:t>
            </w:r>
            <w:r>
              <w:rPr>
                <w:b/>
                <w:sz w:val="16"/>
              </w:rPr>
              <w:t>ostrahou</w:t>
            </w:r>
            <w:r>
              <w:rPr>
                <w:sz w:val="16"/>
              </w:rPr>
              <w:t xml:space="preserve"> </w:t>
            </w:r>
          </w:p>
        </w:tc>
      </w:tr>
      <w:tr w:rsidR="007043CB">
        <w:trPr>
          <w:trHeight w:val="216"/>
        </w:trPr>
        <w:tc>
          <w:tcPr>
            <w:tcW w:w="633" w:type="dxa"/>
            <w:vMerge w:val="restart"/>
            <w:tcBorders>
              <w:top w:val="single" w:sz="4" w:space="0" w:color="000000"/>
              <w:left w:val="single" w:sz="12" w:space="0" w:color="000000"/>
              <w:bottom w:val="single" w:sz="4" w:space="0" w:color="000000"/>
              <w:right w:val="single" w:sz="6" w:space="0" w:color="000000"/>
            </w:tcBorders>
          </w:tcPr>
          <w:p w:rsidR="007043CB" w:rsidRDefault="004B5C2E">
            <w:pPr>
              <w:spacing w:after="0" w:line="259" w:lineRule="auto"/>
              <w:ind w:left="0" w:firstLine="0"/>
              <w:jc w:val="left"/>
            </w:pPr>
            <w:r>
              <w:rPr>
                <w:sz w:val="16"/>
              </w:rPr>
              <w:t xml:space="preserve">A7 </w:t>
            </w:r>
          </w:p>
        </w:tc>
        <w:tc>
          <w:tcPr>
            <w:tcW w:w="1843" w:type="dxa"/>
            <w:tcBorders>
              <w:top w:val="single" w:sz="4" w:space="0" w:color="000000"/>
              <w:left w:val="single" w:sz="6" w:space="0" w:color="000000"/>
              <w:bottom w:val="single" w:sz="6" w:space="0" w:color="000000"/>
              <w:right w:val="single" w:sz="4" w:space="0" w:color="000000"/>
            </w:tcBorders>
          </w:tcPr>
          <w:p w:rsidR="007043CB" w:rsidRDefault="004B5C2E">
            <w:pPr>
              <w:spacing w:after="0" w:line="259" w:lineRule="auto"/>
              <w:ind w:left="4" w:firstLine="0"/>
              <w:jc w:val="left"/>
            </w:pPr>
            <w:r>
              <w:rPr>
                <w:sz w:val="16"/>
              </w:rPr>
              <w:t xml:space="preserve">dveře </w:t>
            </w:r>
          </w:p>
        </w:tc>
        <w:tc>
          <w:tcPr>
            <w:tcW w:w="5928" w:type="dxa"/>
            <w:tcBorders>
              <w:top w:val="single" w:sz="4" w:space="0" w:color="000000"/>
              <w:left w:val="single" w:sz="4" w:space="0" w:color="000000"/>
              <w:bottom w:val="single" w:sz="6" w:space="0" w:color="000000"/>
              <w:right w:val="single" w:sz="12" w:space="0" w:color="000000"/>
            </w:tcBorders>
          </w:tcPr>
          <w:p w:rsidR="007043CB" w:rsidRDefault="004B5C2E">
            <w:pPr>
              <w:spacing w:after="0" w:line="259" w:lineRule="auto"/>
              <w:ind w:left="4" w:firstLine="0"/>
              <w:jc w:val="left"/>
            </w:pPr>
            <w:r>
              <w:rPr>
                <w:b/>
                <w:sz w:val="16"/>
              </w:rPr>
              <w:t xml:space="preserve">bezpečnostní </w:t>
            </w:r>
          </w:p>
        </w:tc>
      </w:tr>
      <w:tr w:rsidR="007043CB">
        <w:trPr>
          <w:trHeight w:val="206"/>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1843"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4" w:firstLine="0"/>
              <w:jc w:val="left"/>
            </w:pPr>
            <w:r>
              <w:rPr>
                <w:sz w:val="16"/>
              </w:rPr>
              <w:t xml:space="preserve">zámek dveří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4" w:firstLine="0"/>
              <w:jc w:val="left"/>
            </w:pPr>
            <w:r>
              <w:rPr>
                <w:sz w:val="16"/>
              </w:rPr>
              <w:t xml:space="preserve">v rozsahu </w:t>
            </w:r>
            <w:r>
              <w:rPr>
                <w:b/>
                <w:sz w:val="16"/>
              </w:rPr>
              <w:t xml:space="preserve">A6 </w:t>
            </w:r>
          </w:p>
        </w:tc>
      </w:tr>
      <w:tr w:rsidR="007043CB">
        <w:trPr>
          <w:trHeight w:val="209"/>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1843"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4" w:firstLine="0"/>
              <w:jc w:val="left"/>
            </w:pPr>
            <w:r>
              <w:rPr>
                <w:sz w:val="16"/>
              </w:rPr>
              <w:t xml:space="preserve">prosklené plochy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4" w:firstLine="0"/>
              <w:jc w:val="left"/>
            </w:pPr>
            <w:r>
              <w:rPr>
                <w:sz w:val="16"/>
              </w:rPr>
              <w:t xml:space="preserve">v rozsahu </w:t>
            </w:r>
            <w:r>
              <w:rPr>
                <w:b/>
                <w:sz w:val="16"/>
              </w:rPr>
              <w:t xml:space="preserve">A6 </w:t>
            </w:r>
          </w:p>
        </w:tc>
      </w:tr>
      <w:tr w:rsidR="007043CB">
        <w:trPr>
          <w:trHeight w:val="595"/>
        </w:trPr>
        <w:tc>
          <w:tcPr>
            <w:tcW w:w="0" w:type="auto"/>
            <w:vMerge/>
            <w:tcBorders>
              <w:top w:val="nil"/>
              <w:left w:val="single" w:sz="12" w:space="0" w:color="000000"/>
              <w:bottom w:val="single" w:sz="4" w:space="0" w:color="000000"/>
              <w:right w:val="single" w:sz="6" w:space="0" w:color="000000"/>
            </w:tcBorders>
          </w:tcPr>
          <w:p w:rsidR="007043CB" w:rsidRDefault="007043CB">
            <w:pPr>
              <w:spacing w:after="160" w:line="259" w:lineRule="auto"/>
              <w:ind w:left="0" w:firstLine="0"/>
              <w:jc w:val="left"/>
            </w:pPr>
          </w:p>
        </w:tc>
        <w:tc>
          <w:tcPr>
            <w:tcW w:w="1843"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4" w:firstLine="0"/>
              <w:jc w:val="left"/>
            </w:pPr>
            <w:r>
              <w:rPr>
                <w:sz w:val="16"/>
              </w:rPr>
              <w:t xml:space="preserve">EZS/ostraha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numPr>
                <w:ilvl w:val="0"/>
                <w:numId w:val="82"/>
              </w:numPr>
              <w:spacing w:after="1" w:line="238" w:lineRule="auto"/>
              <w:ind w:firstLine="0"/>
              <w:jc w:val="left"/>
            </w:pPr>
            <w:r>
              <w:rPr>
                <w:b/>
                <w:sz w:val="16"/>
              </w:rPr>
              <w:t xml:space="preserve">EZS </w:t>
            </w:r>
            <w:r>
              <w:rPr>
                <w:sz w:val="16"/>
              </w:rPr>
              <w:t>3. stupně</w:t>
            </w:r>
            <w:r>
              <w:rPr>
                <w:b/>
                <w:sz w:val="16"/>
              </w:rPr>
              <w:t xml:space="preserve"> </w:t>
            </w:r>
            <w:r>
              <w:rPr>
                <w:sz w:val="16"/>
              </w:rPr>
              <w:t xml:space="preserve">s plášťovou a prostorovou ochranou s vyvedením poplachového signálu na </w:t>
            </w:r>
            <w:r>
              <w:rPr>
                <w:b/>
                <w:sz w:val="16"/>
              </w:rPr>
              <w:t xml:space="preserve">PCO </w:t>
            </w:r>
            <w:r>
              <w:rPr>
                <w:sz w:val="16"/>
              </w:rPr>
              <w:t xml:space="preserve">nebo do </w:t>
            </w:r>
            <w:r>
              <w:rPr>
                <w:b/>
                <w:sz w:val="16"/>
              </w:rPr>
              <w:t>místa s nepřetržitou službou</w:t>
            </w:r>
            <w:r>
              <w:rPr>
                <w:sz w:val="16"/>
              </w:rPr>
              <w:t xml:space="preserve"> </w:t>
            </w:r>
            <w:r>
              <w:rPr>
                <w:i/>
                <w:sz w:val="16"/>
              </w:rPr>
              <w:t>nebo</w:t>
            </w:r>
            <w:r>
              <w:rPr>
                <w:sz w:val="16"/>
              </w:rPr>
              <w:t xml:space="preserve"> </w:t>
            </w:r>
          </w:p>
          <w:p w:rsidR="007043CB" w:rsidRDefault="004B5C2E">
            <w:pPr>
              <w:numPr>
                <w:ilvl w:val="0"/>
                <w:numId w:val="82"/>
              </w:numPr>
              <w:spacing w:after="0" w:line="259" w:lineRule="auto"/>
              <w:ind w:firstLine="0"/>
              <w:jc w:val="left"/>
            </w:pPr>
            <w:r>
              <w:rPr>
                <w:sz w:val="16"/>
              </w:rPr>
              <w:t xml:space="preserve">trvale střežen jednočlennou </w:t>
            </w:r>
            <w:r>
              <w:rPr>
                <w:b/>
                <w:sz w:val="16"/>
              </w:rPr>
              <w:t>fyzickou</w:t>
            </w:r>
            <w:r>
              <w:rPr>
                <w:sz w:val="16"/>
              </w:rPr>
              <w:t xml:space="preserve"> </w:t>
            </w:r>
            <w:r>
              <w:rPr>
                <w:b/>
                <w:sz w:val="16"/>
              </w:rPr>
              <w:t xml:space="preserve">ostrahou </w:t>
            </w:r>
            <w:r>
              <w:rPr>
                <w:sz w:val="16"/>
              </w:rPr>
              <w:t xml:space="preserve">doprovázenou služebním psem </w:t>
            </w:r>
          </w:p>
        </w:tc>
      </w:tr>
      <w:tr w:rsidR="007043CB">
        <w:trPr>
          <w:trHeight w:val="214"/>
        </w:trPr>
        <w:tc>
          <w:tcPr>
            <w:tcW w:w="633" w:type="dxa"/>
            <w:vMerge w:val="restart"/>
            <w:tcBorders>
              <w:top w:val="single" w:sz="4" w:space="0" w:color="000000"/>
              <w:left w:val="single" w:sz="12" w:space="0" w:color="000000"/>
              <w:bottom w:val="single" w:sz="6" w:space="0" w:color="000000"/>
              <w:right w:val="single" w:sz="6" w:space="0" w:color="000000"/>
            </w:tcBorders>
          </w:tcPr>
          <w:p w:rsidR="007043CB" w:rsidRDefault="004B5C2E">
            <w:pPr>
              <w:spacing w:after="0" w:line="259" w:lineRule="auto"/>
              <w:ind w:left="0" w:firstLine="0"/>
              <w:jc w:val="left"/>
            </w:pPr>
            <w:r>
              <w:rPr>
                <w:sz w:val="16"/>
              </w:rPr>
              <w:t xml:space="preserve">A8 </w:t>
            </w:r>
          </w:p>
        </w:tc>
        <w:tc>
          <w:tcPr>
            <w:tcW w:w="1843"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4" w:firstLine="0"/>
              <w:jc w:val="left"/>
            </w:pPr>
            <w:r>
              <w:rPr>
                <w:sz w:val="16"/>
              </w:rPr>
              <w:t xml:space="preserve">dveře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4" w:firstLine="0"/>
              <w:jc w:val="left"/>
            </w:pPr>
            <w:r>
              <w:rPr>
                <w:sz w:val="16"/>
              </w:rPr>
              <w:t xml:space="preserve">v rozsahu </w:t>
            </w:r>
            <w:r>
              <w:rPr>
                <w:b/>
                <w:sz w:val="16"/>
              </w:rPr>
              <w:t xml:space="preserve">A7 </w:t>
            </w:r>
          </w:p>
        </w:tc>
      </w:tr>
      <w:tr w:rsidR="007043CB">
        <w:trPr>
          <w:trHeight w:val="403"/>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1843"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4" w:firstLine="0"/>
              <w:jc w:val="left"/>
            </w:pPr>
            <w:r>
              <w:rPr>
                <w:sz w:val="16"/>
              </w:rPr>
              <w:t xml:space="preserve">zámek dveří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numPr>
                <w:ilvl w:val="0"/>
                <w:numId w:val="83"/>
              </w:numPr>
              <w:spacing w:after="0" w:line="259" w:lineRule="auto"/>
              <w:ind w:left="93" w:hanging="89"/>
              <w:jc w:val="left"/>
            </w:pPr>
            <w:r>
              <w:rPr>
                <w:b/>
                <w:sz w:val="16"/>
              </w:rPr>
              <w:t>bezpečnostní uzamykací systém</w:t>
            </w:r>
            <w:r>
              <w:rPr>
                <w:sz w:val="16"/>
              </w:rPr>
              <w:t xml:space="preserve"> a současně </w:t>
            </w:r>
            <w:r>
              <w:rPr>
                <w:b/>
                <w:sz w:val="16"/>
              </w:rPr>
              <w:t>tříbodový rozvorový zámek</w:t>
            </w:r>
            <w:r>
              <w:rPr>
                <w:sz w:val="16"/>
              </w:rPr>
              <w:t xml:space="preserve"> </w:t>
            </w:r>
            <w:r>
              <w:rPr>
                <w:i/>
                <w:sz w:val="16"/>
              </w:rPr>
              <w:t>nebo</w:t>
            </w:r>
            <w:r>
              <w:rPr>
                <w:b/>
                <w:i/>
                <w:sz w:val="16"/>
              </w:rPr>
              <w:t xml:space="preserve"> </w:t>
            </w:r>
          </w:p>
          <w:p w:rsidR="007043CB" w:rsidRDefault="004B5C2E">
            <w:pPr>
              <w:numPr>
                <w:ilvl w:val="0"/>
                <w:numId w:val="83"/>
              </w:numPr>
              <w:spacing w:after="0" w:line="259" w:lineRule="auto"/>
              <w:ind w:left="93" w:hanging="89"/>
              <w:jc w:val="left"/>
            </w:pPr>
            <w:r>
              <w:rPr>
                <w:b/>
                <w:sz w:val="16"/>
              </w:rPr>
              <w:t>bezpečnostní uzamykací systém</w:t>
            </w:r>
            <w:r>
              <w:rPr>
                <w:sz w:val="16"/>
              </w:rPr>
              <w:t xml:space="preserve"> a současně </w:t>
            </w:r>
            <w:r>
              <w:rPr>
                <w:b/>
                <w:sz w:val="16"/>
              </w:rPr>
              <w:t xml:space="preserve">vratová závora </w:t>
            </w:r>
          </w:p>
        </w:tc>
      </w:tr>
      <w:tr w:rsidR="007043CB">
        <w:trPr>
          <w:trHeight w:val="788"/>
        </w:trPr>
        <w:tc>
          <w:tcPr>
            <w:tcW w:w="0" w:type="auto"/>
            <w:vMerge/>
            <w:tcBorders>
              <w:top w:val="nil"/>
              <w:left w:val="single" w:sz="12" w:space="0" w:color="000000"/>
              <w:bottom w:val="nil"/>
              <w:right w:val="single" w:sz="6" w:space="0" w:color="000000"/>
            </w:tcBorders>
          </w:tcPr>
          <w:p w:rsidR="007043CB" w:rsidRDefault="007043CB">
            <w:pPr>
              <w:spacing w:after="160" w:line="259" w:lineRule="auto"/>
              <w:ind w:left="0" w:firstLine="0"/>
              <w:jc w:val="left"/>
            </w:pPr>
          </w:p>
        </w:tc>
        <w:tc>
          <w:tcPr>
            <w:tcW w:w="1843"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4" w:firstLine="0"/>
              <w:jc w:val="left"/>
            </w:pPr>
            <w:r>
              <w:rPr>
                <w:sz w:val="16"/>
              </w:rPr>
              <w:t xml:space="preserve">prosklené plochy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17" w:line="237" w:lineRule="auto"/>
              <w:ind w:left="4" w:firstLine="0"/>
            </w:pPr>
            <w:r>
              <w:rPr>
                <w:sz w:val="16"/>
              </w:rPr>
              <w:t xml:space="preserve">zabezpečení prosklených částí </w:t>
            </w:r>
            <w:r>
              <w:rPr>
                <w:b/>
                <w:sz w:val="16"/>
              </w:rPr>
              <w:t>oken</w:t>
            </w:r>
            <w:r>
              <w:rPr>
                <w:sz w:val="16"/>
              </w:rPr>
              <w:t>,</w:t>
            </w:r>
            <w:r>
              <w:rPr>
                <w:b/>
                <w:sz w:val="16"/>
              </w:rPr>
              <w:t xml:space="preserve"> dveří</w:t>
            </w:r>
            <w:r>
              <w:rPr>
                <w:sz w:val="16"/>
              </w:rPr>
              <w:t xml:space="preserve"> a </w:t>
            </w:r>
            <w:r>
              <w:rPr>
                <w:b/>
                <w:sz w:val="16"/>
              </w:rPr>
              <w:t xml:space="preserve">jiných technických otvorů </w:t>
            </w:r>
            <w:r>
              <w:rPr>
                <w:sz w:val="16"/>
              </w:rPr>
              <w:t>s plochou větší než 600 cm</w:t>
            </w:r>
            <w:r>
              <w:rPr>
                <w:sz w:val="16"/>
                <w:vertAlign w:val="superscript"/>
              </w:rPr>
              <w:t>2</w:t>
            </w:r>
            <w:r>
              <w:rPr>
                <w:sz w:val="16"/>
              </w:rPr>
              <w:t xml:space="preserve">: </w:t>
            </w:r>
          </w:p>
          <w:p w:rsidR="007043CB" w:rsidRDefault="004B5C2E">
            <w:pPr>
              <w:numPr>
                <w:ilvl w:val="0"/>
                <w:numId w:val="84"/>
              </w:numPr>
              <w:spacing w:after="0" w:line="259" w:lineRule="auto"/>
              <w:ind w:left="93" w:hanging="89"/>
              <w:jc w:val="left"/>
            </w:pPr>
            <w:r>
              <w:rPr>
                <w:b/>
                <w:sz w:val="16"/>
              </w:rPr>
              <w:t xml:space="preserve">funkční mříží </w:t>
            </w:r>
            <w:r>
              <w:rPr>
                <w:sz w:val="16"/>
              </w:rPr>
              <w:t xml:space="preserve">nebo </w:t>
            </w:r>
            <w:r>
              <w:rPr>
                <w:b/>
                <w:sz w:val="16"/>
              </w:rPr>
              <w:t xml:space="preserve">funkční roletou </w:t>
            </w:r>
            <w:r>
              <w:rPr>
                <w:i/>
                <w:sz w:val="16"/>
              </w:rPr>
              <w:t>nebo</w:t>
            </w:r>
            <w:r>
              <w:rPr>
                <w:sz w:val="16"/>
              </w:rPr>
              <w:t xml:space="preserve"> </w:t>
            </w:r>
          </w:p>
          <w:p w:rsidR="007043CB" w:rsidRDefault="004B5C2E">
            <w:pPr>
              <w:numPr>
                <w:ilvl w:val="0"/>
                <w:numId w:val="84"/>
              </w:numPr>
              <w:spacing w:after="0" w:line="259" w:lineRule="auto"/>
              <w:ind w:left="93" w:hanging="89"/>
              <w:jc w:val="left"/>
            </w:pPr>
            <w:r>
              <w:rPr>
                <w:b/>
                <w:sz w:val="16"/>
              </w:rPr>
              <w:t xml:space="preserve">bezpečnostním zasklením </w:t>
            </w:r>
            <w:r>
              <w:rPr>
                <w:sz w:val="16"/>
              </w:rPr>
              <w:t xml:space="preserve">ve třídě P4A </w:t>
            </w:r>
          </w:p>
        </w:tc>
      </w:tr>
      <w:tr w:rsidR="007043CB">
        <w:trPr>
          <w:trHeight w:val="595"/>
        </w:trPr>
        <w:tc>
          <w:tcPr>
            <w:tcW w:w="0" w:type="auto"/>
            <w:vMerge/>
            <w:tcBorders>
              <w:top w:val="nil"/>
              <w:left w:val="single" w:sz="12" w:space="0" w:color="000000"/>
              <w:bottom w:val="single" w:sz="6" w:space="0" w:color="000000"/>
              <w:right w:val="single" w:sz="6" w:space="0" w:color="000000"/>
            </w:tcBorders>
          </w:tcPr>
          <w:p w:rsidR="007043CB" w:rsidRDefault="007043CB">
            <w:pPr>
              <w:spacing w:after="160" w:line="259" w:lineRule="auto"/>
              <w:ind w:left="0" w:firstLine="0"/>
              <w:jc w:val="left"/>
            </w:pPr>
          </w:p>
        </w:tc>
        <w:tc>
          <w:tcPr>
            <w:tcW w:w="1843" w:type="dxa"/>
            <w:tcBorders>
              <w:top w:val="single" w:sz="6" w:space="0" w:color="000000"/>
              <w:left w:val="single" w:sz="6" w:space="0" w:color="000000"/>
              <w:bottom w:val="single" w:sz="6" w:space="0" w:color="000000"/>
              <w:right w:val="single" w:sz="4" w:space="0" w:color="000000"/>
            </w:tcBorders>
          </w:tcPr>
          <w:p w:rsidR="007043CB" w:rsidRDefault="004B5C2E">
            <w:pPr>
              <w:spacing w:after="0" w:line="259" w:lineRule="auto"/>
              <w:ind w:left="4" w:firstLine="0"/>
              <w:jc w:val="left"/>
            </w:pPr>
            <w:r>
              <w:rPr>
                <w:sz w:val="16"/>
              </w:rPr>
              <w:t xml:space="preserve">EZS/ostraha </w:t>
            </w:r>
          </w:p>
        </w:tc>
        <w:tc>
          <w:tcPr>
            <w:tcW w:w="5928" w:type="dxa"/>
            <w:tcBorders>
              <w:top w:val="single" w:sz="6" w:space="0" w:color="000000"/>
              <w:left w:val="single" w:sz="4" w:space="0" w:color="000000"/>
              <w:bottom w:val="single" w:sz="6" w:space="0" w:color="000000"/>
              <w:right w:val="single" w:sz="12" w:space="0" w:color="000000"/>
            </w:tcBorders>
          </w:tcPr>
          <w:p w:rsidR="007043CB" w:rsidRDefault="004B5C2E">
            <w:pPr>
              <w:spacing w:after="0" w:line="259" w:lineRule="auto"/>
              <w:ind w:left="4" w:right="42" w:firstLine="0"/>
            </w:pPr>
            <w:r>
              <w:rPr>
                <w:b/>
                <w:sz w:val="16"/>
              </w:rPr>
              <w:t xml:space="preserve">- EZS </w:t>
            </w:r>
            <w:r>
              <w:rPr>
                <w:sz w:val="16"/>
              </w:rPr>
              <w:t>3. stupně</w:t>
            </w:r>
            <w:r>
              <w:rPr>
                <w:b/>
                <w:sz w:val="16"/>
              </w:rPr>
              <w:t xml:space="preserve"> </w:t>
            </w:r>
            <w:r>
              <w:rPr>
                <w:sz w:val="16"/>
              </w:rPr>
              <w:t xml:space="preserve">s plášťovou a prostorovou ochranou s vyvedením poplachového signálu na </w:t>
            </w:r>
            <w:r>
              <w:rPr>
                <w:b/>
                <w:sz w:val="16"/>
              </w:rPr>
              <w:t xml:space="preserve">PCO </w:t>
            </w:r>
            <w:r>
              <w:rPr>
                <w:sz w:val="16"/>
              </w:rPr>
              <w:t xml:space="preserve">nebo do </w:t>
            </w:r>
            <w:r>
              <w:rPr>
                <w:b/>
                <w:sz w:val="16"/>
              </w:rPr>
              <w:t>místa s nepřetržitou službou</w:t>
            </w:r>
            <w:r>
              <w:rPr>
                <w:sz w:val="16"/>
              </w:rPr>
              <w:t xml:space="preserve"> </w:t>
            </w:r>
            <w:r>
              <w:rPr>
                <w:i/>
                <w:sz w:val="16"/>
              </w:rPr>
              <w:t>nebo</w:t>
            </w:r>
            <w:r>
              <w:rPr>
                <w:sz w:val="16"/>
              </w:rPr>
              <w:t xml:space="preserve"> - trvale střežen dvoučlennou </w:t>
            </w:r>
            <w:r>
              <w:rPr>
                <w:b/>
                <w:sz w:val="16"/>
              </w:rPr>
              <w:t>fyzickou ostrahou</w:t>
            </w:r>
            <w:r>
              <w:rPr>
                <w:sz w:val="16"/>
              </w:rPr>
              <w:t xml:space="preserve">  </w:t>
            </w:r>
          </w:p>
        </w:tc>
      </w:tr>
      <w:tr w:rsidR="007043CB">
        <w:trPr>
          <w:trHeight w:val="216"/>
        </w:trPr>
        <w:tc>
          <w:tcPr>
            <w:tcW w:w="633" w:type="dxa"/>
            <w:tcBorders>
              <w:top w:val="single" w:sz="6" w:space="0" w:color="000000"/>
              <w:left w:val="single" w:sz="12" w:space="0" w:color="000000"/>
              <w:bottom w:val="single" w:sz="12" w:space="0" w:color="000000"/>
              <w:right w:val="single" w:sz="6" w:space="0" w:color="000000"/>
            </w:tcBorders>
          </w:tcPr>
          <w:p w:rsidR="007043CB" w:rsidRDefault="004B5C2E">
            <w:pPr>
              <w:spacing w:after="0" w:line="259" w:lineRule="auto"/>
              <w:ind w:left="0" w:firstLine="0"/>
              <w:jc w:val="left"/>
            </w:pPr>
            <w:r>
              <w:rPr>
                <w:sz w:val="16"/>
              </w:rPr>
              <w:t xml:space="preserve">A9 </w:t>
            </w:r>
          </w:p>
        </w:tc>
        <w:tc>
          <w:tcPr>
            <w:tcW w:w="7771" w:type="dxa"/>
            <w:gridSpan w:val="2"/>
            <w:tcBorders>
              <w:top w:val="single" w:sz="6" w:space="0" w:color="000000"/>
              <w:left w:val="single" w:sz="6" w:space="0" w:color="000000"/>
              <w:bottom w:val="single" w:sz="12" w:space="0" w:color="000000"/>
              <w:right w:val="single" w:sz="12" w:space="0" w:color="000000"/>
            </w:tcBorders>
          </w:tcPr>
          <w:p w:rsidR="007043CB" w:rsidRDefault="004B5C2E">
            <w:pPr>
              <w:spacing w:after="0" w:line="259" w:lineRule="auto"/>
              <w:ind w:left="4" w:firstLine="0"/>
              <w:jc w:val="left"/>
            </w:pPr>
            <w:r>
              <w:rPr>
                <w:sz w:val="16"/>
              </w:rPr>
              <w:t xml:space="preserve">Individuálně ujednaný způsob zabezpečení. </w:t>
            </w:r>
          </w:p>
        </w:tc>
      </w:tr>
    </w:tbl>
    <w:p w:rsidR="007043CB" w:rsidRDefault="004B5C2E">
      <w:pPr>
        <w:spacing w:after="0" w:line="259" w:lineRule="auto"/>
        <w:ind w:left="0" w:firstLine="0"/>
        <w:jc w:val="left"/>
      </w:pPr>
      <w:r>
        <w:rPr>
          <w:b/>
        </w:rPr>
        <w:lastRenderedPageBreak/>
        <w:t xml:space="preserve"> </w:t>
      </w:r>
    </w:p>
    <w:p w:rsidR="007043CB" w:rsidRDefault="004B5C2E">
      <w:pPr>
        <w:spacing w:after="7" w:line="250" w:lineRule="auto"/>
        <w:ind w:left="-5" w:right="4391" w:hanging="10"/>
        <w:jc w:val="left"/>
      </w:pPr>
      <w:r>
        <w:rPr>
          <w:b/>
        </w:rPr>
        <w:t xml:space="preserve">Cennosti a cenné věci uložené v uzavřeném prostoru typu „A“. </w:t>
      </w:r>
      <w:r>
        <w:t xml:space="preserve">Tabulka č. 2 </w:t>
      </w:r>
      <w:r>
        <w:rPr>
          <w:b/>
        </w:rPr>
        <w:t xml:space="preserve">Požadavky na způsoby zabezpečení proti odcizení krádeží </w:t>
      </w:r>
    </w:p>
    <w:tbl>
      <w:tblPr>
        <w:tblStyle w:val="TableGrid"/>
        <w:tblW w:w="9964" w:type="dxa"/>
        <w:tblInd w:w="1" w:type="dxa"/>
        <w:tblCellMar>
          <w:top w:w="39" w:type="dxa"/>
          <w:left w:w="66" w:type="dxa"/>
          <w:right w:w="115" w:type="dxa"/>
        </w:tblCellMar>
        <w:tblLook w:val="04A0" w:firstRow="1" w:lastRow="0" w:firstColumn="1" w:lastColumn="0" w:noHBand="0" w:noVBand="1"/>
      </w:tblPr>
      <w:tblGrid>
        <w:gridCol w:w="633"/>
        <w:gridCol w:w="1560"/>
        <w:gridCol w:w="7771"/>
      </w:tblGrid>
      <w:tr w:rsidR="007043CB">
        <w:trPr>
          <w:trHeight w:val="401"/>
        </w:trPr>
        <w:tc>
          <w:tcPr>
            <w:tcW w:w="633" w:type="dxa"/>
            <w:tcBorders>
              <w:top w:val="single" w:sz="12" w:space="0" w:color="000000"/>
              <w:left w:val="single" w:sz="12" w:space="0" w:color="000000"/>
              <w:bottom w:val="single" w:sz="6" w:space="0" w:color="000000"/>
              <w:right w:val="single" w:sz="6" w:space="0" w:color="000000"/>
            </w:tcBorders>
            <w:shd w:val="clear" w:color="auto" w:fill="CCCCCC"/>
          </w:tcPr>
          <w:p w:rsidR="007043CB" w:rsidRDefault="004B5C2E">
            <w:pPr>
              <w:spacing w:after="0" w:line="259" w:lineRule="auto"/>
              <w:ind w:left="0" w:firstLine="0"/>
              <w:jc w:val="left"/>
            </w:pPr>
            <w:r>
              <w:rPr>
                <w:b/>
                <w:sz w:val="16"/>
              </w:rPr>
              <w:t xml:space="preserve">Kód </w:t>
            </w:r>
          </w:p>
        </w:tc>
        <w:tc>
          <w:tcPr>
            <w:tcW w:w="1560" w:type="dxa"/>
            <w:tcBorders>
              <w:top w:val="single" w:sz="12" w:space="0" w:color="000000"/>
              <w:left w:val="single" w:sz="6" w:space="0" w:color="000000"/>
              <w:bottom w:val="single" w:sz="6" w:space="0" w:color="000000"/>
              <w:right w:val="single" w:sz="6" w:space="0" w:color="000000"/>
            </w:tcBorders>
            <w:shd w:val="clear" w:color="auto" w:fill="CCCCCC"/>
          </w:tcPr>
          <w:p w:rsidR="007043CB" w:rsidRDefault="004B5C2E">
            <w:pPr>
              <w:spacing w:after="0" w:line="259" w:lineRule="auto"/>
              <w:ind w:left="4" w:firstLine="0"/>
              <w:jc w:val="left"/>
            </w:pPr>
            <w:r>
              <w:rPr>
                <w:b/>
                <w:sz w:val="16"/>
              </w:rPr>
              <w:t xml:space="preserve">Limit plnění (Kč) </w:t>
            </w:r>
          </w:p>
        </w:tc>
        <w:tc>
          <w:tcPr>
            <w:tcW w:w="7771" w:type="dxa"/>
            <w:tcBorders>
              <w:top w:val="single" w:sz="12" w:space="0" w:color="000000"/>
              <w:left w:val="single" w:sz="6" w:space="0" w:color="000000"/>
              <w:bottom w:val="single" w:sz="6" w:space="0" w:color="000000"/>
              <w:right w:val="single" w:sz="12" w:space="0" w:color="000000"/>
            </w:tcBorders>
            <w:shd w:val="clear" w:color="auto" w:fill="CCCCCC"/>
          </w:tcPr>
          <w:p w:rsidR="007043CB" w:rsidRDefault="004B5C2E">
            <w:pPr>
              <w:spacing w:after="0" w:line="259" w:lineRule="auto"/>
              <w:ind w:left="4" w:right="2889" w:firstLine="0"/>
              <w:jc w:val="left"/>
            </w:pPr>
            <w:r>
              <w:rPr>
                <w:b/>
                <w:sz w:val="16"/>
              </w:rPr>
              <w:t xml:space="preserve">Požadovaný minimální způsob zabezpečení uzavřeného prostoru  a uložení cenností a cenných věcí </w:t>
            </w:r>
          </w:p>
        </w:tc>
      </w:tr>
      <w:tr w:rsidR="007043CB">
        <w:trPr>
          <w:trHeight w:val="211"/>
        </w:trPr>
        <w:tc>
          <w:tcPr>
            <w:tcW w:w="633" w:type="dxa"/>
            <w:tcBorders>
              <w:top w:val="single" w:sz="6" w:space="0" w:color="000000"/>
              <w:left w:val="single" w:sz="12" w:space="0" w:color="000000"/>
              <w:bottom w:val="single" w:sz="6" w:space="0" w:color="000000"/>
              <w:right w:val="single" w:sz="6" w:space="0" w:color="000000"/>
            </w:tcBorders>
          </w:tcPr>
          <w:p w:rsidR="007043CB" w:rsidRDefault="004B5C2E">
            <w:pPr>
              <w:spacing w:after="0" w:line="259" w:lineRule="auto"/>
              <w:ind w:left="0" w:firstLine="0"/>
              <w:jc w:val="left"/>
            </w:pPr>
            <w:r>
              <w:rPr>
                <w:sz w:val="16"/>
              </w:rPr>
              <w:t xml:space="preserve">E1 </w:t>
            </w:r>
          </w:p>
        </w:tc>
        <w:tc>
          <w:tcPr>
            <w:tcW w:w="156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do 5 000 </w:t>
            </w:r>
          </w:p>
        </w:tc>
        <w:tc>
          <w:tcPr>
            <w:tcW w:w="7771" w:type="dxa"/>
            <w:tcBorders>
              <w:top w:val="single" w:sz="6" w:space="0" w:color="000000"/>
              <w:left w:val="single" w:sz="6" w:space="0" w:color="000000"/>
              <w:bottom w:val="single" w:sz="6" w:space="0" w:color="000000"/>
              <w:right w:val="single" w:sz="12" w:space="0" w:color="000000"/>
            </w:tcBorders>
          </w:tcPr>
          <w:p w:rsidR="007043CB" w:rsidRDefault="004B5C2E">
            <w:pPr>
              <w:spacing w:after="0" w:line="259" w:lineRule="auto"/>
              <w:ind w:left="4" w:firstLine="0"/>
              <w:jc w:val="left"/>
            </w:pPr>
            <w:r>
              <w:rPr>
                <w:sz w:val="16"/>
              </w:rPr>
              <w:t xml:space="preserve">zabezpečení v rozsahu kódu </w:t>
            </w:r>
            <w:r>
              <w:rPr>
                <w:b/>
                <w:sz w:val="16"/>
              </w:rPr>
              <w:t>A3</w:t>
            </w:r>
            <w:r>
              <w:rPr>
                <w:sz w:val="16"/>
              </w:rPr>
              <w:t xml:space="preserve">  </w:t>
            </w:r>
          </w:p>
        </w:tc>
      </w:tr>
      <w:tr w:rsidR="007043CB">
        <w:trPr>
          <w:trHeight w:val="206"/>
        </w:trPr>
        <w:tc>
          <w:tcPr>
            <w:tcW w:w="633" w:type="dxa"/>
            <w:tcBorders>
              <w:top w:val="single" w:sz="6" w:space="0" w:color="000000"/>
              <w:left w:val="single" w:sz="12" w:space="0" w:color="000000"/>
              <w:bottom w:val="single" w:sz="6" w:space="0" w:color="000000"/>
              <w:right w:val="single" w:sz="6" w:space="0" w:color="000000"/>
            </w:tcBorders>
          </w:tcPr>
          <w:p w:rsidR="007043CB" w:rsidRDefault="004B5C2E">
            <w:pPr>
              <w:spacing w:after="0" w:line="259" w:lineRule="auto"/>
              <w:ind w:left="0" w:firstLine="0"/>
              <w:jc w:val="left"/>
            </w:pPr>
            <w:r>
              <w:rPr>
                <w:sz w:val="16"/>
              </w:rPr>
              <w:t xml:space="preserve">E2 </w:t>
            </w:r>
          </w:p>
        </w:tc>
        <w:tc>
          <w:tcPr>
            <w:tcW w:w="156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do 20 000 </w:t>
            </w:r>
          </w:p>
        </w:tc>
        <w:tc>
          <w:tcPr>
            <w:tcW w:w="7771" w:type="dxa"/>
            <w:tcBorders>
              <w:top w:val="single" w:sz="6" w:space="0" w:color="000000"/>
              <w:left w:val="single" w:sz="6" w:space="0" w:color="000000"/>
              <w:bottom w:val="single" w:sz="6" w:space="0" w:color="000000"/>
              <w:right w:val="single" w:sz="12" w:space="0" w:color="000000"/>
            </w:tcBorders>
          </w:tcPr>
          <w:p w:rsidR="007043CB" w:rsidRDefault="004B5C2E">
            <w:pPr>
              <w:spacing w:after="0" w:line="259" w:lineRule="auto"/>
              <w:ind w:left="4" w:firstLine="0"/>
              <w:jc w:val="left"/>
            </w:pPr>
            <w:r>
              <w:rPr>
                <w:sz w:val="16"/>
              </w:rPr>
              <w:t xml:space="preserve">zabezpečení v rozsahu kódu </w:t>
            </w:r>
            <w:r>
              <w:rPr>
                <w:b/>
                <w:sz w:val="16"/>
              </w:rPr>
              <w:t>A3</w:t>
            </w:r>
            <w:r>
              <w:rPr>
                <w:sz w:val="16"/>
              </w:rPr>
              <w:t xml:space="preserve"> a současně uložení </w:t>
            </w:r>
            <w:r>
              <w:rPr>
                <w:b/>
                <w:sz w:val="16"/>
              </w:rPr>
              <w:t>ve schránce</w:t>
            </w:r>
            <w:r>
              <w:rPr>
                <w:sz w:val="16"/>
              </w:rPr>
              <w:t xml:space="preserve"> </w:t>
            </w:r>
          </w:p>
        </w:tc>
      </w:tr>
      <w:tr w:rsidR="007043CB">
        <w:trPr>
          <w:trHeight w:val="595"/>
        </w:trPr>
        <w:tc>
          <w:tcPr>
            <w:tcW w:w="633" w:type="dxa"/>
            <w:tcBorders>
              <w:top w:val="single" w:sz="6" w:space="0" w:color="000000"/>
              <w:left w:val="single" w:sz="12" w:space="0" w:color="000000"/>
              <w:bottom w:val="single" w:sz="6" w:space="0" w:color="000000"/>
              <w:right w:val="single" w:sz="6" w:space="0" w:color="000000"/>
            </w:tcBorders>
          </w:tcPr>
          <w:p w:rsidR="007043CB" w:rsidRDefault="004B5C2E">
            <w:pPr>
              <w:spacing w:after="0" w:line="259" w:lineRule="auto"/>
              <w:ind w:left="0" w:firstLine="0"/>
              <w:jc w:val="left"/>
            </w:pPr>
            <w:r>
              <w:rPr>
                <w:sz w:val="16"/>
              </w:rPr>
              <w:t xml:space="preserve">E3 </w:t>
            </w:r>
          </w:p>
        </w:tc>
        <w:tc>
          <w:tcPr>
            <w:tcW w:w="156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do 50 000 </w:t>
            </w:r>
          </w:p>
        </w:tc>
        <w:tc>
          <w:tcPr>
            <w:tcW w:w="7771" w:type="dxa"/>
            <w:tcBorders>
              <w:top w:val="single" w:sz="6" w:space="0" w:color="000000"/>
              <w:left w:val="single" w:sz="6" w:space="0" w:color="000000"/>
              <w:bottom w:val="single" w:sz="6" w:space="0" w:color="000000"/>
              <w:right w:val="single" w:sz="12" w:space="0" w:color="000000"/>
            </w:tcBorders>
          </w:tcPr>
          <w:p w:rsidR="007043CB" w:rsidRDefault="004B5C2E">
            <w:pPr>
              <w:numPr>
                <w:ilvl w:val="0"/>
                <w:numId w:val="85"/>
              </w:numPr>
              <w:spacing w:after="0" w:line="235" w:lineRule="auto"/>
              <w:ind w:left="93" w:right="350" w:hanging="89"/>
              <w:jc w:val="left"/>
            </w:pPr>
            <w:r>
              <w:rPr>
                <w:sz w:val="16"/>
              </w:rPr>
              <w:t xml:space="preserve">zabezpečení v rozsahu kódu </w:t>
            </w:r>
            <w:r>
              <w:rPr>
                <w:b/>
                <w:sz w:val="16"/>
              </w:rPr>
              <w:t xml:space="preserve">A3 </w:t>
            </w:r>
            <w:r>
              <w:rPr>
                <w:sz w:val="16"/>
              </w:rPr>
              <w:t xml:space="preserve">a současně uložení v </w:t>
            </w:r>
            <w:r>
              <w:rPr>
                <w:b/>
                <w:sz w:val="16"/>
              </w:rPr>
              <w:t>trezoru</w:t>
            </w:r>
            <w:r>
              <w:rPr>
                <w:sz w:val="16"/>
              </w:rPr>
              <w:t xml:space="preserve"> nezjištěné konstrukce nebo </w:t>
            </w:r>
            <w:r>
              <w:rPr>
                <w:b/>
                <w:sz w:val="16"/>
              </w:rPr>
              <w:t>BT 0</w:t>
            </w:r>
            <w:r>
              <w:rPr>
                <w:sz w:val="16"/>
              </w:rPr>
              <w:t xml:space="preserve"> </w:t>
            </w:r>
            <w:r>
              <w:rPr>
                <w:i/>
                <w:sz w:val="16"/>
              </w:rPr>
              <w:t>nebo</w:t>
            </w:r>
            <w:r>
              <w:rPr>
                <w:sz w:val="16"/>
              </w:rPr>
              <w:t xml:space="preserve"> </w:t>
            </w:r>
          </w:p>
          <w:p w:rsidR="007043CB" w:rsidRDefault="004B5C2E">
            <w:pPr>
              <w:numPr>
                <w:ilvl w:val="0"/>
                <w:numId w:val="85"/>
              </w:numPr>
              <w:spacing w:after="0" w:line="259" w:lineRule="auto"/>
              <w:ind w:left="93" w:right="350" w:hanging="89"/>
              <w:jc w:val="left"/>
            </w:pPr>
            <w:r>
              <w:rPr>
                <w:sz w:val="16"/>
              </w:rPr>
              <w:t xml:space="preserve">zabezpečení v rozsahu kódu </w:t>
            </w:r>
            <w:r>
              <w:rPr>
                <w:b/>
                <w:sz w:val="16"/>
              </w:rPr>
              <w:t xml:space="preserve">A4 </w:t>
            </w:r>
            <w:r>
              <w:rPr>
                <w:sz w:val="16"/>
              </w:rPr>
              <w:t xml:space="preserve">a současně uložení </w:t>
            </w:r>
            <w:r>
              <w:rPr>
                <w:b/>
                <w:sz w:val="16"/>
              </w:rPr>
              <w:t>ve  schránce</w:t>
            </w:r>
            <w:r>
              <w:rPr>
                <w:sz w:val="16"/>
              </w:rPr>
              <w:t xml:space="preserve"> </w:t>
            </w:r>
          </w:p>
        </w:tc>
      </w:tr>
      <w:tr w:rsidR="007043CB">
        <w:trPr>
          <w:trHeight w:val="593"/>
        </w:trPr>
        <w:tc>
          <w:tcPr>
            <w:tcW w:w="633" w:type="dxa"/>
            <w:tcBorders>
              <w:top w:val="single" w:sz="6" w:space="0" w:color="000000"/>
              <w:left w:val="single" w:sz="12" w:space="0" w:color="000000"/>
              <w:bottom w:val="single" w:sz="6" w:space="0" w:color="000000"/>
              <w:right w:val="single" w:sz="6" w:space="0" w:color="000000"/>
            </w:tcBorders>
          </w:tcPr>
          <w:p w:rsidR="007043CB" w:rsidRDefault="004B5C2E">
            <w:pPr>
              <w:spacing w:after="0" w:line="259" w:lineRule="auto"/>
              <w:ind w:left="0" w:firstLine="0"/>
              <w:jc w:val="left"/>
            </w:pPr>
            <w:r>
              <w:rPr>
                <w:sz w:val="16"/>
              </w:rPr>
              <w:t xml:space="preserve">E4 </w:t>
            </w:r>
          </w:p>
        </w:tc>
        <w:tc>
          <w:tcPr>
            <w:tcW w:w="156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do 100 000 </w:t>
            </w:r>
          </w:p>
        </w:tc>
        <w:tc>
          <w:tcPr>
            <w:tcW w:w="7771" w:type="dxa"/>
            <w:tcBorders>
              <w:top w:val="single" w:sz="6" w:space="0" w:color="000000"/>
              <w:left w:val="single" w:sz="6" w:space="0" w:color="000000"/>
              <w:bottom w:val="single" w:sz="6" w:space="0" w:color="000000"/>
              <w:right w:val="single" w:sz="12" w:space="0" w:color="000000"/>
            </w:tcBorders>
          </w:tcPr>
          <w:p w:rsidR="007043CB" w:rsidRDefault="004B5C2E">
            <w:pPr>
              <w:numPr>
                <w:ilvl w:val="0"/>
                <w:numId w:val="86"/>
              </w:numPr>
              <w:spacing w:after="0" w:line="238" w:lineRule="auto"/>
              <w:ind w:left="93" w:right="1148" w:hanging="89"/>
              <w:jc w:val="left"/>
            </w:pPr>
            <w:r>
              <w:rPr>
                <w:sz w:val="16"/>
              </w:rPr>
              <w:t xml:space="preserve">zabezpečení v rozsahu kódu </w:t>
            </w:r>
            <w:r>
              <w:rPr>
                <w:b/>
                <w:sz w:val="16"/>
              </w:rPr>
              <w:t xml:space="preserve">A3 </w:t>
            </w:r>
            <w:r>
              <w:rPr>
                <w:sz w:val="16"/>
              </w:rPr>
              <w:t xml:space="preserve">a současně uložení v </w:t>
            </w:r>
            <w:r>
              <w:rPr>
                <w:b/>
                <w:sz w:val="16"/>
              </w:rPr>
              <w:t>trezoru</w:t>
            </w:r>
            <w:r>
              <w:rPr>
                <w:sz w:val="16"/>
              </w:rPr>
              <w:t xml:space="preserve"> min. </w:t>
            </w:r>
            <w:r>
              <w:rPr>
                <w:b/>
                <w:sz w:val="16"/>
              </w:rPr>
              <w:t>BT I</w:t>
            </w:r>
            <w:r>
              <w:rPr>
                <w:sz w:val="16"/>
              </w:rPr>
              <w:t xml:space="preserve"> </w:t>
            </w:r>
            <w:r>
              <w:rPr>
                <w:i/>
                <w:sz w:val="16"/>
              </w:rPr>
              <w:t>nebo</w:t>
            </w:r>
            <w:r>
              <w:rPr>
                <w:sz w:val="16"/>
              </w:rPr>
              <w:t xml:space="preserve"> </w:t>
            </w:r>
          </w:p>
          <w:p w:rsidR="007043CB" w:rsidRDefault="004B5C2E">
            <w:pPr>
              <w:numPr>
                <w:ilvl w:val="0"/>
                <w:numId w:val="86"/>
              </w:numPr>
              <w:spacing w:after="0" w:line="259" w:lineRule="auto"/>
              <w:ind w:left="93" w:right="1148" w:hanging="89"/>
              <w:jc w:val="left"/>
            </w:pPr>
            <w:r>
              <w:rPr>
                <w:sz w:val="16"/>
              </w:rPr>
              <w:t xml:space="preserve">zabezpečení v rozsahu kódu </w:t>
            </w:r>
            <w:r>
              <w:rPr>
                <w:b/>
                <w:sz w:val="16"/>
              </w:rPr>
              <w:t xml:space="preserve">A4 </w:t>
            </w:r>
            <w:r>
              <w:rPr>
                <w:sz w:val="16"/>
              </w:rPr>
              <w:t xml:space="preserve">a současně uložení v </w:t>
            </w:r>
            <w:r>
              <w:rPr>
                <w:b/>
                <w:sz w:val="16"/>
              </w:rPr>
              <w:t>trezoru</w:t>
            </w:r>
            <w:r>
              <w:rPr>
                <w:sz w:val="16"/>
              </w:rPr>
              <w:t xml:space="preserve"> nezjištěné konstrukce nebo </w:t>
            </w:r>
            <w:r>
              <w:rPr>
                <w:b/>
                <w:sz w:val="16"/>
              </w:rPr>
              <w:t>BT 0</w:t>
            </w:r>
            <w:r>
              <w:rPr>
                <w:sz w:val="16"/>
              </w:rPr>
              <w:t xml:space="preserve"> </w:t>
            </w:r>
          </w:p>
        </w:tc>
      </w:tr>
      <w:tr w:rsidR="007043CB">
        <w:trPr>
          <w:trHeight w:val="595"/>
        </w:trPr>
        <w:tc>
          <w:tcPr>
            <w:tcW w:w="633" w:type="dxa"/>
            <w:tcBorders>
              <w:top w:val="single" w:sz="6" w:space="0" w:color="000000"/>
              <w:left w:val="single" w:sz="12" w:space="0" w:color="000000"/>
              <w:bottom w:val="single" w:sz="6" w:space="0" w:color="000000"/>
              <w:right w:val="single" w:sz="6" w:space="0" w:color="000000"/>
            </w:tcBorders>
          </w:tcPr>
          <w:p w:rsidR="007043CB" w:rsidRDefault="004B5C2E">
            <w:pPr>
              <w:spacing w:after="0" w:line="259" w:lineRule="auto"/>
              <w:ind w:left="0" w:firstLine="0"/>
              <w:jc w:val="left"/>
            </w:pPr>
            <w:r>
              <w:rPr>
                <w:sz w:val="16"/>
              </w:rPr>
              <w:t xml:space="preserve">E5 </w:t>
            </w:r>
          </w:p>
        </w:tc>
        <w:tc>
          <w:tcPr>
            <w:tcW w:w="156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do 300 000 </w:t>
            </w:r>
          </w:p>
        </w:tc>
        <w:tc>
          <w:tcPr>
            <w:tcW w:w="7771" w:type="dxa"/>
            <w:tcBorders>
              <w:top w:val="single" w:sz="6" w:space="0" w:color="000000"/>
              <w:left w:val="single" w:sz="6" w:space="0" w:color="000000"/>
              <w:bottom w:val="single" w:sz="6" w:space="0" w:color="000000"/>
              <w:right w:val="single" w:sz="12" w:space="0" w:color="000000"/>
            </w:tcBorders>
          </w:tcPr>
          <w:p w:rsidR="007043CB" w:rsidRDefault="004B5C2E">
            <w:pPr>
              <w:numPr>
                <w:ilvl w:val="0"/>
                <w:numId w:val="87"/>
              </w:numPr>
              <w:spacing w:after="0" w:line="235" w:lineRule="auto"/>
              <w:ind w:left="93" w:right="1113" w:hanging="89"/>
              <w:jc w:val="left"/>
            </w:pPr>
            <w:r>
              <w:rPr>
                <w:sz w:val="16"/>
              </w:rPr>
              <w:t xml:space="preserve">zabezpečení v rozsahu kódu </w:t>
            </w:r>
            <w:r>
              <w:rPr>
                <w:b/>
                <w:sz w:val="16"/>
              </w:rPr>
              <w:t xml:space="preserve">A4 </w:t>
            </w:r>
            <w:r>
              <w:rPr>
                <w:sz w:val="16"/>
              </w:rPr>
              <w:t xml:space="preserve">a současně uložení v </w:t>
            </w:r>
            <w:r>
              <w:rPr>
                <w:b/>
                <w:sz w:val="16"/>
              </w:rPr>
              <w:t>trezoru</w:t>
            </w:r>
            <w:r>
              <w:rPr>
                <w:sz w:val="16"/>
              </w:rPr>
              <w:t xml:space="preserve"> min. </w:t>
            </w:r>
            <w:r>
              <w:rPr>
                <w:b/>
                <w:sz w:val="16"/>
              </w:rPr>
              <w:t>BT II</w:t>
            </w:r>
            <w:r>
              <w:rPr>
                <w:sz w:val="16"/>
              </w:rPr>
              <w:t xml:space="preserve"> </w:t>
            </w:r>
            <w:r>
              <w:rPr>
                <w:i/>
                <w:sz w:val="16"/>
              </w:rPr>
              <w:t>nebo</w:t>
            </w:r>
            <w:r>
              <w:rPr>
                <w:sz w:val="16"/>
              </w:rPr>
              <w:t xml:space="preserve"> </w:t>
            </w:r>
          </w:p>
          <w:p w:rsidR="007043CB" w:rsidRDefault="004B5C2E">
            <w:pPr>
              <w:numPr>
                <w:ilvl w:val="0"/>
                <w:numId w:val="87"/>
              </w:numPr>
              <w:spacing w:after="0" w:line="259" w:lineRule="auto"/>
              <w:ind w:left="93" w:right="1113" w:hanging="89"/>
              <w:jc w:val="left"/>
            </w:pPr>
            <w:r>
              <w:rPr>
                <w:sz w:val="16"/>
              </w:rPr>
              <w:t xml:space="preserve">zabezpečení v rozsahu kódu </w:t>
            </w:r>
            <w:r>
              <w:rPr>
                <w:b/>
                <w:sz w:val="16"/>
              </w:rPr>
              <w:t xml:space="preserve">A5 </w:t>
            </w:r>
            <w:r>
              <w:rPr>
                <w:sz w:val="16"/>
              </w:rPr>
              <w:t xml:space="preserve">a současně uložení v </w:t>
            </w:r>
            <w:r>
              <w:rPr>
                <w:b/>
                <w:sz w:val="16"/>
              </w:rPr>
              <w:t>trezoru</w:t>
            </w:r>
            <w:r>
              <w:rPr>
                <w:sz w:val="16"/>
              </w:rPr>
              <w:t xml:space="preserve"> min. </w:t>
            </w:r>
            <w:r>
              <w:rPr>
                <w:b/>
                <w:sz w:val="16"/>
              </w:rPr>
              <w:t>BT I</w:t>
            </w:r>
            <w:r>
              <w:rPr>
                <w:sz w:val="16"/>
              </w:rPr>
              <w:t xml:space="preserve"> </w:t>
            </w:r>
          </w:p>
        </w:tc>
      </w:tr>
      <w:tr w:rsidR="007043CB">
        <w:trPr>
          <w:trHeight w:val="593"/>
        </w:trPr>
        <w:tc>
          <w:tcPr>
            <w:tcW w:w="633" w:type="dxa"/>
            <w:tcBorders>
              <w:top w:val="single" w:sz="6" w:space="0" w:color="000000"/>
              <w:left w:val="single" w:sz="12" w:space="0" w:color="000000"/>
              <w:bottom w:val="single" w:sz="6" w:space="0" w:color="000000"/>
              <w:right w:val="single" w:sz="6" w:space="0" w:color="000000"/>
            </w:tcBorders>
          </w:tcPr>
          <w:p w:rsidR="007043CB" w:rsidRDefault="004B5C2E">
            <w:pPr>
              <w:spacing w:after="0" w:line="259" w:lineRule="auto"/>
              <w:ind w:left="0" w:firstLine="0"/>
              <w:jc w:val="left"/>
            </w:pPr>
            <w:r>
              <w:rPr>
                <w:sz w:val="16"/>
              </w:rPr>
              <w:t xml:space="preserve">E6 </w:t>
            </w:r>
          </w:p>
        </w:tc>
        <w:tc>
          <w:tcPr>
            <w:tcW w:w="156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do 500 000 </w:t>
            </w:r>
          </w:p>
        </w:tc>
        <w:tc>
          <w:tcPr>
            <w:tcW w:w="7771" w:type="dxa"/>
            <w:tcBorders>
              <w:top w:val="single" w:sz="6" w:space="0" w:color="000000"/>
              <w:left w:val="single" w:sz="6" w:space="0" w:color="000000"/>
              <w:bottom w:val="single" w:sz="6" w:space="0" w:color="000000"/>
              <w:right w:val="single" w:sz="12" w:space="0" w:color="000000"/>
            </w:tcBorders>
          </w:tcPr>
          <w:p w:rsidR="007043CB" w:rsidRDefault="004B5C2E">
            <w:pPr>
              <w:numPr>
                <w:ilvl w:val="0"/>
                <w:numId w:val="88"/>
              </w:numPr>
              <w:spacing w:after="0" w:line="238" w:lineRule="auto"/>
              <w:ind w:left="93" w:right="1113" w:hanging="89"/>
              <w:jc w:val="left"/>
            </w:pPr>
            <w:r>
              <w:rPr>
                <w:sz w:val="16"/>
              </w:rPr>
              <w:t xml:space="preserve">zabezpečení v rozsahu kódu </w:t>
            </w:r>
            <w:r>
              <w:rPr>
                <w:b/>
                <w:sz w:val="16"/>
              </w:rPr>
              <w:t xml:space="preserve">A5 </w:t>
            </w:r>
            <w:r>
              <w:rPr>
                <w:sz w:val="16"/>
              </w:rPr>
              <w:t xml:space="preserve">a současně uložení v </w:t>
            </w:r>
            <w:r>
              <w:rPr>
                <w:b/>
                <w:sz w:val="16"/>
              </w:rPr>
              <w:t>trezoru</w:t>
            </w:r>
            <w:r>
              <w:rPr>
                <w:sz w:val="16"/>
              </w:rPr>
              <w:t xml:space="preserve"> min. </w:t>
            </w:r>
            <w:r>
              <w:rPr>
                <w:b/>
                <w:sz w:val="16"/>
              </w:rPr>
              <w:t>BT II</w:t>
            </w:r>
            <w:r>
              <w:rPr>
                <w:sz w:val="16"/>
              </w:rPr>
              <w:t xml:space="preserve"> </w:t>
            </w:r>
            <w:r>
              <w:rPr>
                <w:i/>
                <w:sz w:val="16"/>
              </w:rPr>
              <w:t>nebo</w:t>
            </w:r>
            <w:r>
              <w:rPr>
                <w:sz w:val="16"/>
              </w:rPr>
              <w:t xml:space="preserve"> </w:t>
            </w:r>
          </w:p>
          <w:p w:rsidR="007043CB" w:rsidRDefault="004B5C2E">
            <w:pPr>
              <w:numPr>
                <w:ilvl w:val="0"/>
                <w:numId w:val="88"/>
              </w:numPr>
              <w:spacing w:after="0" w:line="259" w:lineRule="auto"/>
              <w:ind w:left="93" w:right="1113" w:hanging="89"/>
              <w:jc w:val="left"/>
            </w:pPr>
            <w:r>
              <w:rPr>
                <w:sz w:val="16"/>
              </w:rPr>
              <w:t xml:space="preserve">zabezpečení v rozsahu kódu </w:t>
            </w:r>
            <w:r>
              <w:rPr>
                <w:b/>
                <w:sz w:val="16"/>
              </w:rPr>
              <w:t xml:space="preserve">A6 </w:t>
            </w:r>
            <w:r>
              <w:rPr>
                <w:sz w:val="16"/>
              </w:rPr>
              <w:t xml:space="preserve">a současně uložení v </w:t>
            </w:r>
            <w:r>
              <w:rPr>
                <w:b/>
                <w:sz w:val="16"/>
              </w:rPr>
              <w:t>trezoru</w:t>
            </w:r>
            <w:r>
              <w:rPr>
                <w:sz w:val="16"/>
              </w:rPr>
              <w:t xml:space="preserve"> min. </w:t>
            </w:r>
            <w:r>
              <w:rPr>
                <w:b/>
                <w:sz w:val="16"/>
              </w:rPr>
              <w:t>BT I</w:t>
            </w:r>
            <w:r>
              <w:rPr>
                <w:sz w:val="16"/>
              </w:rPr>
              <w:t xml:space="preserve"> </w:t>
            </w:r>
          </w:p>
        </w:tc>
      </w:tr>
      <w:tr w:rsidR="007043CB">
        <w:trPr>
          <w:trHeight w:val="595"/>
        </w:trPr>
        <w:tc>
          <w:tcPr>
            <w:tcW w:w="633" w:type="dxa"/>
            <w:tcBorders>
              <w:top w:val="single" w:sz="6" w:space="0" w:color="000000"/>
              <w:left w:val="single" w:sz="12" w:space="0" w:color="000000"/>
              <w:bottom w:val="single" w:sz="6" w:space="0" w:color="000000"/>
              <w:right w:val="single" w:sz="6" w:space="0" w:color="000000"/>
            </w:tcBorders>
          </w:tcPr>
          <w:p w:rsidR="007043CB" w:rsidRDefault="004B5C2E">
            <w:pPr>
              <w:spacing w:after="0" w:line="259" w:lineRule="auto"/>
              <w:ind w:left="0" w:firstLine="0"/>
              <w:jc w:val="left"/>
            </w:pPr>
            <w:r>
              <w:rPr>
                <w:sz w:val="16"/>
              </w:rPr>
              <w:t xml:space="preserve">E7 </w:t>
            </w:r>
          </w:p>
        </w:tc>
        <w:tc>
          <w:tcPr>
            <w:tcW w:w="156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do 1 000 000 </w:t>
            </w:r>
          </w:p>
        </w:tc>
        <w:tc>
          <w:tcPr>
            <w:tcW w:w="7771" w:type="dxa"/>
            <w:tcBorders>
              <w:top w:val="single" w:sz="6" w:space="0" w:color="000000"/>
              <w:left w:val="single" w:sz="6" w:space="0" w:color="000000"/>
              <w:bottom w:val="single" w:sz="6" w:space="0" w:color="000000"/>
              <w:right w:val="single" w:sz="12" w:space="0" w:color="000000"/>
            </w:tcBorders>
          </w:tcPr>
          <w:p w:rsidR="007043CB" w:rsidRDefault="004B5C2E">
            <w:pPr>
              <w:numPr>
                <w:ilvl w:val="0"/>
                <w:numId w:val="89"/>
              </w:numPr>
              <w:spacing w:after="0" w:line="238" w:lineRule="auto"/>
              <w:ind w:left="93" w:right="1113" w:hanging="89"/>
              <w:jc w:val="left"/>
            </w:pPr>
            <w:r>
              <w:rPr>
                <w:sz w:val="16"/>
              </w:rPr>
              <w:t xml:space="preserve">zabezpečení v rozsahu kódu </w:t>
            </w:r>
            <w:r>
              <w:rPr>
                <w:b/>
                <w:sz w:val="16"/>
              </w:rPr>
              <w:t xml:space="preserve">A6 </w:t>
            </w:r>
            <w:r>
              <w:rPr>
                <w:sz w:val="16"/>
              </w:rPr>
              <w:t xml:space="preserve">a současně uložení v </w:t>
            </w:r>
            <w:r>
              <w:rPr>
                <w:b/>
                <w:sz w:val="16"/>
              </w:rPr>
              <w:t>trezoru</w:t>
            </w:r>
            <w:r>
              <w:rPr>
                <w:sz w:val="16"/>
              </w:rPr>
              <w:t xml:space="preserve"> min. </w:t>
            </w:r>
            <w:r>
              <w:rPr>
                <w:b/>
                <w:sz w:val="16"/>
              </w:rPr>
              <w:t>BT II</w:t>
            </w:r>
            <w:r>
              <w:rPr>
                <w:sz w:val="16"/>
              </w:rPr>
              <w:t xml:space="preserve"> </w:t>
            </w:r>
            <w:r>
              <w:rPr>
                <w:i/>
                <w:sz w:val="16"/>
              </w:rPr>
              <w:t>nebo</w:t>
            </w:r>
            <w:r>
              <w:rPr>
                <w:sz w:val="16"/>
              </w:rPr>
              <w:t xml:space="preserve"> </w:t>
            </w:r>
          </w:p>
          <w:p w:rsidR="007043CB" w:rsidRDefault="004B5C2E">
            <w:pPr>
              <w:numPr>
                <w:ilvl w:val="0"/>
                <w:numId w:val="89"/>
              </w:numPr>
              <w:spacing w:after="0" w:line="259" w:lineRule="auto"/>
              <w:ind w:left="93" w:right="1113" w:hanging="89"/>
              <w:jc w:val="left"/>
            </w:pPr>
            <w:r>
              <w:rPr>
                <w:sz w:val="16"/>
              </w:rPr>
              <w:t xml:space="preserve">zabezpečení v rozsahu kódu </w:t>
            </w:r>
            <w:r>
              <w:rPr>
                <w:b/>
                <w:sz w:val="16"/>
              </w:rPr>
              <w:t xml:space="preserve">A7 </w:t>
            </w:r>
            <w:r>
              <w:rPr>
                <w:sz w:val="16"/>
              </w:rPr>
              <w:t xml:space="preserve">a současně uložení v </w:t>
            </w:r>
            <w:r>
              <w:rPr>
                <w:b/>
                <w:sz w:val="16"/>
              </w:rPr>
              <w:t>trezoru</w:t>
            </w:r>
            <w:r>
              <w:rPr>
                <w:sz w:val="16"/>
              </w:rPr>
              <w:t xml:space="preserve"> min. </w:t>
            </w:r>
            <w:r>
              <w:rPr>
                <w:b/>
                <w:sz w:val="16"/>
              </w:rPr>
              <w:t>BT I</w:t>
            </w:r>
            <w:r>
              <w:rPr>
                <w:sz w:val="16"/>
              </w:rPr>
              <w:t xml:space="preserve"> </w:t>
            </w:r>
          </w:p>
        </w:tc>
      </w:tr>
      <w:tr w:rsidR="007043CB">
        <w:trPr>
          <w:trHeight w:val="593"/>
        </w:trPr>
        <w:tc>
          <w:tcPr>
            <w:tcW w:w="633" w:type="dxa"/>
            <w:tcBorders>
              <w:top w:val="single" w:sz="6" w:space="0" w:color="000000"/>
              <w:left w:val="single" w:sz="12" w:space="0" w:color="000000"/>
              <w:bottom w:val="single" w:sz="6" w:space="0" w:color="000000"/>
              <w:right w:val="single" w:sz="6" w:space="0" w:color="000000"/>
            </w:tcBorders>
          </w:tcPr>
          <w:p w:rsidR="007043CB" w:rsidRDefault="004B5C2E">
            <w:pPr>
              <w:spacing w:after="0" w:line="259" w:lineRule="auto"/>
              <w:ind w:left="0" w:firstLine="0"/>
              <w:jc w:val="left"/>
            </w:pPr>
            <w:r>
              <w:rPr>
                <w:sz w:val="16"/>
              </w:rPr>
              <w:t xml:space="preserve">E8 </w:t>
            </w:r>
          </w:p>
        </w:tc>
        <w:tc>
          <w:tcPr>
            <w:tcW w:w="1560" w:type="dxa"/>
            <w:tcBorders>
              <w:top w:val="single" w:sz="6" w:space="0" w:color="000000"/>
              <w:left w:val="single" w:sz="6" w:space="0" w:color="000000"/>
              <w:bottom w:val="single" w:sz="6" w:space="0" w:color="000000"/>
              <w:right w:val="single" w:sz="6" w:space="0" w:color="000000"/>
            </w:tcBorders>
          </w:tcPr>
          <w:p w:rsidR="007043CB" w:rsidRDefault="004B5C2E">
            <w:pPr>
              <w:spacing w:after="0" w:line="259" w:lineRule="auto"/>
              <w:ind w:left="4" w:firstLine="0"/>
              <w:jc w:val="left"/>
            </w:pPr>
            <w:r>
              <w:rPr>
                <w:sz w:val="16"/>
              </w:rPr>
              <w:t xml:space="preserve">do 5 000 000 </w:t>
            </w:r>
          </w:p>
        </w:tc>
        <w:tc>
          <w:tcPr>
            <w:tcW w:w="7771" w:type="dxa"/>
            <w:tcBorders>
              <w:top w:val="single" w:sz="6" w:space="0" w:color="000000"/>
              <w:left w:val="single" w:sz="6" w:space="0" w:color="000000"/>
              <w:bottom w:val="single" w:sz="6" w:space="0" w:color="000000"/>
              <w:right w:val="single" w:sz="12" w:space="0" w:color="000000"/>
            </w:tcBorders>
          </w:tcPr>
          <w:p w:rsidR="007043CB" w:rsidRDefault="004B5C2E">
            <w:pPr>
              <w:numPr>
                <w:ilvl w:val="0"/>
                <w:numId w:val="90"/>
              </w:numPr>
              <w:spacing w:after="0" w:line="238" w:lineRule="auto"/>
              <w:ind w:left="93" w:right="1079" w:hanging="89"/>
              <w:jc w:val="left"/>
            </w:pPr>
            <w:r>
              <w:rPr>
                <w:sz w:val="16"/>
              </w:rPr>
              <w:t xml:space="preserve">zabezpečení v rozsahu kódu </w:t>
            </w:r>
            <w:r>
              <w:rPr>
                <w:b/>
                <w:sz w:val="16"/>
              </w:rPr>
              <w:t xml:space="preserve">A7 </w:t>
            </w:r>
            <w:r>
              <w:rPr>
                <w:sz w:val="16"/>
              </w:rPr>
              <w:t xml:space="preserve">a současně uložení v </w:t>
            </w:r>
            <w:r>
              <w:rPr>
                <w:b/>
                <w:sz w:val="16"/>
              </w:rPr>
              <w:t>trezoru</w:t>
            </w:r>
            <w:r>
              <w:rPr>
                <w:sz w:val="16"/>
              </w:rPr>
              <w:t xml:space="preserve"> min. </w:t>
            </w:r>
            <w:r>
              <w:rPr>
                <w:b/>
                <w:sz w:val="16"/>
              </w:rPr>
              <w:t>BT III</w:t>
            </w:r>
            <w:r>
              <w:rPr>
                <w:sz w:val="16"/>
              </w:rPr>
              <w:t xml:space="preserve"> </w:t>
            </w:r>
            <w:r>
              <w:rPr>
                <w:i/>
                <w:sz w:val="16"/>
              </w:rPr>
              <w:t>nebo</w:t>
            </w:r>
            <w:r>
              <w:rPr>
                <w:sz w:val="16"/>
              </w:rPr>
              <w:t xml:space="preserve"> </w:t>
            </w:r>
          </w:p>
          <w:p w:rsidR="007043CB" w:rsidRDefault="004B5C2E">
            <w:pPr>
              <w:numPr>
                <w:ilvl w:val="0"/>
                <w:numId w:val="90"/>
              </w:numPr>
              <w:spacing w:after="0" w:line="259" w:lineRule="auto"/>
              <w:ind w:left="93" w:right="1079" w:hanging="89"/>
              <w:jc w:val="left"/>
            </w:pPr>
            <w:r>
              <w:rPr>
                <w:sz w:val="16"/>
              </w:rPr>
              <w:t xml:space="preserve">zabezpečení v rozsahu kódu </w:t>
            </w:r>
            <w:r>
              <w:rPr>
                <w:b/>
                <w:sz w:val="16"/>
              </w:rPr>
              <w:t xml:space="preserve">A8 </w:t>
            </w:r>
            <w:r>
              <w:rPr>
                <w:sz w:val="16"/>
              </w:rPr>
              <w:t xml:space="preserve">a současně uložení v </w:t>
            </w:r>
            <w:r>
              <w:rPr>
                <w:b/>
                <w:sz w:val="16"/>
              </w:rPr>
              <w:t>trezoru</w:t>
            </w:r>
            <w:r>
              <w:rPr>
                <w:sz w:val="16"/>
              </w:rPr>
              <w:t xml:space="preserve"> min. </w:t>
            </w:r>
            <w:r>
              <w:rPr>
                <w:b/>
                <w:sz w:val="16"/>
              </w:rPr>
              <w:t>BT II</w:t>
            </w:r>
            <w:r>
              <w:rPr>
                <w:sz w:val="16"/>
              </w:rPr>
              <w:t xml:space="preserve"> </w:t>
            </w:r>
          </w:p>
        </w:tc>
      </w:tr>
      <w:tr w:rsidR="007043CB">
        <w:trPr>
          <w:trHeight w:val="214"/>
        </w:trPr>
        <w:tc>
          <w:tcPr>
            <w:tcW w:w="633" w:type="dxa"/>
            <w:tcBorders>
              <w:top w:val="single" w:sz="6" w:space="0" w:color="000000"/>
              <w:left w:val="single" w:sz="12" w:space="0" w:color="000000"/>
              <w:bottom w:val="single" w:sz="12" w:space="0" w:color="000000"/>
              <w:right w:val="single" w:sz="6" w:space="0" w:color="000000"/>
            </w:tcBorders>
          </w:tcPr>
          <w:p w:rsidR="007043CB" w:rsidRDefault="004B5C2E">
            <w:pPr>
              <w:spacing w:after="0" w:line="259" w:lineRule="auto"/>
              <w:ind w:left="0" w:firstLine="0"/>
              <w:jc w:val="left"/>
            </w:pPr>
            <w:r>
              <w:rPr>
                <w:sz w:val="16"/>
              </w:rPr>
              <w:t xml:space="preserve">E9 </w:t>
            </w:r>
          </w:p>
        </w:tc>
        <w:tc>
          <w:tcPr>
            <w:tcW w:w="1560" w:type="dxa"/>
            <w:tcBorders>
              <w:top w:val="single" w:sz="6" w:space="0" w:color="000000"/>
              <w:left w:val="single" w:sz="6" w:space="0" w:color="000000"/>
              <w:bottom w:val="single" w:sz="12" w:space="0" w:color="000000"/>
              <w:right w:val="single" w:sz="6" w:space="0" w:color="000000"/>
            </w:tcBorders>
          </w:tcPr>
          <w:p w:rsidR="007043CB" w:rsidRDefault="004B5C2E">
            <w:pPr>
              <w:spacing w:after="0" w:line="259" w:lineRule="auto"/>
              <w:ind w:left="4" w:firstLine="0"/>
              <w:jc w:val="left"/>
            </w:pPr>
            <w:r>
              <w:rPr>
                <w:sz w:val="16"/>
              </w:rPr>
              <w:t xml:space="preserve">nad 5 000 000 </w:t>
            </w:r>
          </w:p>
        </w:tc>
        <w:tc>
          <w:tcPr>
            <w:tcW w:w="7771" w:type="dxa"/>
            <w:tcBorders>
              <w:top w:val="single" w:sz="6" w:space="0" w:color="000000"/>
              <w:left w:val="single" w:sz="6" w:space="0" w:color="000000"/>
              <w:bottom w:val="single" w:sz="12" w:space="0" w:color="000000"/>
              <w:right w:val="single" w:sz="12" w:space="0" w:color="000000"/>
            </w:tcBorders>
          </w:tcPr>
          <w:p w:rsidR="007043CB" w:rsidRDefault="004B5C2E">
            <w:pPr>
              <w:spacing w:after="0" w:line="259" w:lineRule="auto"/>
              <w:ind w:left="4" w:firstLine="0"/>
              <w:jc w:val="left"/>
            </w:pPr>
            <w:r>
              <w:rPr>
                <w:sz w:val="16"/>
              </w:rPr>
              <w:t xml:space="preserve">Individuálně ujednaný způsob zabezpečení. </w:t>
            </w:r>
          </w:p>
        </w:tc>
      </w:tr>
    </w:tbl>
    <w:p w:rsidR="007043CB" w:rsidRDefault="004B5C2E">
      <w:pPr>
        <w:ind w:left="-15" w:firstLine="0"/>
      </w:pPr>
      <w:r>
        <w:t xml:space="preserve">Nedílnou součástí této doložky je výklad pojmů uvedený v doložce DOZ5. </w:t>
      </w:r>
    </w:p>
    <w:p w:rsidR="007043CB" w:rsidRDefault="004B5C2E">
      <w:pPr>
        <w:spacing w:after="39" w:line="259" w:lineRule="auto"/>
        <w:ind w:left="0" w:firstLine="0"/>
        <w:jc w:val="left"/>
      </w:pPr>
      <w:r>
        <w:rPr>
          <w:b/>
        </w:rPr>
        <w:t xml:space="preserve"> </w:t>
      </w:r>
    </w:p>
    <w:p w:rsidR="007043CB" w:rsidRDefault="004B5C2E">
      <w:pPr>
        <w:spacing w:after="39" w:line="259" w:lineRule="auto"/>
        <w:ind w:left="0" w:firstLine="0"/>
        <w:jc w:val="left"/>
      </w:pPr>
      <w:r>
        <w:rPr>
          <w:b/>
        </w:rPr>
        <w:t xml:space="preserve"> </w:t>
      </w:r>
    </w:p>
    <w:p w:rsidR="007043CB" w:rsidRDefault="004B5C2E">
      <w:pPr>
        <w:spacing w:after="50" w:line="250" w:lineRule="auto"/>
        <w:ind w:left="-5" w:hanging="10"/>
        <w:jc w:val="left"/>
      </w:pPr>
      <w:r>
        <w:rPr>
          <w:b/>
        </w:rPr>
        <w:t>Doložka DOZ5 - Předepsané způsoby zabezpečení</w:t>
      </w:r>
      <w:r>
        <w:t xml:space="preserve"> - Výklad pojmů (1201)</w:t>
      </w:r>
      <w:r>
        <w:rPr>
          <w:b/>
        </w:rPr>
        <w:t xml:space="preserve"> </w:t>
      </w:r>
    </w:p>
    <w:p w:rsidR="007043CB" w:rsidRDefault="004B5C2E">
      <w:pPr>
        <w:ind w:left="-15" w:firstLine="0"/>
      </w:pPr>
      <w:r>
        <w:t xml:space="preserve">Všechny pojmy, které jsou v textu doložek způsobů zabezpečení tučně zvýrazněny, jsou definovány ve výkladu pojmů. Toto platí, pokud jinde není ujednáno jinak. Výklad pojmů je nedílnou součástí těchto doložek. </w:t>
      </w:r>
    </w:p>
    <w:p w:rsidR="007043CB" w:rsidRDefault="004B5C2E">
      <w:pPr>
        <w:spacing w:after="0" w:line="259" w:lineRule="auto"/>
        <w:ind w:left="0" w:firstLine="0"/>
        <w:jc w:val="left"/>
      </w:pPr>
      <w:r>
        <w:t xml:space="preserve"> </w:t>
      </w:r>
    </w:p>
    <w:p w:rsidR="007043CB" w:rsidRDefault="004B5C2E">
      <w:pPr>
        <w:numPr>
          <w:ilvl w:val="0"/>
          <w:numId w:val="15"/>
        </w:numPr>
        <w:ind w:firstLine="0"/>
      </w:pPr>
      <w:r>
        <w:t xml:space="preserve">prvků mechanických zábranných prostředků uvedených v odst. 1. až 7. a části odst. 9. je požadováno, aby jejich bezpečnostní úroveň byla ověřena certifikátem shody, vydaným certifikačním orgánem akreditovaným Českým institutem pro akreditaci (dále jen „ČIA“) </w:t>
      </w:r>
      <w:r>
        <w:rPr>
          <w:i/>
        </w:rPr>
        <w:t>nebo</w:t>
      </w:r>
      <w:r>
        <w:t xml:space="preserve"> obdobným zahraničním certifikačním orgánem na základě zkoušek provedených akreditovanou zkušební laboratoří. Bezpečnostní úroveň výrobku je dána jeho zařazením do příslušné bezpečnostní třídy (dále jen </w:t>
      </w:r>
      <w:r>
        <w:rPr>
          <w:b/>
        </w:rPr>
        <w:t>„BT“</w:t>
      </w:r>
      <w:r>
        <w:t xml:space="preserve">) podle ČSN P ENV 1627. Odpovídající je též zařazení výrobku do Pyramidy bezpečnosti (dále jen </w:t>
      </w:r>
      <w:r>
        <w:rPr>
          <w:b/>
        </w:rPr>
        <w:t>„PB“</w:t>
      </w:r>
      <w:r>
        <w:t>), pokud je k dispozici. Pokud není uvedeno jinak, požaduje pojistitel výrobky zařazené</w:t>
      </w:r>
      <w:r>
        <w:rPr>
          <w:b/>
          <w:i/>
        </w:rPr>
        <w:t xml:space="preserve"> </w:t>
      </w:r>
      <w:r>
        <w:t xml:space="preserve">min. do BT 3. </w:t>
      </w:r>
    </w:p>
    <w:p w:rsidR="007043CB" w:rsidRDefault="004B5C2E">
      <w:pPr>
        <w:ind w:left="-15" w:firstLine="0"/>
      </w:pPr>
      <w:r>
        <w:t xml:space="preserve">Nebude-li bezpečnostní úroveň výrobku ověřena certifikátem, popř. nebude-li tuto skutečnost možné ověřit, bude pojistitel za výrobky odpovídající výše uvedeným podmínkám považovat pouze takové, které splňují minimálně požadavky uvedené v odst. 1. až 7. a části odst. 9.  </w:t>
      </w:r>
    </w:p>
    <w:p w:rsidR="007043CB" w:rsidRDefault="004B5C2E">
      <w:pPr>
        <w:numPr>
          <w:ilvl w:val="0"/>
          <w:numId w:val="15"/>
        </w:numPr>
        <w:ind w:firstLine="0"/>
      </w:pPr>
      <w:r>
        <w:t xml:space="preserve">případě elektronického ovládání vstupů musí jednotlivé komponenty splňovat požadavky uvedené u příslušného limitu plnění pro mechanické zábranné prostředky a případně pro PZTS je-li vyžadován. </w:t>
      </w:r>
    </w:p>
    <w:p w:rsidR="007043CB" w:rsidRDefault="004B5C2E">
      <w:pPr>
        <w:numPr>
          <w:ilvl w:val="0"/>
          <w:numId w:val="16"/>
        </w:numPr>
        <w:ind w:hanging="271"/>
      </w:pPr>
      <w:r>
        <w:rPr>
          <w:b/>
        </w:rPr>
        <w:t>Bezpečnostní cylindrická vložka</w:t>
      </w:r>
      <w:r>
        <w:t xml:space="preserve"> je vložka zadlabacího zámku min. s překrytým profilem chránícím vložku před jejím překonáním tzv. vyhmatáním. </w:t>
      </w:r>
    </w:p>
    <w:p w:rsidR="007043CB" w:rsidRDefault="004B5C2E">
      <w:pPr>
        <w:numPr>
          <w:ilvl w:val="0"/>
          <w:numId w:val="16"/>
        </w:numPr>
        <w:ind w:hanging="271"/>
      </w:pPr>
      <w:r>
        <w:rPr>
          <w:b/>
        </w:rPr>
        <w:t>Bezpečnostní dveře</w:t>
      </w:r>
      <w:r>
        <w:t xml:space="preserve"> jsou dveře profesionálně vyrobené nebo upravené, s vícebodovým bezpečnostním uzamykacím systémem, odolné proti vysazení. Mají tuhou a pevnou konstrukci zesílenou výztuhami, plechem nebo mříží. Případně jsou to </w:t>
      </w:r>
      <w:r>
        <w:rPr>
          <w:b/>
        </w:rPr>
        <w:t>dveře plné</w:t>
      </w:r>
      <w:r>
        <w:t xml:space="preserve">, opatřené bezpečnostním min. tříbodovým rozvorovým zámkem (uzamykání dveřního křídla min. do tří stran), zábranami proti vysazení a vyražení nebo je jejich uzávěr řešen jako min. tříbodový rozvorový, ovládaný bezpečnostním uzamykacím systémem. Za bezpečnostní dveře jsou považována i vrata (vjezdy apod.) dostatečně tuhé a pevné konstrukce, zhotovená z plného plechu o min. tloušťce 3 mm s rámem z ocelového profilu o min. tloušťce 5 mm, která jsou odolná proti vysazení a vyražení, s min. tříbodovým rozvorovým uzávěrem ovládaným bezpečnostním uzamykacím systémem, u dvoukřídlých vrat musí být instalovány ochrany zástrčí proti jejich vyháčkování (např. visacím zámkem, příčnou závorou apod.). </w:t>
      </w:r>
    </w:p>
    <w:p w:rsidR="007043CB" w:rsidRDefault="004B5C2E">
      <w:pPr>
        <w:numPr>
          <w:ilvl w:val="0"/>
          <w:numId w:val="16"/>
        </w:numPr>
        <w:ind w:hanging="271"/>
      </w:pPr>
      <w:r>
        <w:rPr>
          <w:b/>
        </w:rPr>
        <w:t xml:space="preserve">Bezpečnostní kování </w:t>
      </w:r>
      <w:r>
        <w:t xml:space="preserve">je kování, které chrání cylindrickou vložku před rozlomením a vytržením. Vnější štít bezpečnostního kování nesmí být demontovatelný z vnější strany dveří. Cylindrická vložka nesmí vyčnívat z kování více než 3 mm. </w:t>
      </w:r>
    </w:p>
    <w:p w:rsidR="007043CB" w:rsidRDefault="004B5C2E">
      <w:pPr>
        <w:numPr>
          <w:ilvl w:val="0"/>
          <w:numId w:val="16"/>
        </w:numPr>
        <w:ind w:hanging="271"/>
      </w:pPr>
      <w:r>
        <w:rPr>
          <w:b/>
        </w:rPr>
        <w:t>Bezpečnostní kufřík</w:t>
      </w:r>
      <w:r>
        <w:t xml:space="preserve"> je kufřík nebo kontejner, který je určen k přenosu nebo převozu cenností a cenných věcí, je profesionálně zhotoven atestovaným výrobcem, má pevné stěny s rukojetí a je vybaven bezpečnostními doplňky (např. siréna, dýmovnice, barvicí moduly). </w:t>
      </w:r>
    </w:p>
    <w:p w:rsidR="007043CB" w:rsidRDefault="004B5C2E">
      <w:pPr>
        <w:numPr>
          <w:ilvl w:val="0"/>
          <w:numId w:val="16"/>
        </w:numPr>
        <w:ind w:hanging="271"/>
      </w:pPr>
      <w:r>
        <w:rPr>
          <w:b/>
        </w:rPr>
        <w:t>Bezpečnostní přídavný zámek</w:t>
      </w:r>
      <w:r>
        <w:t xml:space="preserve"> je doplňkový zámek s bezpečnostní cylindrickou vložkou a štítem, který zabraňuje rozlomení a odvrtání vložky, např. vrchní přídavný bezpečnostní zámek, dveřní závora. Přídavný zámek uzamyká dveře v jiném místě než hlavní zadlabací zámek a musí být připevněn z vnitřní strany dveří. U prosklených dveří musí být instalován takový přídavný zámek, který nelze z vnitřní strany ovládat bezklíčovým způsobem. </w:t>
      </w:r>
    </w:p>
    <w:p w:rsidR="007043CB" w:rsidRDefault="004B5C2E">
      <w:pPr>
        <w:numPr>
          <w:ilvl w:val="0"/>
          <w:numId w:val="16"/>
        </w:numPr>
        <w:ind w:hanging="271"/>
      </w:pPr>
      <w:r>
        <w:rPr>
          <w:b/>
        </w:rPr>
        <w:lastRenderedPageBreak/>
        <w:t>Bezpečnostní visací zámek</w:t>
      </w:r>
      <w:r>
        <w:t xml:space="preserve"> je visací zámek s tvrzeným třmenem, s bezpečnostní cylindrickou vložkou nebo s uzamykacím mechanismem odolným proti vyhmatání. Petlice i oka, jimiž procházejí třmeny visacích zámků, musí vykazovat mechanickou odolnost proti vloupání minimálně shodnou jako třmeny visacích zámků, pokud se jedná o uzamčení řetězu nebo lana, platí tato podmínka i pro ně. Petlice a oka musí být z vnější přístupové strany upevněny nerozebíratelným spojem. </w:t>
      </w:r>
    </w:p>
    <w:p w:rsidR="007043CB" w:rsidRDefault="004B5C2E">
      <w:pPr>
        <w:ind w:left="271" w:firstLine="0"/>
      </w:pPr>
      <w:r>
        <w:t xml:space="preserve">Je-li požadován bezpečnostní visací zámek se </w:t>
      </w:r>
      <w:r>
        <w:rPr>
          <w:b/>
        </w:rPr>
        <w:t>zvýšenou ochranou třmenu</w:t>
      </w:r>
      <w:r>
        <w:t xml:space="preserve">, musí být instalován bezpečnostní visací zámek konstrukčně zhotovený tak, že vlastní těleso zámku chrání třmen před jeho napadením (třmen ukrytý v tělese zámku), nebo je instalován speciální ocelový kryt, chránící třmen i samotné těleso zámku. </w:t>
      </w:r>
    </w:p>
    <w:p w:rsidR="007043CB" w:rsidRDefault="004B5C2E">
      <w:pPr>
        <w:numPr>
          <w:ilvl w:val="0"/>
          <w:numId w:val="16"/>
        </w:numPr>
        <w:ind w:hanging="271"/>
      </w:pPr>
      <w:r>
        <w:rPr>
          <w:b/>
        </w:rPr>
        <w:t>Bezpečnostní uzamykací systém</w:t>
      </w:r>
      <w:r>
        <w:t xml:space="preserve"> je komplet, který tvoří bezpečnostní stavební (zadlabací) zámek, bezpečnostní cylindrická vložka a bezpečnostní kování. Kování nebo provedení bezpečnostní cylindrické vložky musí chránit vložku i proti odvrtání. Za bezpečnostní uzamykací systém lze považovat i elektromechanický zámek, který splňuje požadavky na odolnost proti překonání uvedené v tomto odstavci. </w:t>
      </w:r>
    </w:p>
    <w:p w:rsidR="007043CB" w:rsidRDefault="004B5C2E">
      <w:pPr>
        <w:numPr>
          <w:ilvl w:val="0"/>
          <w:numId w:val="16"/>
        </w:numPr>
        <w:ind w:hanging="271"/>
      </w:pPr>
      <w:r>
        <w:rPr>
          <w:b/>
        </w:rPr>
        <w:t xml:space="preserve">Dozickým zámkem </w:t>
      </w:r>
      <w:r>
        <w:t xml:space="preserve">se rozumí zadlabací zámek, jehož uzamykací mechanismus je tvořen min. čtyřmi stavítky, která jsou ovládána jednostranně ozubeným klíčem. </w:t>
      </w:r>
    </w:p>
    <w:p w:rsidR="007043CB" w:rsidRDefault="004B5C2E">
      <w:pPr>
        <w:numPr>
          <w:ilvl w:val="0"/>
          <w:numId w:val="16"/>
        </w:numPr>
        <w:ind w:hanging="271"/>
      </w:pPr>
      <w:r>
        <w:rPr>
          <w:b/>
        </w:rPr>
        <w:t xml:space="preserve">Dveřmi plnými </w:t>
      </w:r>
      <w:r>
        <w:t xml:space="preserve">se rozumí dveře, vrata, vjezdy (dále jen dveře) pevné konstrukce, zhotovené z materiálu odolného proti vloupání (dřevo, plast, kov, sklo a jejich kombinace) o minimální tloušťce </w:t>
      </w:r>
      <w:r>
        <w:rPr>
          <w:b/>
        </w:rPr>
        <w:t xml:space="preserve">40 mm </w:t>
      </w:r>
      <w:r>
        <w:t xml:space="preserve">nebo dveře BT 2 podle ČSN P ENV 1627. Dveře, které nevykazují dostatečnou odolnost proti vloupání (např. sololitové s výplní z papírové voštiny, dveře s výplní zhotovenou z palubek), musí být z vnitřní strany dodatečně zpevněny (např. celoplošně plechem o min. tloušťce 1 mm, ocelovými výztuhami, dodatečnou montáží další mechanicky odolné vrstvy), instalací mříže apod. Je-li výplň kovová, musí být zhotovena z ocelového plechu min. tloušťky 1 mm. </w:t>
      </w:r>
    </w:p>
    <w:p w:rsidR="007043CB" w:rsidRDefault="004B5C2E">
      <w:pPr>
        <w:ind w:left="271" w:firstLine="0"/>
      </w:pPr>
      <w:r>
        <w:t>Prosklené dveře v případě požadavku pojistitele na zabezpečení jejich prosklených částí musí být zabezpečeny dle  odst. 29.</w:t>
      </w:r>
      <w:r>
        <w:rPr>
          <w:b/>
        </w:rPr>
        <w:t xml:space="preserve"> </w:t>
      </w:r>
      <w:r>
        <w:t>Dvoukřídlé dveře musí být zajištěny tak, aby obě křídla měla stejnou hodnotu odporu jako dveře jednokřídlé, a současně musí být zabezpečeny i proti tzv. vyháčkování (např. instalace pevných zástrčí na neotvíraném křídle dveří, které jsou zajištěny např. šroubem s maticí nebo visacím zámkem, ocelové čepy pevně zakotvené do dveřního rámu nebo zdiva, instalace příčné závory,</w:t>
      </w:r>
      <w:r>
        <w:rPr>
          <w:i/>
        </w:rPr>
        <w:t xml:space="preserve"> </w:t>
      </w:r>
      <w:r>
        <w:t xml:space="preserve">instalace vzpěry neotvíraného křídla apod.).  </w:t>
      </w:r>
    </w:p>
    <w:p w:rsidR="007043CB" w:rsidRDefault="004B5C2E">
      <w:pPr>
        <w:ind w:left="271" w:firstLine="0"/>
      </w:pPr>
      <w:r>
        <w:t xml:space="preserve">Dveřní rámy (zárubně) musí být spolehlivě ukotveny ve zdivu. Pokud dveře nejsou zapuštěny do zárubně, musí být opatřeny zábranami proti vysazení. </w:t>
      </w:r>
    </w:p>
    <w:p w:rsidR="007043CB" w:rsidRDefault="004B5C2E">
      <w:pPr>
        <w:ind w:left="271" w:firstLine="0"/>
      </w:pPr>
      <w:r>
        <w:rPr>
          <w:b/>
        </w:rPr>
        <w:t>Běžnými dveřmi</w:t>
      </w:r>
      <w:r>
        <w:t xml:space="preserve"> se rozumí ostatní dveře, které nesplňují požadavky odst. 2. nebo 9. </w:t>
      </w:r>
    </w:p>
    <w:p w:rsidR="007043CB" w:rsidRDefault="004B5C2E">
      <w:pPr>
        <w:numPr>
          <w:ilvl w:val="0"/>
          <w:numId w:val="16"/>
        </w:numPr>
        <w:ind w:hanging="271"/>
      </w:pPr>
      <w:r>
        <w:rPr>
          <w:b/>
        </w:rPr>
        <w:t>Funkčním</w:t>
      </w:r>
      <w:r>
        <w:t xml:space="preserve"> </w:t>
      </w:r>
      <w:r>
        <w:rPr>
          <w:b/>
        </w:rPr>
        <w:t>poplachovým zabezpečovacím a tísňovým systémem</w:t>
      </w:r>
      <w:r>
        <w:t xml:space="preserve"> (dříve „elektrická zabezpečovací signalizace“ – „EZS“; dále jen </w:t>
      </w:r>
      <w:r>
        <w:rPr>
          <w:b/>
        </w:rPr>
        <w:t>„PZTS“</w:t>
      </w:r>
      <w:r>
        <w:t xml:space="preserve"> </w:t>
      </w:r>
      <w:r>
        <w:rPr>
          <w:vertAlign w:val="superscript"/>
        </w:rPr>
        <w:t>*)</w:t>
      </w:r>
      <w:r>
        <w:rPr>
          <w:b/>
        </w:rPr>
        <w:t xml:space="preserve"> </w:t>
      </w:r>
      <w:r>
        <w:t xml:space="preserve">se rozumí systém, který splňuje následující podmínky: </w:t>
      </w:r>
    </w:p>
    <w:p w:rsidR="007043CB" w:rsidRDefault="004B5C2E">
      <w:pPr>
        <w:numPr>
          <w:ilvl w:val="1"/>
          <w:numId w:val="16"/>
        </w:numPr>
        <w:ind w:hanging="274"/>
      </w:pPr>
      <w:r>
        <w:t xml:space="preserve">Komponenty PZTS musí splňovat kritéria minimálně 2. stupně zabezpečení podle ČSN EN 50131-1, není-li požadován stupeň zabezpečení vyšší, a musí ho mít doložen certifikátem shody vydaným certifikačním orgánem akreditovaným ČIA </w:t>
      </w:r>
      <w:r>
        <w:rPr>
          <w:i/>
        </w:rPr>
        <w:t>nebo</w:t>
      </w:r>
      <w:r>
        <w:t xml:space="preserve"> obdobným zahraničním certifikačním orgánem. </w:t>
      </w:r>
    </w:p>
    <w:p w:rsidR="007043CB" w:rsidRDefault="004B5C2E">
      <w:pPr>
        <w:numPr>
          <w:ilvl w:val="1"/>
          <w:numId w:val="16"/>
        </w:numPr>
        <w:ind w:hanging="274"/>
      </w:pPr>
      <w:r>
        <w:t xml:space="preserve">Projekt a montáž PZTS musí být provedeny dle ČSN EN 50131-1 a ČSN CLC/TS 50131-7 v posledních platných zněních firmou, která má k těmto činnostem příslušná oprávnění; pokud není znám stupeň zabezpečení PZTS podle normy, může být uznán za vyhovující i PZTS, jehož technický stav a funkčnost individuálně posoudila odborná osoba určená pojistitelem. V případě napadení zabezpečeného prostoru nebo samotného PZTS musí být prokazatelným způsobem vyvolán poplach. </w:t>
      </w:r>
    </w:p>
    <w:p w:rsidR="007043CB" w:rsidRDefault="004B5C2E">
      <w:pPr>
        <w:numPr>
          <w:ilvl w:val="1"/>
          <w:numId w:val="16"/>
        </w:numPr>
        <w:ind w:hanging="274"/>
      </w:pPr>
      <w:r>
        <w:t xml:space="preserve">Pokud je výstupní signál z PZTS vyveden na </w:t>
      </w:r>
      <w:r>
        <w:rPr>
          <w:b/>
        </w:rPr>
        <w:t>akustický hlásič</w:t>
      </w:r>
      <w:r>
        <w:t xml:space="preserve">, připouští se pouze instalace tzv. inteligentního hlásiče s vlastním zálohováním. Je-li umístěný na fasádě, pak v takové výši, aby byl obtížně napadnutelný, min. 3 m vysoko, chráněný před klimatickými vlivy, současně však dobře slyšitelný. Přívodní vodiče musí být chráněny před napadnutím (instalace pod fasádou, chránička apod.). </w:t>
      </w:r>
    </w:p>
    <w:p w:rsidR="007043CB" w:rsidRDefault="004B5C2E">
      <w:pPr>
        <w:spacing w:after="2" w:line="255" w:lineRule="auto"/>
        <w:ind w:left="266" w:hanging="10"/>
        <w:jc w:val="left"/>
      </w:pPr>
      <w:r>
        <w:rPr>
          <w:vertAlign w:val="superscript"/>
        </w:rPr>
        <w:t>*)</w:t>
      </w:r>
      <w:r>
        <w:rPr>
          <w:i/>
          <w:vertAlign w:val="superscript"/>
        </w:rPr>
        <w:t xml:space="preserve"> </w:t>
      </w:r>
      <w:r>
        <w:rPr>
          <w:i/>
        </w:rPr>
        <w:t xml:space="preserve"> V současných normách jsou užívány angl. zkratky „IAS“ pro poplachový zabezpečovací systém, „I&amp;HAS“ pro poplachový zabezpečovací a tísňový systém, příp. „HAS“ pro poplachový tísňový systém. </w:t>
      </w:r>
    </w:p>
    <w:p w:rsidR="007043CB" w:rsidRDefault="004B5C2E">
      <w:pPr>
        <w:spacing w:after="3" w:line="243" w:lineRule="auto"/>
        <w:ind w:left="271" w:right="5" w:firstLine="0"/>
        <w:jc w:val="left"/>
      </w:pPr>
      <w:r>
        <w:t xml:space="preserve">Pojištěný je dále povinen trvale zabezpečit, aby provoz, údržba, kontroly a revize PZTS byly prováděny v souladu s návodem k obsluze a údržbě; pokud není stanoveno jinak, musí být minimálně jedenkrát za rok provedena prokazatelným způsobem komplexní kontrola vč. funkční zkoušky PZTS výrobcem nebo jím pověřenou servisní organizací.                                              Při nesplnění uvedených povinností má pojistitel právo považovat PZTS za nefunkční. </w:t>
      </w:r>
    </w:p>
    <w:p w:rsidR="007043CB" w:rsidRDefault="004B5C2E">
      <w:pPr>
        <w:numPr>
          <w:ilvl w:val="0"/>
          <w:numId w:val="16"/>
        </w:numPr>
        <w:ind w:hanging="271"/>
      </w:pPr>
      <w:r>
        <w:rPr>
          <w:b/>
        </w:rPr>
        <w:t>Funkčním oplocením</w:t>
      </w:r>
      <w:r>
        <w:t xml:space="preserve"> se rozumí oplocení, které má ve všech místech požadovanou min. výšku (tedy i v místech, kde prochází oplocením např. potrubí vedené na povrchu), s maximálními otvory 6 x 6 cm a s případnou vrcholovou ochranou podle požadavku. Vzdálenost pevných opor (sloupů), jejich ukotvení a samotná montáž oplocení musí zabraňovat volnému vstupu, snadnému prolomení, podkopání a podlezení. </w:t>
      </w:r>
    </w:p>
    <w:p w:rsidR="007043CB" w:rsidRDefault="004B5C2E">
      <w:pPr>
        <w:numPr>
          <w:ilvl w:val="0"/>
          <w:numId w:val="16"/>
        </w:numPr>
        <w:ind w:hanging="271"/>
      </w:pPr>
      <w:r>
        <w:rPr>
          <w:b/>
        </w:rPr>
        <w:t>Fyzickou ostrahou</w:t>
      </w:r>
      <w:r>
        <w:t xml:space="preserve"> je osoba starší 21 let, způsobilá k právním úkonům, bezúhonná, spolehlivá, fyzicky zdatná, psychicky odolná, která není pod vlivem alkoholu či jiných psychotropních nebo omamných látek. Má požadovaný výcvik bezpečnostního a technického personálu a prošla odborným vzděláním a školením. Musí být vybavená vhodným </w:t>
      </w:r>
      <w:r>
        <w:rPr>
          <w:b/>
        </w:rPr>
        <w:t>obranným prostředkem</w:t>
      </w:r>
      <w:r>
        <w:t xml:space="preserve"> a dále funkčním telefonem nebo jiným obdobným spojením umožňujícím přivolat pomoc a současně rádiovým prostředkem pro vzájemné dorozumívání. Tato osoba musí být prokazatelně seznámena s činností, kterou je nutné vykonávat, a s činností při hrozícím nebo již uskutečněném odcizení a při ohlášení poplachového signálu. Ostraha musí vykonávat pravidelné pochůzky střeženého prostoru, o kterých musí být vedeny písemné záznamy. Střeží-li ostraha prostor, ve kterém jsou umístěny cennosti a cenné věci, pak nesmí mít klíče od trezoru ani od místnosti, v níž je trezor umístěn, popř. nesmí znát uzamykací kód trezoru. </w:t>
      </w:r>
    </w:p>
    <w:p w:rsidR="007043CB" w:rsidRDefault="004B5C2E">
      <w:pPr>
        <w:numPr>
          <w:ilvl w:val="0"/>
          <w:numId w:val="16"/>
        </w:numPr>
        <w:ind w:hanging="271"/>
      </w:pPr>
      <w:r>
        <w:rPr>
          <w:b/>
        </w:rPr>
        <w:t>Hlídacím psem</w:t>
      </w:r>
      <w:r>
        <w:t xml:space="preserve"> se rozumí pes (nebo fena, dále jen pes) vybraný ze služebních a pracovních plemen (např. německý ovčák, boxer, dobrman, velký knírač, rotweiler) anebo pes tato plemena svým vzhledem připomínající (tzn. bez prokázaného původu). Dále je požadováno, aby hlídací pes měl kohoutkovou výšku vyšší než 45 cm </w:t>
      </w:r>
      <w:r>
        <w:rPr>
          <w:i/>
        </w:rPr>
        <w:t>(vyloučení psů malých plemen, viz Národní zkušební řád ČMKU).</w:t>
      </w:r>
      <w:r>
        <w:t xml:space="preserve">  </w:t>
      </w:r>
    </w:p>
    <w:p w:rsidR="007043CB" w:rsidRDefault="004B5C2E">
      <w:pPr>
        <w:numPr>
          <w:ilvl w:val="0"/>
          <w:numId w:val="16"/>
        </w:numPr>
        <w:ind w:hanging="271"/>
      </w:pPr>
      <w:r>
        <w:rPr>
          <w:b/>
        </w:rPr>
        <w:t>Krátkou kulovou zbraní</w:t>
      </w:r>
      <w:r>
        <w:t xml:space="preserve"> se pro účely pojištění rozumí krátká kulová zbraň kategorie B nebo kategorie A dle § 4 zákona č. 119/2002 Sb. ve znění pozdějších předpisů (zákon o střelných zbraních a střelivu).  </w:t>
      </w:r>
    </w:p>
    <w:p w:rsidR="007043CB" w:rsidRDefault="004B5C2E">
      <w:pPr>
        <w:numPr>
          <w:ilvl w:val="0"/>
          <w:numId w:val="16"/>
        </w:numPr>
        <w:ind w:hanging="271"/>
      </w:pPr>
      <w:r>
        <w:rPr>
          <w:b/>
        </w:rPr>
        <w:t xml:space="preserve">Místem s nepřetržitou službou </w:t>
      </w:r>
      <w:r>
        <w:t xml:space="preserve">se rozumí pracoviště s vyvedeným poplachovým signálem PZTS (světelný, akustický) ze střeženého prostoru. Na pracovišti musí být trvale přítomen pracovník určený k ostraze, který na základě aktivovaného poplachového signálu musí provést nebo zabezpečit zásah proti narušiteli. </w:t>
      </w:r>
    </w:p>
    <w:p w:rsidR="007043CB" w:rsidRDefault="004B5C2E">
      <w:pPr>
        <w:numPr>
          <w:ilvl w:val="0"/>
          <w:numId w:val="16"/>
        </w:numPr>
        <w:ind w:hanging="271"/>
      </w:pPr>
      <w:r>
        <w:rPr>
          <w:b/>
        </w:rPr>
        <w:lastRenderedPageBreak/>
        <w:t xml:space="preserve">Obranným prostředkem </w:t>
      </w:r>
      <w:r>
        <w:t xml:space="preserve">je zařízení, které slouží k osobní ochraně neozbrojeným způsobem a má pachatele odradit od útoku nebo ho paralyzovat (např. sprej, el. paralyzér). </w:t>
      </w:r>
    </w:p>
    <w:p w:rsidR="007043CB" w:rsidRDefault="004B5C2E">
      <w:pPr>
        <w:numPr>
          <w:ilvl w:val="0"/>
          <w:numId w:val="16"/>
        </w:numPr>
        <w:ind w:hanging="271"/>
      </w:pPr>
      <w:r>
        <w:rPr>
          <w:b/>
        </w:rPr>
        <w:t>Oploceným prostranstvím</w:t>
      </w:r>
      <w:r>
        <w:t xml:space="preserve"> se rozumí volné prostranství (areál, místo pojištění) celistvě ohraničené </w:t>
      </w:r>
      <w:r>
        <w:rPr>
          <w:b/>
        </w:rPr>
        <w:t>funkčním oplocením či pevnou bariérou</w:t>
      </w:r>
      <w:r>
        <w:t>;</w:t>
      </w:r>
      <w:r>
        <w:rPr>
          <w:b/>
        </w:rPr>
        <w:t xml:space="preserve"> </w:t>
      </w:r>
      <w:r>
        <w:t xml:space="preserve">vstupy (dveře, vrata, vjezdy apod.) mají min. stejnou výšku jako požadované oplocení. </w:t>
      </w:r>
    </w:p>
    <w:p w:rsidR="007043CB" w:rsidRDefault="004B5C2E">
      <w:pPr>
        <w:ind w:left="271" w:firstLine="0"/>
      </w:pPr>
      <w:r>
        <w:t>Za věci uložené</w:t>
      </w:r>
      <w:r>
        <w:rPr>
          <w:b/>
        </w:rPr>
        <w:t xml:space="preserve"> na oploceném prostranství</w:t>
      </w:r>
      <w:r>
        <w:t xml:space="preserve"> se považují i věci uložené ve skladovacích halách, jejich plášť je tvořen z lehkých konstrukcí, které neodpovídají </w:t>
      </w:r>
      <w:r>
        <w:rPr>
          <w:b/>
        </w:rPr>
        <w:t>uzavřenému prostoru typu</w:t>
      </w:r>
      <w:r>
        <w:t xml:space="preserve"> </w:t>
      </w:r>
      <w:r>
        <w:rPr>
          <w:b/>
        </w:rPr>
        <w:t>A, B nebo C</w:t>
      </w:r>
      <w:r>
        <w:t xml:space="preserve"> (např. plášť montovaný z plechů tloušťky do 0,6 mm, pláště plachtového typu - polyetylenové, z PVC, z gumotextilních materiálů apod.). </w:t>
      </w:r>
    </w:p>
    <w:p w:rsidR="007043CB" w:rsidRDefault="004B5C2E">
      <w:pPr>
        <w:numPr>
          <w:ilvl w:val="0"/>
          <w:numId w:val="16"/>
        </w:numPr>
        <w:ind w:hanging="271"/>
      </w:pPr>
      <w:r>
        <w:rPr>
          <w:b/>
        </w:rPr>
        <w:t>Osobou doprovázející</w:t>
      </w:r>
      <w:r>
        <w:t xml:space="preserve"> se rozumí osoba starší 21 let, způsobilá k právním úkonům, bezúhonná, spolehlivá, fyzicky zdatná, psychicky odolná, která není pod vlivem alkoholu či jiných psychotropních nebo omamných látek. Má požadovaný výcvik bezpečnostního a technického personálu a prošla odborným vzděláním a školením. Musí být vybavená obranným prostředkem nebo ozbrojená podle požadavku pojistitele. </w:t>
      </w:r>
    </w:p>
    <w:p w:rsidR="007043CB" w:rsidRDefault="004B5C2E">
      <w:pPr>
        <w:numPr>
          <w:ilvl w:val="0"/>
          <w:numId w:val="16"/>
        </w:numPr>
        <w:ind w:hanging="271"/>
      </w:pPr>
      <w:r>
        <w:rPr>
          <w:b/>
        </w:rPr>
        <w:t xml:space="preserve">Panik tlačítko </w:t>
      </w:r>
      <w:r>
        <w:t xml:space="preserve">je doplňkové ovládací zařízení PZTS, které umožňuje v případě napadení odeslat tísňový poplachový signál na PPC. </w:t>
      </w:r>
    </w:p>
    <w:p w:rsidR="007043CB" w:rsidRDefault="004B5C2E">
      <w:pPr>
        <w:numPr>
          <w:ilvl w:val="0"/>
          <w:numId w:val="16"/>
        </w:numPr>
        <w:ind w:hanging="271"/>
      </w:pPr>
      <w:r>
        <w:rPr>
          <w:b/>
        </w:rPr>
        <w:t xml:space="preserve">Pevnou bariérou </w:t>
      </w:r>
      <w:r>
        <w:t>se rozumí</w:t>
      </w:r>
      <w:r>
        <w:rPr>
          <w:b/>
        </w:rPr>
        <w:t xml:space="preserve"> </w:t>
      </w:r>
      <w:r>
        <w:t xml:space="preserve">oplocení z pevného a neprůhledného materiálu, které má ve všech místech požadovanou min. výšku s případnou vrcholovou ochranou podle požadavku na zabezpečení. Vzdálenost pevných opor (sloupů), jejich ukotvení a samotná montáž oplocení musí zabraňovat volnému vstupu, snadnému prolomení, podkopání a podlezení. </w:t>
      </w:r>
    </w:p>
    <w:p w:rsidR="007043CB" w:rsidRDefault="004B5C2E">
      <w:pPr>
        <w:numPr>
          <w:ilvl w:val="0"/>
          <w:numId w:val="16"/>
        </w:numPr>
        <w:ind w:hanging="271"/>
      </w:pPr>
      <w:r>
        <w:rPr>
          <w:b/>
        </w:rPr>
        <w:t xml:space="preserve">Poplachové přijímací centrum </w:t>
      </w:r>
      <w:r>
        <w:t xml:space="preserve">(dříve pult centralizované ochrany – „PCO“, dále jen </w:t>
      </w:r>
      <w:r>
        <w:rPr>
          <w:b/>
        </w:rPr>
        <w:t>„PPC“</w:t>
      </w:r>
      <w:r>
        <w:t xml:space="preserve"> </w:t>
      </w:r>
      <w:r>
        <w:rPr>
          <w:vertAlign w:val="superscript"/>
        </w:rPr>
        <w:t>**)</w:t>
      </w:r>
      <w:r>
        <w:t xml:space="preserve"> je trvale obsluhované dohledové pracoviště, které</w:t>
      </w:r>
      <w:r>
        <w:rPr>
          <w:b/>
        </w:rPr>
        <w:t xml:space="preserve"> </w:t>
      </w:r>
      <w:r>
        <w:t xml:space="preserve">pomocí linek telekomunikační sítě, rádiově sítě, GSM či ISDN sítě nebo jiného obdobného přenosu přijímá hlášení od PZTS o narušení zabezpečených prostor, zobrazuje, vyhodnocuje a archivuje poplachové informace. Musí být trvale provozováno policií nebo koncesovanou soukromou bezpečnostní službou, mající pro tuto činnost oprávnění, která zajišťuje zásah v místě střeženého objektu s dobou dojezdu do 10 minut. Doba mezi přijímanými hlášeními kontrolních zpráv PZTS nesmí překročit 3 minuty, případné překročení této doby musí být kvalifikováno jako ztráta spojení s PZTS. V případě ztráty spojení PPC s PZTS musí být v PPC prokazatelným způsobem vyvolán poplach s následným zásahem v místě střeženého objektu. </w:t>
      </w:r>
    </w:p>
    <w:p w:rsidR="007043CB" w:rsidRDefault="004B5C2E">
      <w:pPr>
        <w:spacing w:after="2" w:line="255" w:lineRule="auto"/>
        <w:ind w:left="266" w:hanging="10"/>
        <w:jc w:val="left"/>
      </w:pPr>
      <w:r>
        <w:rPr>
          <w:vertAlign w:val="superscript"/>
        </w:rPr>
        <w:t>**)</w:t>
      </w:r>
      <w:r>
        <w:rPr>
          <w:i/>
        </w:rPr>
        <w:t xml:space="preserve">  V současných normách je pro poplachové přijímací centrum užívána angl. zkratka „ARC“. </w:t>
      </w:r>
    </w:p>
    <w:p w:rsidR="007043CB" w:rsidRDefault="004B5C2E">
      <w:pPr>
        <w:numPr>
          <w:ilvl w:val="0"/>
          <w:numId w:val="16"/>
        </w:numPr>
        <w:ind w:hanging="271"/>
      </w:pPr>
      <w:r>
        <w:rPr>
          <w:b/>
        </w:rPr>
        <w:t xml:space="preserve">Průmyslová TV </w:t>
      </w:r>
      <w:r>
        <w:t xml:space="preserve">(CCTV) je zařízení s kamerami s možností dlouhodobého snímání obrazu, který je na příslušných médiích stabilně zaznamenáván a uchováván po stanovenou sjednanou dobu. </w:t>
      </w:r>
    </w:p>
    <w:p w:rsidR="007043CB" w:rsidRDefault="004B5C2E">
      <w:pPr>
        <w:numPr>
          <w:ilvl w:val="0"/>
          <w:numId w:val="16"/>
        </w:numPr>
        <w:ind w:hanging="271"/>
      </w:pPr>
      <w:r>
        <w:rPr>
          <w:b/>
        </w:rPr>
        <w:t>Schránkou</w:t>
      </w:r>
      <w:r>
        <w:t xml:space="preserve"> se rozumí těžký kus nábytku, který je uzamčen cylindrickým nebo dozickým zámkem. Schránkou se rovněž rozumí příruční pokladna nebo bezpečnostní schránka, které jsou připevněny k těžkému kusu nábytku nebo k podlaze či ke zdi a které lze demontovat jen po jejich odemčení. </w:t>
      </w:r>
    </w:p>
    <w:p w:rsidR="007043CB" w:rsidRDefault="004B5C2E">
      <w:pPr>
        <w:numPr>
          <w:ilvl w:val="0"/>
          <w:numId w:val="16"/>
        </w:numPr>
        <w:ind w:hanging="271"/>
      </w:pPr>
      <w:r>
        <w:rPr>
          <w:b/>
        </w:rPr>
        <w:t>Služebním psem</w:t>
      </w:r>
      <w:r>
        <w:t xml:space="preserve"> se rozumí pes (nebo fena, dále jen pes) určený a vycvičený ke strážní a ochranné službě. Služební pes musí absolvovat příslušné zkoušky minimálně v rozsahu Zkoušky základního minima (ZMT) dle Zkušebního řádu Speciálního kynologického svazu „TART“ (</w:t>
      </w:r>
      <w:hyperlink r:id="rId16">
        <w:r>
          <w:rPr>
            <w:color w:val="0000FF"/>
            <w:u w:val="single" w:color="0000FF"/>
          </w:rPr>
          <w:t>http://www.vycvikpsa.cz</w:t>
        </w:r>
      </w:hyperlink>
      <w:hyperlink r:id="rId17">
        <w:r>
          <w:t>)</w:t>
        </w:r>
      </w:hyperlink>
      <w:r>
        <w:t xml:space="preserve"> nebo jiné zkoušky v obdobném doložitelném rozsahu. O vykonání těchto zkoušek musí být vedena písemná evidence formou zápisu do výkonnostní knížky psa nebo jiného obdobného certifikátu. </w:t>
      </w:r>
    </w:p>
    <w:p w:rsidR="007043CB" w:rsidRDefault="004B5C2E">
      <w:pPr>
        <w:numPr>
          <w:ilvl w:val="0"/>
          <w:numId w:val="16"/>
        </w:numPr>
        <w:ind w:hanging="271"/>
      </w:pPr>
      <w:r>
        <w:rPr>
          <w:b/>
        </w:rPr>
        <w:t>Trezorem</w:t>
      </w:r>
      <w:r>
        <w:t xml:space="preserve"> se rozumí speciální úschovné objekty, jejichž odolnost proti vloupání je vyjádřena bezpečnostní třídou danou certifikátem shody s platnou normou ČSN EN 1143-1 a norem s ní souvisejících, který vydal certifikační orgán akreditovaný ČIA </w:t>
      </w:r>
      <w:r>
        <w:rPr>
          <w:i/>
        </w:rPr>
        <w:t>nebo</w:t>
      </w:r>
      <w:r>
        <w:t xml:space="preserve"> obdobný zahraniční certifikační orgán. Za trezor se nepovažuje ohnivzdorná skříň. </w:t>
      </w:r>
    </w:p>
    <w:p w:rsidR="007043CB" w:rsidRDefault="004B5C2E">
      <w:pPr>
        <w:ind w:left="271" w:firstLine="0"/>
      </w:pPr>
      <w:r>
        <w:t xml:space="preserve">Trezor o hmotnosti do 100 kg musí být pevně zabudovaný do zdiva, podlahy nebo nábytku takovým způsobem, že jej lze odnést pouze po jeho otevření nebo po vybourání ze zdi či podlahy. Trezor musí být ukotven či zazděn v souladu s pokyny výrobce. Za uzamykací mechanismus se považuje mechanický klíčový zámek, mechanický kódový zámek, elektronický klíčový zámek nebo elektronický kódový zámek. </w:t>
      </w:r>
    </w:p>
    <w:p w:rsidR="007043CB" w:rsidRDefault="004B5C2E">
      <w:pPr>
        <w:numPr>
          <w:ilvl w:val="0"/>
          <w:numId w:val="16"/>
        </w:numPr>
        <w:ind w:hanging="271"/>
      </w:pPr>
      <w:r>
        <w:rPr>
          <w:b/>
        </w:rPr>
        <w:t>Uzavřená kabela nebo kufřík</w:t>
      </w:r>
      <w:r>
        <w:t xml:space="preserve"> musí být opatřena minimálně jedním uzávěrem nebo zámkem a nesmí být zhotovena z látky, silonu a obdobných měkkých materiálů. </w:t>
      </w:r>
    </w:p>
    <w:p w:rsidR="007043CB" w:rsidRDefault="004B5C2E">
      <w:pPr>
        <w:numPr>
          <w:ilvl w:val="0"/>
          <w:numId w:val="16"/>
        </w:numPr>
        <w:ind w:hanging="271"/>
      </w:pPr>
      <w:r>
        <w:t xml:space="preserve">Za </w:t>
      </w:r>
      <w:r>
        <w:rPr>
          <w:b/>
        </w:rPr>
        <w:t>uzavřený osobní automobil</w:t>
      </w:r>
      <w:r>
        <w:t xml:space="preserve"> je považován automobil s uzavřenou kovovou karoserií (kromě prosklených částí). Plátěné či výměnné střechy se nepřipouští. Během přepravy jsou všechna otevíratelná okna uzavřena a dveře uzamčeny. </w:t>
      </w:r>
    </w:p>
    <w:p w:rsidR="007043CB" w:rsidRDefault="004B5C2E">
      <w:pPr>
        <w:spacing w:after="0" w:line="259" w:lineRule="auto"/>
        <w:ind w:left="0" w:firstLine="0"/>
        <w:jc w:val="left"/>
      </w:pPr>
      <w:r>
        <w:t xml:space="preserve"> </w:t>
      </w:r>
    </w:p>
    <w:p w:rsidR="007043CB" w:rsidRDefault="004B5C2E">
      <w:pPr>
        <w:spacing w:after="0" w:line="259" w:lineRule="auto"/>
        <w:ind w:left="0" w:firstLine="0"/>
        <w:jc w:val="left"/>
      </w:pPr>
      <w:r>
        <w:t xml:space="preserve"> </w:t>
      </w:r>
    </w:p>
    <w:p w:rsidR="007043CB" w:rsidRDefault="004B5C2E">
      <w:pPr>
        <w:numPr>
          <w:ilvl w:val="0"/>
          <w:numId w:val="16"/>
        </w:numPr>
        <w:ind w:hanging="271"/>
      </w:pPr>
      <w:r>
        <w:rPr>
          <w:b/>
        </w:rPr>
        <w:t>Uzavřeným prostorem</w:t>
      </w:r>
      <w:r>
        <w:t xml:space="preserve"> se rozumí prostor, ve kterém jsou uloženy pojištěné věci a který pojistník nebo pojištěný užívá sám a po právu. Prvky zabezpečující uzavřený prostor musí být provedeny tak, že z vnější přístupové strany je nelze demontovat běžnými nástroji, jako jsou šroubováky, kleště, montážní klíče apod., a nelze je z vnější přístupové strany překonat bez destruktivních metod. Podle charakteru materiálu, ze kterého jsou provedeny ohraničující konstrukce příslušného uzavřeného prostoru (plášť tvořený stěnami, podlahou, stropem, střechou, vstupními dveřmi, okny atd.), se </w:t>
      </w:r>
      <w:r>
        <w:rPr>
          <w:b/>
        </w:rPr>
        <w:t>uzavřený prostor</w:t>
      </w:r>
      <w:r>
        <w:t xml:space="preserve"> stavby nebo místnosti z hlediska odolnosti proti násilnému vniknutí rozlišuje na: </w:t>
      </w:r>
    </w:p>
    <w:p w:rsidR="007043CB" w:rsidRDefault="004B5C2E">
      <w:pPr>
        <w:numPr>
          <w:ilvl w:val="1"/>
          <w:numId w:val="16"/>
        </w:numPr>
        <w:ind w:hanging="274"/>
      </w:pPr>
      <w:r>
        <w:rPr>
          <w:b/>
        </w:rPr>
        <w:t>Typ A,</w:t>
      </w:r>
      <w:r>
        <w:t xml:space="preserve"> 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Stropy a podlahy musí vykazovat shodné vlastnosti. </w:t>
      </w:r>
    </w:p>
    <w:p w:rsidR="007043CB" w:rsidRDefault="004B5C2E">
      <w:pPr>
        <w:numPr>
          <w:ilvl w:val="1"/>
          <w:numId w:val="16"/>
        </w:numPr>
        <w:ind w:hanging="274"/>
      </w:pPr>
      <w:r>
        <w:rPr>
          <w:b/>
        </w:rPr>
        <w:t>Typ B,</w:t>
      </w:r>
      <w:r>
        <w:t xml:space="preserve"> uzavřený prostor typu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 Jde např. o obytné, kancelářské nebo stavební buňky, kiosky, maringotky apod.  </w:t>
      </w:r>
    </w:p>
    <w:p w:rsidR="007043CB" w:rsidRDefault="004B5C2E">
      <w:pPr>
        <w:numPr>
          <w:ilvl w:val="1"/>
          <w:numId w:val="16"/>
        </w:numPr>
        <w:ind w:hanging="274"/>
      </w:pPr>
      <w:r>
        <w:rPr>
          <w:b/>
        </w:rPr>
        <w:t>Typ C,</w:t>
      </w:r>
      <w:r>
        <w:t xml:space="preserve"> uzavřený prostor vnitřní - stavebně ohraničený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(příčky z pórobetonu, dutých cihel, sádrokartonu, dřeva apod.). Stropy a podlahy musí vykazovat shodné vlastnosti. </w:t>
      </w:r>
    </w:p>
    <w:p w:rsidR="007043CB" w:rsidRDefault="004B5C2E">
      <w:pPr>
        <w:numPr>
          <w:ilvl w:val="1"/>
          <w:numId w:val="16"/>
        </w:numPr>
        <w:ind w:hanging="274"/>
      </w:pPr>
      <w:r>
        <w:rPr>
          <w:b/>
        </w:rPr>
        <w:t xml:space="preserve">Speciální uzavřený prostor </w:t>
      </w:r>
      <w:r>
        <w:t xml:space="preserve">je stavebně ohraničený prostor, který tvoří řádně uzavřená a uzamčená místnost.  Stěny tohoto prostoru mají min. tloušťku 300 mm a jsou zhotoveny z plných cihel  nebo - z hlediska mechanické odolnosti - z jiného </w:t>
      </w:r>
      <w:r>
        <w:lastRenderedPageBreak/>
        <w:t xml:space="preserve">ekvivalentního materiálu. Stropy a podlahy musí vykazovat shodné vlastnosti. Za uzavřený prostor se nepovažuje prostor motorového vozidla. </w:t>
      </w:r>
    </w:p>
    <w:p w:rsidR="007043CB" w:rsidRDefault="004B5C2E">
      <w:pPr>
        <w:numPr>
          <w:ilvl w:val="0"/>
          <w:numId w:val="16"/>
        </w:numPr>
        <w:spacing w:after="33"/>
        <w:ind w:hanging="271"/>
      </w:pPr>
      <w:r>
        <w:rPr>
          <w:b/>
        </w:rPr>
        <w:t>Zabezpečením prosklených částí oken, dveří a jiných technických otvorů</w:t>
      </w:r>
      <w:r>
        <w:t xml:space="preserve"> s plochou větší než 600 cm</w:t>
      </w:r>
      <w:r>
        <w:rPr>
          <w:vertAlign w:val="superscript"/>
        </w:rPr>
        <w:t>2</w:t>
      </w:r>
      <w:r>
        <w:t xml:space="preserve"> se rozumí, že jakákoli okna, prosklené dveře nebo jejich části, světlíky, větrací šachty, výlohy, vitríny, prosklené stěny apod. s plochou větší než 600 cm</w:t>
      </w:r>
      <w:r>
        <w:rPr>
          <w:vertAlign w:val="superscript"/>
        </w:rPr>
        <w:t>2</w:t>
      </w:r>
      <w:r>
        <w:t xml:space="preserve">, které jsou níže než 2,5 m nad okolním terénem nebo 1,2 m od přístupové trasy (např. hromosvod, pevný požární žebřík, okno do nechráněného prostoru apod.), jsou zabezpečeny některým z dále uvedených způsobů: </w:t>
      </w:r>
    </w:p>
    <w:p w:rsidR="007043CB" w:rsidRDefault="004B5C2E">
      <w:pPr>
        <w:numPr>
          <w:ilvl w:val="1"/>
          <w:numId w:val="16"/>
        </w:numPr>
        <w:ind w:hanging="274"/>
      </w:pPr>
      <w:r>
        <w:rPr>
          <w:b/>
        </w:rPr>
        <w:t>Funkční mříží</w:t>
      </w:r>
      <w:r>
        <w:t>, jejíž ocelové prvky (pruty) jsou z plného materiálu, min. průřezu 1 cm</w:t>
      </w:r>
      <w:r>
        <w:rPr>
          <w:vertAlign w:val="superscript"/>
        </w:rPr>
        <w:t>2</w:t>
      </w:r>
      <w:r>
        <w:t>, osová vzdálenost prutů mřížových ok max. 20 x 20 cm (nebo jiná vzdálenost nepřevyšující však hodnotu plochy čtverce 400 cm</w:t>
      </w:r>
      <w:r>
        <w:rPr>
          <w:vertAlign w:val="superscript"/>
        </w:rPr>
        <w:t>2</w:t>
      </w:r>
      <w:r>
        <w:t>, tedy např. 25 x 15 cm). Mříž musí být dostatečně tuhá, odolná proti roztažení, pruty spojeny nerozebíratelně (svařením, snýtováním), z vnější strany musí být pevně, nerozebíratelným způsobem ukotvena (zazděna, zabetonována, připevněna) ve zdi nebo neotevíratelném rámu okna (či jiného otvoru) minimálně ve čtyřech kotevních bodech do hloubky min. 80 mm. V případě odnímatelné mříže musí být mříž uzamčena čtyřmi bezpečnostnímii visacími zámky (viz odst. 6.) Mříž opatřená dveřními závěsy nebo mříž navíjecí musí být uzamčena</w:t>
      </w:r>
      <w:r>
        <w:rPr>
          <w:i/>
        </w:rPr>
        <w:t xml:space="preserve"> </w:t>
      </w:r>
      <w:r>
        <w:t xml:space="preserve">jedním bezpečnostním uzamykacím systémem (viz odst. 7.) </w:t>
      </w:r>
      <w:r>
        <w:rPr>
          <w:i/>
        </w:rPr>
        <w:t xml:space="preserve">nebo </w:t>
      </w:r>
      <w:r>
        <w:t>dvěma bezpečnostními visacími zámky (viz odst. 6) n</w:t>
      </w:r>
      <w:r>
        <w:rPr>
          <w:i/>
        </w:rPr>
        <w:t>ebo</w:t>
      </w:r>
      <w:r>
        <w:t xml:space="preserve"> je navíjecí mříž vybavena mechanismem (např. u elektricky ovládané), který zabraňuje neoprávněné manipulaci a jejímu nadzvednutí. Mříž a její příslušenství lze z vnější strany demontovat pouze hrubým násilím (kladivo, sekáč, pilka na železo, rozbrušovačka apod.).  </w:t>
      </w:r>
    </w:p>
    <w:p w:rsidR="007043CB" w:rsidRDefault="004B5C2E">
      <w:pPr>
        <w:ind w:left="545" w:firstLine="0"/>
      </w:pPr>
      <w:r>
        <w:t xml:space="preserve">Nebude-li mříž splňovat výše uvedené požadavky, bude pojistitel za funkční mříž považovat pouze takovou mříž, která má mechanickou odolnost proti vloupání doloženou certifikátem a bude splňovat požadavky min. BT 3 podle ČSN P ENV 1627. </w:t>
      </w:r>
    </w:p>
    <w:p w:rsidR="007043CB" w:rsidRDefault="004B5C2E">
      <w:pPr>
        <w:ind w:left="545" w:firstLine="0"/>
      </w:pPr>
      <w:r>
        <w:t xml:space="preserve">Výše uvedené požadavky platí i pro mříže instalované v prostoru vstupních otvorů (dveří). </w:t>
      </w:r>
    </w:p>
    <w:p w:rsidR="007043CB" w:rsidRDefault="004B5C2E">
      <w:pPr>
        <w:numPr>
          <w:ilvl w:val="1"/>
          <w:numId w:val="16"/>
        </w:numPr>
        <w:ind w:hanging="274"/>
      </w:pPr>
      <w:r>
        <w:rPr>
          <w:b/>
        </w:rPr>
        <w:t>Funkční roletou</w:t>
      </w:r>
      <w:r>
        <w:t xml:space="preserve"> z vlnitého plechu nebo z ocelových či hliníkových lamel v bezpečnostním provedení doloženém certifikátem, jež bude splňovat požadavky min. BT 3 podle ČSN P ENV 1627. Požadavky na uzamčení rolety jsou shodné jako u výše uvedené mříže. Roletu a její příslušenství lze z vnější strany demontovat pouze hrubým násilím (kladivo, sekáč, pilka na železo, rozbrušovačka apod.). </w:t>
      </w:r>
    </w:p>
    <w:p w:rsidR="007043CB" w:rsidRDefault="004B5C2E">
      <w:pPr>
        <w:numPr>
          <w:ilvl w:val="1"/>
          <w:numId w:val="16"/>
        </w:numPr>
        <w:ind w:hanging="274"/>
      </w:pPr>
      <w:r>
        <w:rPr>
          <w:b/>
        </w:rPr>
        <w:t>Funkční okenicí</w:t>
      </w:r>
      <w:r>
        <w:t xml:space="preserve"> zajištěnou z vnitřního prostoru uzavíracími mechanismy včetně zabezpečení proti vyháčkování. Ukotvení závěsů včetně jejich vlastní konstrukce, pokud jsou použity, musí být nerozebíratelné z vnější strany, zhotoveno z mechanicky pevné, tvrdé konstrukce. Okenici lze překonat z vnější strany pouze hrubým násilím (kladivo, sekáč, pilka, rozbrušovačka apod.). </w:t>
      </w:r>
    </w:p>
    <w:p w:rsidR="007043CB" w:rsidRDefault="004B5C2E">
      <w:pPr>
        <w:numPr>
          <w:ilvl w:val="1"/>
          <w:numId w:val="16"/>
        </w:numPr>
        <w:ind w:hanging="274"/>
      </w:pPr>
      <w:r>
        <w:rPr>
          <w:b/>
        </w:rPr>
        <w:t>Bezpečnostním zasklením</w:t>
      </w:r>
      <w:r>
        <w:t xml:space="preserve"> (vrstveným sklem, sklem s drátěnou vložkou), které musí vykazovat kategorii odolnosti, pokud není požadováno jinak, min. třídy P2A podle ČSN EN 356. Bezpečnostní úroveň výrobku musí být ověřena zkušební laboratoří akreditovanou ČIA </w:t>
      </w:r>
      <w:r>
        <w:rPr>
          <w:i/>
        </w:rPr>
        <w:t>nebo</w:t>
      </w:r>
      <w:r>
        <w:t xml:space="preserve"> obdobným zahraničním certifikačním orgánem a vydáním příslušného osvědčení (protokol o zkoušce). </w:t>
      </w:r>
    </w:p>
    <w:p w:rsidR="007043CB" w:rsidRDefault="004B5C2E">
      <w:pPr>
        <w:numPr>
          <w:ilvl w:val="1"/>
          <w:numId w:val="16"/>
        </w:numPr>
        <w:ind w:hanging="274"/>
      </w:pPr>
      <w:r>
        <w:rPr>
          <w:b/>
        </w:rPr>
        <w:t>Bezpečnostní fólií</w:t>
      </w:r>
      <w:r>
        <w:t xml:space="preserve"> instalovanou na skle s min. tloušťkou 4 mm. Po montáži fólie na sklo musí sklo vykazovat kategorii odolnosti, pokud není požadováno jinak, min. třídy P2A dle ČSN EN 356. Fólii musí na sklo odborně instalovat firma, která má k této činnosti oprávnění. Fólie musí být nalepena na vnitřní stranu skla a musí zasahovat až na jeho okraj. Bezpečnostní úroveň výrobku musí být ověřena zkušební laboratoří akreditovanou ČIA </w:t>
      </w:r>
      <w:r>
        <w:rPr>
          <w:i/>
        </w:rPr>
        <w:t>nebo</w:t>
      </w:r>
      <w:r>
        <w:t xml:space="preserve"> obdobným zahraničním certifikačním orgánem a doložena příslušným osvědčením (protokol o zkoušce). </w:t>
      </w:r>
    </w:p>
    <w:p w:rsidR="007043CB" w:rsidRDefault="004B5C2E">
      <w:pPr>
        <w:numPr>
          <w:ilvl w:val="1"/>
          <w:numId w:val="16"/>
        </w:numPr>
        <w:ind w:hanging="274"/>
      </w:pPr>
      <w:r>
        <w:rPr>
          <w:b/>
        </w:rPr>
        <w:t>Funkčním PZTS</w:t>
      </w:r>
      <w:r>
        <w:t xml:space="preserve"> s detektory reagujícími na rozbití skla (akustický detektor). Není-li u příslušného limitu plnění požadována současně i instalace PZTS, musí být instalován PZTS min. s vývodem poplachového signálu na akustický hlásič umístěný min. 3 m nad okolním terénem. PZTS musí splňovat požadavky uvedené výše v odst. 10. </w:t>
      </w:r>
    </w:p>
    <w:p w:rsidR="007043CB" w:rsidRDefault="004B5C2E">
      <w:pPr>
        <w:spacing w:after="39" w:line="259" w:lineRule="auto"/>
        <w:ind w:left="0" w:firstLine="0"/>
        <w:jc w:val="left"/>
      </w:pPr>
      <w:r>
        <w:rPr>
          <w:b/>
        </w:rPr>
        <w:t xml:space="preserve"> </w:t>
      </w:r>
    </w:p>
    <w:p w:rsidR="007043CB" w:rsidRDefault="004B5C2E">
      <w:pPr>
        <w:spacing w:after="39" w:line="259" w:lineRule="auto"/>
        <w:ind w:left="0" w:firstLine="0"/>
        <w:jc w:val="left"/>
      </w:pPr>
      <w:r>
        <w:rPr>
          <w:b/>
        </w:rPr>
        <w:t xml:space="preserve"> </w:t>
      </w:r>
    </w:p>
    <w:p w:rsidR="007043CB" w:rsidRDefault="004B5C2E">
      <w:pPr>
        <w:spacing w:after="39" w:line="259" w:lineRule="auto"/>
        <w:ind w:left="0" w:firstLine="0"/>
        <w:jc w:val="left"/>
      </w:pPr>
      <w:r>
        <w:rPr>
          <w:b/>
        </w:rPr>
        <w:t xml:space="preserve"> </w:t>
      </w:r>
    </w:p>
    <w:p w:rsidR="007043CB" w:rsidRDefault="004B5C2E">
      <w:pPr>
        <w:spacing w:after="39" w:line="259" w:lineRule="auto"/>
        <w:ind w:left="0" w:firstLine="0"/>
        <w:jc w:val="left"/>
      </w:pPr>
      <w:r>
        <w:rPr>
          <w:b/>
        </w:rPr>
        <w:t xml:space="preserve"> </w:t>
      </w:r>
    </w:p>
    <w:p w:rsidR="007043CB" w:rsidRDefault="004B5C2E">
      <w:pPr>
        <w:spacing w:after="39" w:line="259" w:lineRule="auto"/>
        <w:ind w:left="0" w:firstLine="0"/>
        <w:jc w:val="left"/>
      </w:pPr>
      <w:r>
        <w:rPr>
          <w:b/>
        </w:rPr>
        <w:t xml:space="preserve"> </w:t>
      </w:r>
    </w:p>
    <w:p w:rsidR="007043CB" w:rsidRDefault="004B5C2E">
      <w:pPr>
        <w:spacing w:after="39" w:line="259" w:lineRule="auto"/>
        <w:ind w:left="0" w:firstLine="0"/>
        <w:jc w:val="left"/>
      </w:pPr>
      <w:r>
        <w:rPr>
          <w:b/>
        </w:rPr>
        <w:t xml:space="preserve"> </w:t>
      </w:r>
    </w:p>
    <w:p w:rsidR="007043CB" w:rsidRDefault="004B5C2E">
      <w:pPr>
        <w:spacing w:after="0" w:line="259" w:lineRule="auto"/>
        <w:ind w:left="0" w:firstLine="0"/>
        <w:jc w:val="left"/>
      </w:pPr>
      <w:r>
        <w:rPr>
          <w:b/>
        </w:rPr>
        <w:t xml:space="preserve"> </w:t>
      </w:r>
    </w:p>
    <w:p w:rsidR="007043CB" w:rsidRDefault="004B5C2E">
      <w:pPr>
        <w:spacing w:after="50" w:line="250" w:lineRule="auto"/>
        <w:ind w:left="-5" w:hanging="10"/>
        <w:jc w:val="left"/>
      </w:pPr>
      <w:r>
        <w:rPr>
          <w:b/>
        </w:rPr>
        <w:t>Doložka DOZ8 - Předepsané způsoby zabezpečení mobilních pracovních strojů proti odcizení</w:t>
      </w:r>
      <w:r>
        <w:t xml:space="preserve"> - Upřesnění (1201)</w:t>
      </w:r>
      <w:r>
        <w:rPr>
          <w:b/>
        </w:rPr>
        <w:t xml:space="preserve"> </w:t>
      </w:r>
    </w:p>
    <w:p w:rsidR="007043CB" w:rsidRDefault="004B5C2E">
      <w:pPr>
        <w:ind w:left="-15" w:firstLine="0"/>
      </w:pPr>
      <w:r>
        <w:t xml:space="preserve">Tato doložka stanoví způsoby zabezpečení v návaznosti na ustanovení DPP P – 310 / 08 – pro all risks pojištění mobilních pracovních strojů, podrobněji specifikuje zabezpečení pojištěných strojů proti krádeži. </w:t>
      </w:r>
    </w:p>
    <w:p w:rsidR="007043CB" w:rsidRDefault="004B5C2E">
      <w:pPr>
        <w:numPr>
          <w:ilvl w:val="0"/>
          <w:numId w:val="17"/>
        </w:numPr>
        <w:ind w:hanging="271"/>
      </w:pPr>
      <w:r>
        <w:t xml:space="preserve">Pojistník a pojištěný jsou povinni zajistit, aby v době pojistné události nastalé na pojištěném stroji uloženém v </w:t>
      </w:r>
      <w:r>
        <w:rPr>
          <w:b/>
        </w:rPr>
        <w:t>uzavřeném prostoru</w:t>
      </w:r>
      <w:r>
        <w:t xml:space="preserve"> byly splněny následující podmínky: </w:t>
      </w:r>
    </w:p>
    <w:p w:rsidR="007043CB" w:rsidRDefault="004B5C2E">
      <w:pPr>
        <w:numPr>
          <w:ilvl w:val="1"/>
          <w:numId w:val="17"/>
        </w:numPr>
      </w:pPr>
      <w:r>
        <w:t>otevíratelné otvory, jako jsou okna, výlohy, světlíky aj., zevnitř uzavřeny, pokud jsou otevíratelné zvenčí, uzamčeny; dveře, vrata, vstupy, vjezdy apod. řádně uzavřeny a uzamčeny; ostatní otvory o velikosti 600 cm</w:t>
      </w:r>
      <w:r>
        <w:rPr>
          <w:vertAlign w:val="superscript"/>
        </w:rPr>
        <w:t>2</w:t>
      </w:r>
      <w:r>
        <w:t xml:space="preserve"> a větší zevnitř zneprůchodněny, </w:t>
      </w:r>
    </w:p>
    <w:p w:rsidR="007043CB" w:rsidRDefault="004B5C2E">
      <w:pPr>
        <w:numPr>
          <w:ilvl w:val="1"/>
          <w:numId w:val="17"/>
        </w:numPr>
      </w:pPr>
      <w:r>
        <w:t xml:space="preserve">klíče od dveří a vstupů a klíče od spínacích skříněk mobilních pracovních strojů případně další zabezpečující prvky umožňující oprávněným osobám manipulace s těmito stroji (osobní čipy apod.) byly uloženy (uschovány) na jiném bezpečném místě (ne volně nebo viditelně) v uzamčené schránce nebo tyto klíče měla oprávněná osoba u sebe nebo při sobě. </w:t>
      </w:r>
    </w:p>
    <w:p w:rsidR="007043CB" w:rsidRDefault="004B5C2E">
      <w:pPr>
        <w:numPr>
          <w:ilvl w:val="1"/>
          <w:numId w:val="17"/>
        </w:numPr>
      </w:pPr>
      <w:r>
        <w:t xml:space="preserve">v případě ztráty nebo odcizení klíče od dveří a vstupů nebo případného dalšího zabezpečovacího prvku uzavřeného prostoru byla provedena výměna zámku nebo přestavení příslušného prvku zabezpečení. </w:t>
      </w:r>
    </w:p>
    <w:p w:rsidR="007043CB" w:rsidRDefault="004B5C2E">
      <w:pPr>
        <w:numPr>
          <w:ilvl w:val="0"/>
          <w:numId w:val="17"/>
        </w:numPr>
        <w:ind w:hanging="271"/>
      </w:pPr>
      <w:r>
        <w:t xml:space="preserve">Pojistník a pojištěný jsou povinni zajistit, aby v době pojistné události nastalé na pojištěném stroji uloženém v </w:t>
      </w:r>
      <w:r>
        <w:rPr>
          <w:b/>
        </w:rPr>
        <w:t>oploceném prostranství</w:t>
      </w:r>
      <w:r>
        <w:t xml:space="preserve"> byly splněny následující podmínky: </w:t>
      </w:r>
    </w:p>
    <w:p w:rsidR="007043CB" w:rsidRDefault="004B5C2E">
      <w:pPr>
        <w:numPr>
          <w:ilvl w:val="1"/>
          <w:numId w:val="17"/>
        </w:numPr>
      </w:pPr>
      <w:r>
        <w:t xml:space="preserve">klíče od dveří a vstupů a klíče od spínacích skříněk mobilních pracovních strojů případně další zabezpečující prvky umožňující oprávněným osobám manipulace s těmito stroji (osobní čipy apod.) byly uloženy (uschovány) na jiném bezpečném místě (ne volně nebo viditelně) v uzamčené schránce nebo tyto klíče měla oprávněná osoba u sebe nebo při sobě. </w:t>
      </w:r>
    </w:p>
    <w:p w:rsidR="007043CB" w:rsidRDefault="004B5C2E">
      <w:pPr>
        <w:numPr>
          <w:ilvl w:val="1"/>
          <w:numId w:val="17"/>
        </w:numPr>
      </w:pPr>
      <w:r>
        <w:t xml:space="preserve">v případě ztráty nebo odcizení klíče od dveří a vstupů nebo případného dalšího zabezpečovacího prvku oploceného prostranství byla provedena výměna zámku nebo přestavení příslušného prvku zabezpečení.   </w:t>
      </w:r>
    </w:p>
    <w:p w:rsidR="007043CB" w:rsidRDefault="004B5C2E">
      <w:pPr>
        <w:numPr>
          <w:ilvl w:val="0"/>
          <w:numId w:val="17"/>
        </w:numPr>
        <w:ind w:hanging="271"/>
      </w:pPr>
      <w:r>
        <w:lastRenderedPageBreak/>
        <w:t xml:space="preserve">Pojistník a pojištěný jsou povinni zajistit, aby v době pojistné události na pojištěném stroji uloženém mimo </w:t>
      </w:r>
      <w:r>
        <w:rPr>
          <w:b/>
        </w:rPr>
        <w:t xml:space="preserve">uzavřený </w:t>
      </w:r>
      <w:r>
        <w:t xml:space="preserve">prostor nebo </w:t>
      </w:r>
      <w:r>
        <w:rPr>
          <w:b/>
        </w:rPr>
        <w:t xml:space="preserve">oplocené prostranství </w:t>
      </w:r>
      <w:r>
        <w:t xml:space="preserve">byly splněny následující podmínky:  </w:t>
      </w:r>
    </w:p>
    <w:p w:rsidR="007043CB" w:rsidRDefault="004B5C2E">
      <w:pPr>
        <w:numPr>
          <w:ilvl w:val="1"/>
          <w:numId w:val="17"/>
        </w:numPr>
      </w:pPr>
      <w:r>
        <w:t xml:space="preserve">klíče od dveří pojištěných strojů a klíče od spínacích skříněk mobilních pracovních strojů případně další zabezpečující prvky umožňující oprávněným osobám manipulace s těmito stroji (osobní čipy apod.) byly uloženy (uschovány) na jiném bezpečném místě (ne volně nebo viditelně) v uzamčené schránce nebo tyto klíče měla oprávněná osoba u sebe nebo při sobě. </w:t>
      </w:r>
    </w:p>
    <w:p w:rsidR="007043CB" w:rsidRDefault="004B5C2E">
      <w:pPr>
        <w:numPr>
          <w:ilvl w:val="0"/>
          <w:numId w:val="17"/>
        </w:numPr>
        <w:ind w:hanging="271"/>
      </w:pPr>
      <w:r>
        <w:t xml:space="preserve">Pojistitel může vyžadovat způsob zabezpečení vyššího stupně, pokud usoudí, že jde o vyšší riziko vzhledem k charakteru a hodnotě uloženého majetku. </w:t>
      </w:r>
    </w:p>
    <w:p w:rsidR="007043CB" w:rsidRDefault="004B5C2E">
      <w:pPr>
        <w:numPr>
          <w:ilvl w:val="0"/>
          <w:numId w:val="17"/>
        </w:numPr>
        <w:ind w:hanging="271"/>
      </w:pPr>
      <w:r>
        <w:t xml:space="preserve">Mobilní pracovní stroje musí být řádně uzavřeny a uzamčeny, zabezpečeny proti samovolnému pohybu a všechny instalované bezpečnostní systémy v aktivním stavu. </w:t>
      </w:r>
    </w:p>
    <w:p w:rsidR="007043CB" w:rsidRDefault="004B5C2E">
      <w:pPr>
        <w:numPr>
          <w:ilvl w:val="0"/>
          <w:numId w:val="17"/>
        </w:numPr>
        <w:ind w:hanging="271"/>
      </w:pPr>
      <w:r>
        <w:t xml:space="preserve">Požadavky na další zabezpečení pojištěných strojů jsou uvedeny dále v tabulkách č. 1-5. </w:t>
      </w:r>
    </w:p>
    <w:p w:rsidR="007043CB" w:rsidRDefault="004B5C2E">
      <w:pPr>
        <w:numPr>
          <w:ilvl w:val="0"/>
          <w:numId w:val="17"/>
        </w:numPr>
        <w:ind w:hanging="271"/>
      </w:pPr>
      <w:r>
        <w:t xml:space="preserve">Pro mobilní stroj s hodnotou vyšší než 10 mil. Kč je požadavkem na zabezpečení instalovaný a funkční satelitní vyhledávací systém. </w:t>
      </w:r>
    </w:p>
    <w:p w:rsidR="007043CB" w:rsidRDefault="004B5C2E">
      <w:pPr>
        <w:numPr>
          <w:ilvl w:val="0"/>
          <w:numId w:val="17"/>
        </w:numPr>
        <w:ind w:hanging="271"/>
      </w:pPr>
      <w:r>
        <w:t xml:space="preserve">Nedílnou součástí této doložky je výklad pojmů uvedený v doložce DOZ5. </w:t>
      </w:r>
    </w:p>
    <w:p w:rsidR="007043CB" w:rsidRDefault="004B5C2E">
      <w:pPr>
        <w:spacing w:after="0" w:line="259" w:lineRule="auto"/>
        <w:ind w:left="0" w:firstLine="0"/>
        <w:jc w:val="left"/>
      </w:pPr>
      <w:r>
        <w:t xml:space="preserve"> </w:t>
      </w:r>
    </w:p>
    <w:p w:rsidR="007043CB" w:rsidRDefault="004B5C2E">
      <w:pPr>
        <w:spacing w:after="7" w:line="250" w:lineRule="auto"/>
        <w:ind w:left="-5" w:hanging="10"/>
        <w:jc w:val="left"/>
      </w:pPr>
      <w:r>
        <w:rPr>
          <w:b/>
        </w:rPr>
        <w:t xml:space="preserve">Požadavky na způsoby zabezpečení mobilních pracovních strojů (kromě přípojných strojů) </w:t>
      </w:r>
    </w:p>
    <w:p w:rsidR="007043CB" w:rsidRDefault="004B5C2E">
      <w:pPr>
        <w:ind w:left="-15" w:firstLine="0"/>
      </w:pPr>
      <w:r>
        <w:rPr>
          <w:b/>
        </w:rPr>
        <w:t>Tab. č. 1</w:t>
      </w:r>
      <w:r>
        <w:t xml:space="preserve"> Mobilní pracovní stroje s provozní hmotností do 1 000 kg  </w:t>
      </w:r>
    </w:p>
    <w:tbl>
      <w:tblPr>
        <w:tblStyle w:val="TableGrid"/>
        <w:tblW w:w="9076" w:type="dxa"/>
        <w:tblInd w:w="-70" w:type="dxa"/>
        <w:tblCellMar>
          <w:top w:w="34" w:type="dxa"/>
          <w:left w:w="70" w:type="dxa"/>
          <w:right w:w="67" w:type="dxa"/>
        </w:tblCellMar>
        <w:tblLook w:val="04A0" w:firstRow="1" w:lastRow="0" w:firstColumn="1" w:lastColumn="0" w:noHBand="0" w:noVBand="1"/>
      </w:tblPr>
      <w:tblGrid>
        <w:gridCol w:w="1294"/>
        <w:gridCol w:w="2558"/>
        <w:gridCol w:w="5224"/>
      </w:tblGrid>
      <w:tr w:rsidR="007043CB">
        <w:trPr>
          <w:trHeight w:val="328"/>
        </w:trPr>
        <w:tc>
          <w:tcPr>
            <w:tcW w:w="1294" w:type="dxa"/>
            <w:vMerge w:val="restart"/>
            <w:tcBorders>
              <w:top w:val="single" w:sz="2" w:space="0" w:color="000000"/>
              <w:left w:val="single" w:sz="2" w:space="0" w:color="000000"/>
              <w:bottom w:val="single" w:sz="12" w:space="0" w:color="000000"/>
              <w:right w:val="single" w:sz="2" w:space="0" w:color="000000"/>
            </w:tcBorders>
            <w:shd w:val="clear" w:color="auto" w:fill="CCCCCC"/>
            <w:vAlign w:val="center"/>
          </w:tcPr>
          <w:p w:rsidR="007043CB" w:rsidRDefault="004B5C2E">
            <w:pPr>
              <w:spacing w:after="0" w:line="259" w:lineRule="auto"/>
              <w:ind w:left="0" w:right="4" w:firstLine="0"/>
              <w:jc w:val="center"/>
            </w:pPr>
            <w:r>
              <w:rPr>
                <w:b/>
                <w:sz w:val="16"/>
              </w:rPr>
              <w:t xml:space="preserve">Umístění </w:t>
            </w:r>
          </w:p>
        </w:tc>
        <w:tc>
          <w:tcPr>
            <w:tcW w:w="7782" w:type="dxa"/>
            <w:gridSpan w:val="2"/>
            <w:tcBorders>
              <w:top w:val="single" w:sz="2" w:space="0" w:color="000000"/>
              <w:left w:val="single" w:sz="2" w:space="0" w:color="000000"/>
              <w:bottom w:val="single" w:sz="11" w:space="0" w:color="CCCCCC"/>
              <w:right w:val="single" w:sz="2" w:space="0" w:color="000000"/>
            </w:tcBorders>
            <w:shd w:val="clear" w:color="auto" w:fill="CCCCCC"/>
          </w:tcPr>
          <w:p w:rsidR="007043CB" w:rsidRDefault="004B5C2E">
            <w:pPr>
              <w:spacing w:after="0" w:line="259" w:lineRule="auto"/>
              <w:ind w:left="0" w:right="10" w:firstLine="0"/>
              <w:jc w:val="center"/>
            </w:pPr>
            <w:r>
              <w:rPr>
                <w:b/>
                <w:sz w:val="16"/>
              </w:rPr>
              <w:t xml:space="preserve">Požadovaný minimální způsob zabezpečení  </w:t>
            </w:r>
          </w:p>
        </w:tc>
      </w:tr>
      <w:tr w:rsidR="007043CB">
        <w:trPr>
          <w:trHeight w:val="882"/>
        </w:trPr>
        <w:tc>
          <w:tcPr>
            <w:tcW w:w="0" w:type="auto"/>
            <w:vMerge/>
            <w:tcBorders>
              <w:top w:val="nil"/>
              <w:left w:val="single" w:sz="2" w:space="0" w:color="000000"/>
              <w:bottom w:val="single" w:sz="12" w:space="0" w:color="000000"/>
              <w:right w:val="single" w:sz="2" w:space="0" w:color="000000"/>
            </w:tcBorders>
          </w:tcPr>
          <w:p w:rsidR="007043CB" w:rsidRDefault="007043CB">
            <w:pPr>
              <w:spacing w:after="160" w:line="259" w:lineRule="auto"/>
              <w:ind w:left="0" w:firstLine="0"/>
              <w:jc w:val="left"/>
            </w:pPr>
          </w:p>
        </w:tc>
        <w:tc>
          <w:tcPr>
            <w:tcW w:w="2558" w:type="dxa"/>
            <w:tcBorders>
              <w:top w:val="single" w:sz="11" w:space="0" w:color="CCCCCC"/>
              <w:left w:val="single" w:sz="2" w:space="0" w:color="000000"/>
              <w:bottom w:val="single" w:sz="12" w:space="0" w:color="000000"/>
              <w:right w:val="single" w:sz="2" w:space="0" w:color="000000"/>
            </w:tcBorders>
            <w:shd w:val="clear" w:color="auto" w:fill="CCCCCC"/>
            <w:vAlign w:val="center"/>
          </w:tcPr>
          <w:p w:rsidR="007043CB" w:rsidRDefault="004B5C2E">
            <w:pPr>
              <w:spacing w:after="0" w:line="259" w:lineRule="auto"/>
              <w:ind w:left="0" w:right="6" w:firstLine="0"/>
              <w:jc w:val="center"/>
            </w:pPr>
            <w:r>
              <w:rPr>
                <w:b/>
                <w:sz w:val="16"/>
              </w:rPr>
              <w:t xml:space="preserve">Prvek zabezpečení </w:t>
            </w:r>
          </w:p>
        </w:tc>
        <w:tc>
          <w:tcPr>
            <w:tcW w:w="5223" w:type="dxa"/>
            <w:tcBorders>
              <w:top w:val="single" w:sz="11" w:space="0" w:color="CCCCCC"/>
              <w:left w:val="single" w:sz="2" w:space="0" w:color="000000"/>
              <w:bottom w:val="single" w:sz="12" w:space="0" w:color="000000"/>
              <w:right w:val="single" w:sz="2" w:space="0" w:color="000000"/>
            </w:tcBorders>
            <w:shd w:val="clear" w:color="auto" w:fill="CCCCCC"/>
            <w:vAlign w:val="center"/>
          </w:tcPr>
          <w:p w:rsidR="007043CB" w:rsidRDefault="004B5C2E">
            <w:pPr>
              <w:spacing w:after="0" w:line="259" w:lineRule="auto"/>
              <w:ind w:left="0" w:right="3" w:firstLine="0"/>
              <w:jc w:val="center"/>
            </w:pPr>
            <w:r>
              <w:rPr>
                <w:b/>
                <w:sz w:val="16"/>
              </w:rPr>
              <w:t xml:space="preserve">Kvalita prvku zabezpečení </w:t>
            </w:r>
          </w:p>
        </w:tc>
      </w:tr>
      <w:tr w:rsidR="007043CB">
        <w:trPr>
          <w:trHeight w:val="335"/>
        </w:trPr>
        <w:tc>
          <w:tcPr>
            <w:tcW w:w="1294" w:type="dxa"/>
            <w:vMerge w:val="restart"/>
            <w:tcBorders>
              <w:top w:val="single" w:sz="12" w:space="0" w:color="000000"/>
              <w:left w:val="single" w:sz="2" w:space="0" w:color="000000"/>
              <w:bottom w:val="single" w:sz="2" w:space="0" w:color="000000"/>
              <w:right w:val="single" w:sz="2" w:space="0" w:color="000000"/>
            </w:tcBorders>
            <w:vAlign w:val="center"/>
          </w:tcPr>
          <w:p w:rsidR="007043CB" w:rsidRDefault="004B5C2E">
            <w:pPr>
              <w:spacing w:after="0" w:line="259" w:lineRule="auto"/>
              <w:ind w:left="0" w:right="7" w:firstLine="0"/>
              <w:jc w:val="center"/>
            </w:pPr>
            <w:r>
              <w:rPr>
                <w:b/>
                <w:sz w:val="16"/>
              </w:rPr>
              <w:t xml:space="preserve">uzavřený </w:t>
            </w:r>
          </w:p>
          <w:p w:rsidR="007043CB" w:rsidRDefault="004B5C2E">
            <w:pPr>
              <w:spacing w:after="0" w:line="259" w:lineRule="auto"/>
              <w:ind w:left="35" w:firstLine="0"/>
              <w:jc w:val="left"/>
            </w:pPr>
            <w:r>
              <w:rPr>
                <w:b/>
                <w:sz w:val="16"/>
              </w:rPr>
              <w:t xml:space="preserve">prostor typu A, </w:t>
            </w:r>
          </w:p>
          <w:p w:rsidR="007043CB" w:rsidRDefault="004B5C2E">
            <w:pPr>
              <w:spacing w:after="0" w:line="259" w:lineRule="auto"/>
              <w:ind w:left="0" w:right="5" w:firstLine="0"/>
              <w:jc w:val="center"/>
            </w:pPr>
            <w:r>
              <w:rPr>
                <w:b/>
                <w:sz w:val="16"/>
              </w:rPr>
              <w:t xml:space="preserve">B nebo C </w:t>
            </w:r>
          </w:p>
        </w:tc>
        <w:tc>
          <w:tcPr>
            <w:tcW w:w="2558" w:type="dxa"/>
            <w:tcBorders>
              <w:top w:val="single" w:sz="12" w:space="0" w:color="000000"/>
              <w:left w:val="single" w:sz="2" w:space="0" w:color="000000"/>
              <w:bottom w:val="single" w:sz="2" w:space="0" w:color="000000"/>
              <w:right w:val="single" w:sz="2" w:space="0" w:color="000000"/>
            </w:tcBorders>
          </w:tcPr>
          <w:p w:rsidR="007043CB" w:rsidRDefault="004B5C2E">
            <w:pPr>
              <w:spacing w:after="0" w:line="259" w:lineRule="auto"/>
              <w:ind w:left="0" w:right="5" w:firstLine="0"/>
              <w:jc w:val="center"/>
            </w:pPr>
            <w:r>
              <w:rPr>
                <w:sz w:val="16"/>
              </w:rPr>
              <w:t xml:space="preserve">dveře </w:t>
            </w:r>
          </w:p>
        </w:tc>
        <w:tc>
          <w:tcPr>
            <w:tcW w:w="5223" w:type="dxa"/>
            <w:tcBorders>
              <w:top w:val="single" w:sz="12" w:space="0" w:color="000000"/>
              <w:left w:val="single" w:sz="2" w:space="0" w:color="000000"/>
              <w:bottom w:val="single" w:sz="2" w:space="0" w:color="000000"/>
              <w:right w:val="single" w:sz="2" w:space="0" w:color="000000"/>
            </w:tcBorders>
          </w:tcPr>
          <w:p w:rsidR="007043CB" w:rsidRDefault="004B5C2E">
            <w:pPr>
              <w:spacing w:after="0" w:line="259" w:lineRule="auto"/>
              <w:ind w:left="0" w:firstLine="0"/>
              <w:jc w:val="left"/>
            </w:pPr>
            <w:r>
              <w:rPr>
                <w:rFonts w:ascii="Wingdings" w:eastAsia="Wingdings" w:hAnsi="Wingdings" w:cs="Wingdings"/>
                <w:sz w:val="16"/>
              </w:rPr>
              <w:t></w:t>
            </w:r>
            <w:r>
              <w:rPr>
                <w:rFonts w:ascii="Arial" w:eastAsia="Arial" w:hAnsi="Arial" w:cs="Arial"/>
                <w:sz w:val="16"/>
              </w:rPr>
              <w:t xml:space="preserve"> </w:t>
            </w:r>
            <w:r>
              <w:rPr>
                <w:b/>
                <w:sz w:val="16"/>
              </w:rPr>
              <w:t xml:space="preserve">plné </w:t>
            </w:r>
          </w:p>
        </w:tc>
      </w:tr>
      <w:tr w:rsidR="007043CB">
        <w:trPr>
          <w:trHeight w:val="607"/>
        </w:trPr>
        <w:tc>
          <w:tcPr>
            <w:tcW w:w="0" w:type="auto"/>
            <w:vMerge/>
            <w:tcBorders>
              <w:top w:val="nil"/>
              <w:left w:val="single" w:sz="2" w:space="0" w:color="000000"/>
              <w:bottom w:val="single" w:sz="2" w:space="0" w:color="000000"/>
              <w:right w:val="single" w:sz="2" w:space="0" w:color="000000"/>
            </w:tcBorders>
          </w:tcPr>
          <w:p w:rsidR="007043CB" w:rsidRDefault="007043CB">
            <w:pPr>
              <w:spacing w:after="160" w:line="259" w:lineRule="auto"/>
              <w:ind w:left="0" w:firstLine="0"/>
              <w:jc w:val="left"/>
            </w:pPr>
          </w:p>
        </w:tc>
        <w:tc>
          <w:tcPr>
            <w:tcW w:w="2558" w:type="dxa"/>
            <w:tcBorders>
              <w:top w:val="single" w:sz="2" w:space="0" w:color="000000"/>
              <w:left w:val="single" w:sz="2" w:space="0" w:color="000000"/>
              <w:bottom w:val="single" w:sz="2" w:space="0" w:color="000000"/>
              <w:right w:val="single" w:sz="2" w:space="0" w:color="000000"/>
            </w:tcBorders>
            <w:vAlign w:val="center"/>
          </w:tcPr>
          <w:p w:rsidR="007043CB" w:rsidRDefault="004B5C2E">
            <w:pPr>
              <w:spacing w:after="0" w:line="259" w:lineRule="auto"/>
              <w:ind w:left="0" w:right="6" w:firstLine="0"/>
              <w:jc w:val="center"/>
            </w:pPr>
            <w:r>
              <w:rPr>
                <w:sz w:val="16"/>
              </w:rPr>
              <w:t xml:space="preserve">zámek vstupů </w:t>
            </w:r>
          </w:p>
        </w:tc>
        <w:tc>
          <w:tcPr>
            <w:tcW w:w="5223" w:type="dxa"/>
            <w:tcBorders>
              <w:top w:val="single" w:sz="2" w:space="0" w:color="000000"/>
              <w:left w:val="single" w:sz="2" w:space="0" w:color="000000"/>
              <w:bottom w:val="single" w:sz="2" w:space="0" w:color="000000"/>
              <w:right w:val="single" w:sz="2" w:space="0" w:color="000000"/>
            </w:tcBorders>
          </w:tcPr>
          <w:p w:rsidR="007043CB" w:rsidRDefault="004B5C2E">
            <w:pPr>
              <w:numPr>
                <w:ilvl w:val="0"/>
                <w:numId w:val="91"/>
              </w:numPr>
              <w:spacing w:after="22" w:line="239" w:lineRule="auto"/>
              <w:ind w:right="710" w:firstLine="0"/>
              <w:jc w:val="left"/>
            </w:pPr>
            <w:r>
              <w:rPr>
                <w:sz w:val="16"/>
              </w:rPr>
              <w:t>zámek s</w:t>
            </w:r>
            <w:r>
              <w:rPr>
                <w:b/>
                <w:sz w:val="16"/>
              </w:rPr>
              <w:t xml:space="preserve"> bezpečnostní cylindrickou vložkou</w:t>
            </w:r>
            <w:r>
              <w:rPr>
                <w:i/>
                <w:sz w:val="16"/>
              </w:rPr>
              <w:t xml:space="preserve"> </w:t>
            </w:r>
            <w:r>
              <w:rPr>
                <w:sz w:val="16"/>
              </w:rPr>
              <w:t xml:space="preserve"> </w:t>
            </w:r>
            <w:r>
              <w:rPr>
                <w:i/>
                <w:sz w:val="16"/>
              </w:rPr>
              <w:t>nebo</w:t>
            </w:r>
            <w:r>
              <w:rPr>
                <w:sz w:val="16"/>
              </w:rPr>
              <w:t xml:space="preserve"> </w:t>
            </w:r>
          </w:p>
          <w:p w:rsidR="007043CB" w:rsidRDefault="004B5C2E">
            <w:pPr>
              <w:numPr>
                <w:ilvl w:val="0"/>
                <w:numId w:val="91"/>
              </w:numPr>
              <w:spacing w:after="0" w:line="259" w:lineRule="auto"/>
              <w:ind w:right="710" w:firstLine="0"/>
              <w:jc w:val="left"/>
            </w:pPr>
            <w:r>
              <w:rPr>
                <w:b/>
                <w:sz w:val="16"/>
              </w:rPr>
              <w:t>bezpečnostní visací zámek</w:t>
            </w:r>
            <w:r>
              <w:rPr>
                <w:sz w:val="16"/>
              </w:rPr>
              <w:t xml:space="preserve"> </w:t>
            </w:r>
          </w:p>
        </w:tc>
      </w:tr>
      <w:tr w:rsidR="007043CB">
        <w:trPr>
          <w:trHeight w:val="317"/>
        </w:trPr>
        <w:tc>
          <w:tcPr>
            <w:tcW w:w="1294" w:type="dxa"/>
            <w:vMerge w:val="restart"/>
            <w:tcBorders>
              <w:top w:val="single" w:sz="2" w:space="0" w:color="000000"/>
              <w:left w:val="single" w:sz="2" w:space="0" w:color="000000"/>
              <w:bottom w:val="single" w:sz="2" w:space="0" w:color="000000"/>
              <w:right w:val="single" w:sz="2" w:space="0" w:color="000000"/>
            </w:tcBorders>
            <w:vAlign w:val="center"/>
          </w:tcPr>
          <w:p w:rsidR="007043CB" w:rsidRDefault="004B5C2E">
            <w:pPr>
              <w:spacing w:after="0" w:line="259" w:lineRule="auto"/>
              <w:ind w:left="0" w:firstLine="0"/>
              <w:jc w:val="center"/>
            </w:pPr>
            <w:r>
              <w:rPr>
                <w:b/>
                <w:sz w:val="16"/>
              </w:rPr>
              <w:t xml:space="preserve">oplocené prostranství </w:t>
            </w:r>
          </w:p>
        </w:tc>
        <w:tc>
          <w:tcPr>
            <w:tcW w:w="2558" w:type="dxa"/>
            <w:tcBorders>
              <w:top w:val="single" w:sz="2" w:space="0" w:color="000000"/>
              <w:left w:val="single" w:sz="2" w:space="0" w:color="000000"/>
              <w:bottom w:val="single" w:sz="2" w:space="0" w:color="000000"/>
              <w:right w:val="single" w:sz="2" w:space="0" w:color="000000"/>
            </w:tcBorders>
          </w:tcPr>
          <w:p w:rsidR="007043CB" w:rsidRDefault="004B5C2E">
            <w:pPr>
              <w:spacing w:after="0" w:line="259" w:lineRule="auto"/>
              <w:ind w:left="0" w:right="3" w:firstLine="0"/>
              <w:jc w:val="center"/>
            </w:pPr>
            <w:r>
              <w:rPr>
                <w:sz w:val="16"/>
              </w:rPr>
              <w:t xml:space="preserve">oplocení </w:t>
            </w:r>
          </w:p>
        </w:tc>
        <w:tc>
          <w:tcPr>
            <w:tcW w:w="5223" w:type="dxa"/>
            <w:tcBorders>
              <w:top w:val="single" w:sz="2" w:space="0" w:color="000000"/>
              <w:left w:val="single" w:sz="2" w:space="0" w:color="000000"/>
              <w:bottom w:val="single" w:sz="2" w:space="0" w:color="000000"/>
              <w:right w:val="single" w:sz="2" w:space="0" w:color="000000"/>
            </w:tcBorders>
          </w:tcPr>
          <w:p w:rsidR="007043CB" w:rsidRDefault="004B5C2E">
            <w:pPr>
              <w:spacing w:after="0" w:line="259" w:lineRule="auto"/>
              <w:ind w:left="0" w:firstLine="0"/>
              <w:jc w:val="left"/>
            </w:pPr>
            <w:r>
              <w:rPr>
                <w:rFonts w:ascii="Wingdings" w:eastAsia="Wingdings" w:hAnsi="Wingdings" w:cs="Wingdings"/>
                <w:sz w:val="16"/>
              </w:rPr>
              <w:t></w:t>
            </w:r>
            <w:r>
              <w:rPr>
                <w:rFonts w:ascii="Arial" w:eastAsia="Arial" w:hAnsi="Arial" w:cs="Arial"/>
                <w:sz w:val="16"/>
              </w:rPr>
              <w:t xml:space="preserve"> </w:t>
            </w:r>
            <w:r>
              <w:rPr>
                <w:sz w:val="16"/>
              </w:rPr>
              <w:t xml:space="preserve">výška oplocení 180 cm </w:t>
            </w:r>
          </w:p>
        </w:tc>
      </w:tr>
      <w:tr w:rsidR="007043CB">
        <w:trPr>
          <w:trHeight w:val="581"/>
        </w:trPr>
        <w:tc>
          <w:tcPr>
            <w:tcW w:w="0" w:type="auto"/>
            <w:vMerge/>
            <w:tcBorders>
              <w:top w:val="nil"/>
              <w:left w:val="single" w:sz="2" w:space="0" w:color="000000"/>
              <w:bottom w:val="nil"/>
              <w:right w:val="single" w:sz="2" w:space="0" w:color="000000"/>
            </w:tcBorders>
          </w:tcPr>
          <w:p w:rsidR="007043CB" w:rsidRDefault="007043CB">
            <w:pPr>
              <w:spacing w:after="160" w:line="259" w:lineRule="auto"/>
              <w:ind w:left="0" w:firstLine="0"/>
              <w:jc w:val="left"/>
            </w:pPr>
          </w:p>
        </w:tc>
        <w:tc>
          <w:tcPr>
            <w:tcW w:w="2558" w:type="dxa"/>
            <w:tcBorders>
              <w:top w:val="single" w:sz="2" w:space="0" w:color="000000"/>
              <w:left w:val="single" w:sz="2" w:space="0" w:color="000000"/>
              <w:bottom w:val="single" w:sz="2" w:space="0" w:color="000000"/>
              <w:right w:val="single" w:sz="2" w:space="0" w:color="000000"/>
            </w:tcBorders>
            <w:vAlign w:val="center"/>
          </w:tcPr>
          <w:p w:rsidR="007043CB" w:rsidRDefault="004B5C2E">
            <w:pPr>
              <w:spacing w:after="0" w:line="259" w:lineRule="auto"/>
              <w:ind w:left="0" w:right="6" w:firstLine="0"/>
              <w:jc w:val="center"/>
            </w:pPr>
            <w:r>
              <w:rPr>
                <w:sz w:val="16"/>
              </w:rPr>
              <w:t xml:space="preserve">zámek vstupů </w:t>
            </w:r>
          </w:p>
        </w:tc>
        <w:tc>
          <w:tcPr>
            <w:tcW w:w="5223" w:type="dxa"/>
            <w:tcBorders>
              <w:top w:val="single" w:sz="2" w:space="0" w:color="000000"/>
              <w:left w:val="single" w:sz="2" w:space="0" w:color="000000"/>
              <w:bottom w:val="single" w:sz="2" w:space="0" w:color="000000"/>
              <w:right w:val="single" w:sz="2" w:space="0" w:color="000000"/>
            </w:tcBorders>
          </w:tcPr>
          <w:p w:rsidR="007043CB" w:rsidRDefault="004B5C2E">
            <w:pPr>
              <w:numPr>
                <w:ilvl w:val="0"/>
                <w:numId w:val="92"/>
              </w:numPr>
              <w:spacing w:after="24" w:line="236" w:lineRule="auto"/>
              <w:ind w:right="710" w:firstLine="0"/>
              <w:jc w:val="left"/>
            </w:pPr>
            <w:r>
              <w:rPr>
                <w:sz w:val="16"/>
              </w:rPr>
              <w:t>zámek s</w:t>
            </w:r>
            <w:r>
              <w:rPr>
                <w:b/>
                <w:sz w:val="16"/>
              </w:rPr>
              <w:t xml:space="preserve"> bezpečnostní cylindrickou vložkou</w:t>
            </w:r>
            <w:r>
              <w:rPr>
                <w:i/>
                <w:sz w:val="16"/>
              </w:rPr>
              <w:t xml:space="preserve"> </w:t>
            </w:r>
            <w:r>
              <w:rPr>
                <w:sz w:val="16"/>
              </w:rPr>
              <w:t xml:space="preserve"> </w:t>
            </w:r>
            <w:r>
              <w:rPr>
                <w:i/>
                <w:sz w:val="16"/>
              </w:rPr>
              <w:t>nebo</w:t>
            </w:r>
            <w:r>
              <w:rPr>
                <w:sz w:val="16"/>
              </w:rPr>
              <w:t xml:space="preserve"> </w:t>
            </w:r>
          </w:p>
          <w:p w:rsidR="007043CB" w:rsidRDefault="004B5C2E">
            <w:pPr>
              <w:numPr>
                <w:ilvl w:val="0"/>
                <w:numId w:val="92"/>
              </w:numPr>
              <w:spacing w:after="0" w:line="259" w:lineRule="auto"/>
              <w:ind w:right="710" w:firstLine="0"/>
              <w:jc w:val="left"/>
            </w:pPr>
            <w:r>
              <w:rPr>
                <w:b/>
                <w:sz w:val="16"/>
              </w:rPr>
              <w:t>bezpečnostní visací zámek</w:t>
            </w:r>
            <w:r>
              <w:rPr>
                <w:sz w:val="16"/>
              </w:rPr>
              <w:t xml:space="preserve"> </w:t>
            </w:r>
          </w:p>
        </w:tc>
      </w:tr>
      <w:tr w:rsidR="007043CB">
        <w:trPr>
          <w:trHeight w:val="674"/>
        </w:trPr>
        <w:tc>
          <w:tcPr>
            <w:tcW w:w="0" w:type="auto"/>
            <w:vMerge/>
            <w:tcBorders>
              <w:top w:val="nil"/>
              <w:left w:val="single" w:sz="2" w:space="0" w:color="000000"/>
              <w:bottom w:val="single" w:sz="2" w:space="0" w:color="000000"/>
              <w:right w:val="single" w:sz="2" w:space="0" w:color="000000"/>
            </w:tcBorders>
          </w:tcPr>
          <w:p w:rsidR="007043CB" w:rsidRDefault="007043CB">
            <w:pPr>
              <w:spacing w:after="160" w:line="259" w:lineRule="auto"/>
              <w:ind w:left="0" w:firstLine="0"/>
              <w:jc w:val="left"/>
            </w:pPr>
          </w:p>
        </w:tc>
        <w:tc>
          <w:tcPr>
            <w:tcW w:w="2558" w:type="dxa"/>
            <w:tcBorders>
              <w:top w:val="single" w:sz="2" w:space="0" w:color="000000"/>
              <w:left w:val="single" w:sz="2" w:space="0" w:color="000000"/>
              <w:bottom w:val="single" w:sz="2" w:space="0" w:color="000000"/>
              <w:right w:val="single" w:sz="2" w:space="0" w:color="000000"/>
            </w:tcBorders>
            <w:vAlign w:val="center"/>
          </w:tcPr>
          <w:p w:rsidR="007043CB" w:rsidRDefault="004B5C2E">
            <w:pPr>
              <w:spacing w:after="0" w:line="259" w:lineRule="auto"/>
              <w:ind w:left="0" w:right="6" w:firstLine="0"/>
              <w:jc w:val="center"/>
            </w:pPr>
            <w:r>
              <w:rPr>
                <w:sz w:val="16"/>
              </w:rPr>
              <w:t xml:space="preserve">zabezpečení stroje </w:t>
            </w:r>
          </w:p>
        </w:tc>
        <w:tc>
          <w:tcPr>
            <w:tcW w:w="5223" w:type="dxa"/>
            <w:tcBorders>
              <w:top w:val="single" w:sz="2" w:space="0" w:color="000000"/>
              <w:left w:val="single" w:sz="2" w:space="0" w:color="000000"/>
              <w:bottom w:val="single" w:sz="2" w:space="0" w:color="000000"/>
              <w:right w:val="single" w:sz="2" w:space="0" w:color="000000"/>
            </w:tcBorders>
          </w:tcPr>
          <w:p w:rsidR="007043CB" w:rsidRDefault="004B5C2E">
            <w:pPr>
              <w:spacing w:after="0" w:line="259" w:lineRule="auto"/>
              <w:ind w:left="216" w:right="108" w:hanging="216"/>
            </w:pPr>
            <w:r>
              <w:rPr>
                <w:rFonts w:ascii="Wingdings" w:eastAsia="Wingdings" w:hAnsi="Wingdings" w:cs="Wingdings"/>
                <w:sz w:val="16"/>
              </w:rPr>
              <w:t></w:t>
            </w:r>
            <w:r>
              <w:rPr>
                <w:rFonts w:ascii="Arial" w:eastAsia="Arial" w:hAnsi="Arial" w:cs="Arial"/>
                <w:sz w:val="16"/>
              </w:rPr>
              <w:t xml:space="preserve"> </w:t>
            </w:r>
            <w:r>
              <w:rPr>
                <w:sz w:val="16"/>
              </w:rPr>
              <w:t xml:space="preserve">stroje připevněny řetězem nebo lanem k předmětům pevně spojeným se zemí nebo dalšímu stroji o hmotnosti nad 1 000 kg, uzamčení provedeno </w:t>
            </w:r>
            <w:r>
              <w:rPr>
                <w:b/>
                <w:sz w:val="16"/>
              </w:rPr>
              <w:t>bezpečnostním visacím zámkem</w:t>
            </w:r>
            <w:r>
              <w:rPr>
                <w:sz w:val="16"/>
              </w:rPr>
              <w:t xml:space="preserve">  </w:t>
            </w:r>
          </w:p>
        </w:tc>
      </w:tr>
    </w:tbl>
    <w:p w:rsidR="007043CB" w:rsidRDefault="004B5C2E">
      <w:pPr>
        <w:ind w:left="-15" w:firstLine="0"/>
      </w:pPr>
      <w:r>
        <w:t xml:space="preserve">Na mobilní pracovní stroje s provozní hmotností do 1 000 kg uložené mimo uzavřený prostor nebo oplocené prostranství se pojistné nebezpečí pro případ odcizení nevztahuje. </w:t>
      </w:r>
    </w:p>
    <w:p w:rsidR="007043CB" w:rsidRDefault="004B5C2E">
      <w:pPr>
        <w:spacing w:after="0" w:line="259" w:lineRule="auto"/>
        <w:ind w:left="0" w:firstLine="0"/>
        <w:jc w:val="left"/>
      </w:pPr>
      <w:r>
        <w:t xml:space="preserve"> </w:t>
      </w:r>
    </w:p>
    <w:p w:rsidR="007043CB" w:rsidRDefault="004B5C2E">
      <w:pPr>
        <w:spacing w:after="0" w:line="259" w:lineRule="auto"/>
        <w:ind w:left="0" w:firstLine="0"/>
        <w:jc w:val="left"/>
      </w:pPr>
      <w:r>
        <w:t xml:space="preserve"> </w:t>
      </w:r>
    </w:p>
    <w:p w:rsidR="007043CB" w:rsidRDefault="004B5C2E">
      <w:pPr>
        <w:spacing w:after="0" w:line="259" w:lineRule="auto"/>
        <w:ind w:left="0" w:firstLine="0"/>
        <w:jc w:val="left"/>
      </w:pPr>
      <w:r>
        <w:t xml:space="preserve"> </w:t>
      </w:r>
    </w:p>
    <w:p w:rsidR="007043CB" w:rsidRDefault="004B5C2E">
      <w:pPr>
        <w:spacing w:after="0" w:line="259" w:lineRule="auto"/>
        <w:ind w:left="0" w:firstLine="0"/>
        <w:jc w:val="left"/>
      </w:pPr>
      <w:r>
        <w:t xml:space="preserve"> </w:t>
      </w:r>
    </w:p>
    <w:p w:rsidR="007043CB" w:rsidRDefault="004B5C2E">
      <w:pPr>
        <w:spacing w:after="0" w:line="259" w:lineRule="auto"/>
        <w:ind w:left="0" w:firstLine="0"/>
        <w:jc w:val="left"/>
      </w:pPr>
      <w:r>
        <w:t xml:space="preserve"> </w:t>
      </w:r>
    </w:p>
    <w:p w:rsidR="007043CB" w:rsidRDefault="004B5C2E">
      <w:pPr>
        <w:spacing w:after="0" w:line="259" w:lineRule="auto"/>
        <w:ind w:left="0" w:firstLine="0"/>
        <w:jc w:val="left"/>
      </w:pPr>
      <w:r>
        <w:t xml:space="preserve"> </w:t>
      </w:r>
    </w:p>
    <w:p w:rsidR="007043CB" w:rsidRDefault="004B5C2E">
      <w:pPr>
        <w:ind w:left="-15" w:firstLine="0"/>
      </w:pPr>
      <w:r>
        <w:rPr>
          <w:b/>
        </w:rPr>
        <w:t>Tab. č. 2</w:t>
      </w:r>
      <w:r>
        <w:t xml:space="preserve"> Mobilní pracovní stroje s provozní hmotností od 1 000 kg </w:t>
      </w:r>
    </w:p>
    <w:tbl>
      <w:tblPr>
        <w:tblStyle w:val="TableGrid"/>
        <w:tblW w:w="9076" w:type="dxa"/>
        <w:tblInd w:w="-70" w:type="dxa"/>
        <w:tblCellMar>
          <w:top w:w="34" w:type="dxa"/>
          <w:left w:w="70" w:type="dxa"/>
          <w:right w:w="31" w:type="dxa"/>
        </w:tblCellMar>
        <w:tblLook w:val="04A0" w:firstRow="1" w:lastRow="0" w:firstColumn="1" w:lastColumn="0" w:noHBand="0" w:noVBand="1"/>
      </w:tblPr>
      <w:tblGrid>
        <w:gridCol w:w="1294"/>
        <w:gridCol w:w="2558"/>
        <w:gridCol w:w="5224"/>
      </w:tblGrid>
      <w:tr w:rsidR="007043CB">
        <w:trPr>
          <w:trHeight w:val="329"/>
        </w:trPr>
        <w:tc>
          <w:tcPr>
            <w:tcW w:w="1294" w:type="dxa"/>
            <w:vMerge w:val="restart"/>
            <w:tcBorders>
              <w:top w:val="single" w:sz="2" w:space="0" w:color="000000"/>
              <w:left w:val="single" w:sz="2" w:space="0" w:color="000000"/>
              <w:bottom w:val="single" w:sz="12" w:space="0" w:color="000000"/>
              <w:right w:val="single" w:sz="2" w:space="0" w:color="000000"/>
            </w:tcBorders>
            <w:shd w:val="clear" w:color="auto" w:fill="CCCCCC"/>
            <w:vAlign w:val="center"/>
          </w:tcPr>
          <w:p w:rsidR="007043CB" w:rsidRDefault="004B5C2E">
            <w:pPr>
              <w:spacing w:after="0" w:line="259" w:lineRule="auto"/>
              <w:ind w:left="0" w:right="40" w:firstLine="0"/>
              <w:jc w:val="center"/>
            </w:pPr>
            <w:r>
              <w:rPr>
                <w:b/>
                <w:sz w:val="16"/>
              </w:rPr>
              <w:t xml:space="preserve">Umístění </w:t>
            </w:r>
          </w:p>
        </w:tc>
        <w:tc>
          <w:tcPr>
            <w:tcW w:w="7782" w:type="dxa"/>
            <w:gridSpan w:val="2"/>
            <w:tcBorders>
              <w:top w:val="single" w:sz="2" w:space="0" w:color="000000"/>
              <w:left w:val="single" w:sz="2" w:space="0" w:color="000000"/>
              <w:bottom w:val="single" w:sz="11" w:space="0" w:color="CCCCCC"/>
              <w:right w:val="single" w:sz="2" w:space="0" w:color="000000"/>
            </w:tcBorders>
            <w:shd w:val="clear" w:color="auto" w:fill="CCCCCC"/>
          </w:tcPr>
          <w:p w:rsidR="007043CB" w:rsidRDefault="004B5C2E">
            <w:pPr>
              <w:spacing w:after="0" w:line="259" w:lineRule="auto"/>
              <w:ind w:left="0" w:right="42" w:firstLine="0"/>
              <w:jc w:val="center"/>
            </w:pPr>
            <w:r>
              <w:rPr>
                <w:b/>
                <w:sz w:val="16"/>
              </w:rPr>
              <w:t xml:space="preserve">Požadovaný minimální způsob zabezpečení </w:t>
            </w:r>
          </w:p>
        </w:tc>
      </w:tr>
      <w:tr w:rsidR="007043CB">
        <w:trPr>
          <w:trHeight w:val="881"/>
        </w:trPr>
        <w:tc>
          <w:tcPr>
            <w:tcW w:w="0" w:type="auto"/>
            <w:vMerge/>
            <w:tcBorders>
              <w:top w:val="nil"/>
              <w:left w:val="single" w:sz="2" w:space="0" w:color="000000"/>
              <w:bottom w:val="single" w:sz="12" w:space="0" w:color="000000"/>
              <w:right w:val="single" w:sz="2" w:space="0" w:color="000000"/>
            </w:tcBorders>
          </w:tcPr>
          <w:p w:rsidR="007043CB" w:rsidRDefault="007043CB">
            <w:pPr>
              <w:spacing w:after="160" w:line="259" w:lineRule="auto"/>
              <w:ind w:left="0" w:firstLine="0"/>
              <w:jc w:val="left"/>
            </w:pPr>
          </w:p>
        </w:tc>
        <w:tc>
          <w:tcPr>
            <w:tcW w:w="2558" w:type="dxa"/>
            <w:tcBorders>
              <w:top w:val="single" w:sz="2" w:space="0" w:color="000000"/>
              <w:left w:val="single" w:sz="2" w:space="0" w:color="000000"/>
              <w:bottom w:val="single" w:sz="12" w:space="0" w:color="000000"/>
              <w:right w:val="single" w:sz="2" w:space="0" w:color="000000"/>
            </w:tcBorders>
            <w:shd w:val="clear" w:color="auto" w:fill="CCCCCC"/>
            <w:vAlign w:val="center"/>
          </w:tcPr>
          <w:p w:rsidR="007043CB" w:rsidRDefault="004B5C2E">
            <w:pPr>
              <w:spacing w:after="0" w:line="259" w:lineRule="auto"/>
              <w:ind w:left="0" w:right="43" w:firstLine="0"/>
              <w:jc w:val="center"/>
            </w:pPr>
            <w:r>
              <w:rPr>
                <w:b/>
                <w:sz w:val="16"/>
              </w:rPr>
              <w:t xml:space="preserve">Prvek zabezpečení </w:t>
            </w:r>
          </w:p>
        </w:tc>
        <w:tc>
          <w:tcPr>
            <w:tcW w:w="5223" w:type="dxa"/>
            <w:tcBorders>
              <w:top w:val="single" w:sz="11" w:space="0" w:color="CCCCCC"/>
              <w:left w:val="single" w:sz="2" w:space="0" w:color="000000"/>
              <w:bottom w:val="single" w:sz="12" w:space="0" w:color="000000"/>
              <w:right w:val="single" w:sz="2" w:space="0" w:color="000000"/>
            </w:tcBorders>
            <w:shd w:val="clear" w:color="auto" w:fill="CCCCCC"/>
            <w:vAlign w:val="center"/>
          </w:tcPr>
          <w:p w:rsidR="007043CB" w:rsidRDefault="004B5C2E">
            <w:pPr>
              <w:spacing w:after="0" w:line="259" w:lineRule="auto"/>
              <w:ind w:left="0" w:right="40" w:firstLine="0"/>
              <w:jc w:val="center"/>
            </w:pPr>
            <w:r>
              <w:rPr>
                <w:b/>
                <w:sz w:val="16"/>
              </w:rPr>
              <w:t xml:space="preserve">Kvalita prvku zabezpečení </w:t>
            </w:r>
          </w:p>
        </w:tc>
      </w:tr>
      <w:tr w:rsidR="007043CB">
        <w:trPr>
          <w:trHeight w:val="335"/>
        </w:trPr>
        <w:tc>
          <w:tcPr>
            <w:tcW w:w="1294" w:type="dxa"/>
            <w:vMerge w:val="restart"/>
            <w:tcBorders>
              <w:top w:val="single" w:sz="12" w:space="0" w:color="000000"/>
              <w:left w:val="single" w:sz="2" w:space="0" w:color="000000"/>
              <w:bottom w:val="single" w:sz="2" w:space="0" w:color="000000"/>
              <w:right w:val="single" w:sz="2" w:space="0" w:color="000000"/>
            </w:tcBorders>
            <w:vAlign w:val="center"/>
          </w:tcPr>
          <w:p w:rsidR="007043CB" w:rsidRDefault="004B5C2E">
            <w:pPr>
              <w:spacing w:after="0" w:line="259" w:lineRule="auto"/>
              <w:ind w:left="0" w:right="43" w:firstLine="0"/>
              <w:jc w:val="center"/>
            </w:pPr>
            <w:r>
              <w:rPr>
                <w:b/>
                <w:sz w:val="16"/>
              </w:rPr>
              <w:t xml:space="preserve">uzavřený </w:t>
            </w:r>
          </w:p>
          <w:p w:rsidR="007043CB" w:rsidRDefault="004B5C2E">
            <w:pPr>
              <w:spacing w:after="0" w:line="259" w:lineRule="auto"/>
              <w:ind w:left="35" w:firstLine="0"/>
              <w:jc w:val="left"/>
            </w:pPr>
            <w:r>
              <w:rPr>
                <w:b/>
                <w:sz w:val="16"/>
              </w:rPr>
              <w:t xml:space="preserve">prostor typu A, </w:t>
            </w:r>
          </w:p>
          <w:p w:rsidR="007043CB" w:rsidRDefault="004B5C2E">
            <w:pPr>
              <w:spacing w:after="0" w:line="259" w:lineRule="auto"/>
              <w:ind w:left="0" w:right="41" w:firstLine="0"/>
              <w:jc w:val="center"/>
            </w:pPr>
            <w:r>
              <w:rPr>
                <w:b/>
                <w:sz w:val="16"/>
              </w:rPr>
              <w:t xml:space="preserve">B nebo C </w:t>
            </w:r>
          </w:p>
        </w:tc>
        <w:tc>
          <w:tcPr>
            <w:tcW w:w="2558" w:type="dxa"/>
            <w:tcBorders>
              <w:top w:val="single" w:sz="12" w:space="0" w:color="000000"/>
              <w:left w:val="single" w:sz="2" w:space="0" w:color="000000"/>
              <w:bottom w:val="single" w:sz="2" w:space="0" w:color="000000"/>
              <w:right w:val="single" w:sz="2" w:space="0" w:color="000000"/>
            </w:tcBorders>
          </w:tcPr>
          <w:p w:rsidR="007043CB" w:rsidRDefault="004B5C2E">
            <w:pPr>
              <w:spacing w:after="0" w:line="259" w:lineRule="auto"/>
              <w:ind w:left="0" w:right="42" w:firstLine="0"/>
              <w:jc w:val="center"/>
            </w:pPr>
            <w:r>
              <w:rPr>
                <w:sz w:val="16"/>
              </w:rPr>
              <w:t xml:space="preserve">dveře </w:t>
            </w:r>
          </w:p>
        </w:tc>
        <w:tc>
          <w:tcPr>
            <w:tcW w:w="5223" w:type="dxa"/>
            <w:tcBorders>
              <w:top w:val="single" w:sz="12" w:space="0" w:color="000000"/>
              <w:left w:val="single" w:sz="2" w:space="0" w:color="000000"/>
              <w:bottom w:val="single" w:sz="2" w:space="0" w:color="000000"/>
              <w:right w:val="single" w:sz="2" w:space="0" w:color="000000"/>
            </w:tcBorders>
          </w:tcPr>
          <w:p w:rsidR="007043CB" w:rsidRDefault="004B5C2E">
            <w:pPr>
              <w:spacing w:after="0" w:line="259" w:lineRule="auto"/>
              <w:ind w:left="0" w:firstLine="0"/>
              <w:jc w:val="left"/>
            </w:pPr>
            <w:r>
              <w:rPr>
                <w:rFonts w:ascii="Wingdings" w:eastAsia="Wingdings" w:hAnsi="Wingdings" w:cs="Wingdings"/>
                <w:sz w:val="16"/>
              </w:rPr>
              <w:t></w:t>
            </w:r>
            <w:r>
              <w:rPr>
                <w:rFonts w:ascii="Arial" w:eastAsia="Arial" w:hAnsi="Arial" w:cs="Arial"/>
                <w:sz w:val="16"/>
              </w:rPr>
              <w:t xml:space="preserve"> </w:t>
            </w:r>
            <w:r>
              <w:rPr>
                <w:b/>
                <w:sz w:val="16"/>
              </w:rPr>
              <w:t xml:space="preserve">plné </w:t>
            </w:r>
          </w:p>
        </w:tc>
      </w:tr>
      <w:tr w:rsidR="007043CB">
        <w:trPr>
          <w:trHeight w:val="607"/>
        </w:trPr>
        <w:tc>
          <w:tcPr>
            <w:tcW w:w="0" w:type="auto"/>
            <w:vMerge/>
            <w:tcBorders>
              <w:top w:val="nil"/>
              <w:left w:val="single" w:sz="2" w:space="0" w:color="000000"/>
              <w:bottom w:val="single" w:sz="2" w:space="0" w:color="000000"/>
              <w:right w:val="single" w:sz="2" w:space="0" w:color="000000"/>
            </w:tcBorders>
          </w:tcPr>
          <w:p w:rsidR="007043CB" w:rsidRDefault="007043CB">
            <w:pPr>
              <w:spacing w:after="160" w:line="259" w:lineRule="auto"/>
              <w:ind w:left="0" w:firstLine="0"/>
              <w:jc w:val="left"/>
            </w:pPr>
          </w:p>
        </w:tc>
        <w:tc>
          <w:tcPr>
            <w:tcW w:w="2558" w:type="dxa"/>
            <w:tcBorders>
              <w:top w:val="single" w:sz="2" w:space="0" w:color="000000"/>
              <w:left w:val="single" w:sz="2" w:space="0" w:color="000000"/>
              <w:bottom w:val="single" w:sz="2" w:space="0" w:color="000000"/>
              <w:right w:val="single" w:sz="2" w:space="0" w:color="000000"/>
            </w:tcBorders>
            <w:vAlign w:val="center"/>
          </w:tcPr>
          <w:p w:rsidR="007043CB" w:rsidRDefault="004B5C2E">
            <w:pPr>
              <w:spacing w:after="0" w:line="259" w:lineRule="auto"/>
              <w:ind w:left="0" w:right="43" w:firstLine="0"/>
              <w:jc w:val="center"/>
            </w:pPr>
            <w:r>
              <w:rPr>
                <w:sz w:val="16"/>
              </w:rPr>
              <w:t xml:space="preserve">zámek vstupů </w:t>
            </w:r>
          </w:p>
        </w:tc>
        <w:tc>
          <w:tcPr>
            <w:tcW w:w="5223" w:type="dxa"/>
            <w:tcBorders>
              <w:top w:val="single" w:sz="2" w:space="0" w:color="000000"/>
              <w:left w:val="single" w:sz="2" w:space="0" w:color="000000"/>
              <w:bottom w:val="single" w:sz="2" w:space="0" w:color="000000"/>
              <w:right w:val="single" w:sz="2" w:space="0" w:color="000000"/>
            </w:tcBorders>
          </w:tcPr>
          <w:p w:rsidR="007043CB" w:rsidRDefault="004B5C2E">
            <w:pPr>
              <w:numPr>
                <w:ilvl w:val="0"/>
                <w:numId w:val="93"/>
              </w:numPr>
              <w:spacing w:after="22" w:line="239" w:lineRule="auto"/>
              <w:ind w:right="750" w:firstLine="0"/>
              <w:jc w:val="left"/>
            </w:pPr>
            <w:r>
              <w:rPr>
                <w:sz w:val="16"/>
              </w:rPr>
              <w:t>zámek s</w:t>
            </w:r>
            <w:r>
              <w:rPr>
                <w:b/>
                <w:sz w:val="16"/>
              </w:rPr>
              <w:t xml:space="preserve"> bezpečnostní cylindrickou vložkou</w:t>
            </w:r>
            <w:r>
              <w:rPr>
                <w:sz w:val="16"/>
              </w:rPr>
              <w:t xml:space="preserve"> </w:t>
            </w:r>
            <w:r>
              <w:rPr>
                <w:i/>
                <w:sz w:val="16"/>
              </w:rPr>
              <w:t>nebo</w:t>
            </w:r>
            <w:r>
              <w:rPr>
                <w:sz w:val="16"/>
              </w:rPr>
              <w:t xml:space="preserve"> </w:t>
            </w:r>
          </w:p>
          <w:p w:rsidR="007043CB" w:rsidRDefault="004B5C2E">
            <w:pPr>
              <w:numPr>
                <w:ilvl w:val="0"/>
                <w:numId w:val="93"/>
              </w:numPr>
              <w:spacing w:after="0" w:line="259" w:lineRule="auto"/>
              <w:ind w:right="750" w:firstLine="0"/>
              <w:jc w:val="left"/>
            </w:pPr>
            <w:r>
              <w:rPr>
                <w:b/>
                <w:sz w:val="16"/>
              </w:rPr>
              <w:t>bezpečnostní visací zámek</w:t>
            </w:r>
            <w:r>
              <w:rPr>
                <w:sz w:val="16"/>
              </w:rPr>
              <w:t xml:space="preserve"> </w:t>
            </w:r>
          </w:p>
        </w:tc>
      </w:tr>
      <w:tr w:rsidR="007043CB">
        <w:trPr>
          <w:trHeight w:val="317"/>
        </w:trPr>
        <w:tc>
          <w:tcPr>
            <w:tcW w:w="1294" w:type="dxa"/>
            <w:vMerge w:val="restart"/>
            <w:tcBorders>
              <w:top w:val="single" w:sz="2" w:space="0" w:color="000000"/>
              <w:left w:val="single" w:sz="2" w:space="0" w:color="000000"/>
              <w:bottom w:val="single" w:sz="2" w:space="0" w:color="000000"/>
              <w:right w:val="single" w:sz="2" w:space="0" w:color="000000"/>
            </w:tcBorders>
            <w:vAlign w:val="center"/>
          </w:tcPr>
          <w:p w:rsidR="007043CB" w:rsidRDefault="004B5C2E">
            <w:pPr>
              <w:spacing w:after="0" w:line="259" w:lineRule="auto"/>
              <w:ind w:left="0" w:firstLine="0"/>
              <w:jc w:val="center"/>
            </w:pPr>
            <w:r>
              <w:rPr>
                <w:b/>
                <w:sz w:val="16"/>
              </w:rPr>
              <w:t xml:space="preserve">oplocené prostranství </w:t>
            </w:r>
          </w:p>
        </w:tc>
        <w:tc>
          <w:tcPr>
            <w:tcW w:w="2558" w:type="dxa"/>
            <w:tcBorders>
              <w:top w:val="single" w:sz="2" w:space="0" w:color="000000"/>
              <w:left w:val="single" w:sz="2" w:space="0" w:color="000000"/>
              <w:bottom w:val="single" w:sz="2" w:space="0" w:color="000000"/>
              <w:right w:val="single" w:sz="2" w:space="0" w:color="000000"/>
            </w:tcBorders>
          </w:tcPr>
          <w:p w:rsidR="007043CB" w:rsidRDefault="004B5C2E">
            <w:pPr>
              <w:spacing w:after="0" w:line="259" w:lineRule="auto"/>
              <w:ind w:left="0" w:right="40" w:firstLine="0"/>
              <w:jc w:val="center"/>
            </w:pPr>
            <w:r>
              <w:rPr>
                <w:sz w:val="16"/>
              </w:rPr>
              <w:t xml:space="preserve">oplocení </w:t>
            </w:r>
          </w:p>
        </w:tc>
        <w:tc>
          <w:tcPr>
            <w:tcW w:w="5223" w:type="dxa"/>
            <w:tcBorders>
              <w:top w:val="single" w:sz="2" w:space="0" w:color="000000"/>
              <w:left w:val="single" w:sz="2" w:space="0" w:color="000000"/>
              <w:bottom w:val="single" w:sz="2" w:space="0" w:color="000000"/>
              <w:right w:val="single" w:sz="2" w:space="0" w:color="000000"/>
            </w:tcBorders>
          </w:tcPr>
          <w:p w:rsidR="007043CB" w:rsidRDefault="004B5C2E">
            <w:pPr>
              <w:spacing w:after="0" w:line="259" w:lineRule="auto"/>
              <w:ind w:left="0" w:firstLine="0"/>
              <w:jc w:val="left"/>
            </w:pPr>
            <w:r>
              <w:rPr>
                <w:rFonts w:ascii="Wingdings" w:eastAsia="Wingdings" w:hAnsi="Wingdings" w:cs="Wingdings"/>
                <w:sz w:val="16"/>
              </w:rPr>
              <w:t></w:t>
            </w:r>
            <w:r>
              <w:rPr>
                <w:rFonts w:ascii="Arial" w:eastAsia="Arial" w:hAnsi="Arial" w:cs="Arial"/>
                <w:sz w:val="16"/>
              </w:rPr>
              <w:t xml:space="preserve"> </w:t>
            </w:r>
            <w:r>
              <w:rPr>
                <w:sz w:val="16"/>
              </w:rPr>
              <w:t xml:space="preserve">výška oplocení 180 cm </w:t>
            </w:r>
          </w:p>
        </w:tc>
      </w:tr>
      <w:tr w:rsidR="007043CB">
        <w:trPr>
          <w:trHeight w:val="583"/>
        </w:trPr>
        <w:tc>
          <w:tcPr>
            <w:tcW w:w="0" w:type="auto"/>
            <w:vMerge/>
            <w:tcBorders>
              <w:top w:val="nil"/>
              <w:left w:val="single" w:sz="2" w:space="0" w:color="000000"/>
              <w:bottom w:val="single" w:sz="2" w:space="0" w:color="000000"/>
              <w:right w:val="single" w:sz="2" w:space="0" w:color="000000"/>
            </w:tcBorders>
          </w:tcPr>
          <w:p w:rsidR="007043CB" w:rsidRDefault="007043CB">
            <w:pPr>
              <w:spacing w:after="160" w:line="259" w:lineRule="auto"/>
              <w:ind w:left="0" w:firstLine="0"/>
              <w:jc w:val="left"/>
            </w:pPr>
          </w:p>
        </w:tc>
        <w:tc>
          <w:tcPr>
            <w:tcW w:w="2558" w:type="dxa"/>
            <w:tcBorders>
              <w:top w:val="single" w:sz="2" w:space="0" w:color="000000"/>
              <w:left w:val="single" w:sz="2" w:space="0" w:color="000000"/>
              <w:bottom w:val="single" w:sz="2" w:space="0" w:color="000000"/>
              <w:right w:val="single" w:sz="2" w:space="0" w:color="000000"/>
            </w:tcBorders>
            <w:vAlign w:val="center"/>
          </w:tcPr>
          <w:p w:rsidR="007043CB" w:rsidRDefault="004B5C2E">
            <w:pPr>
              <w:spacing w:after="0" w:line="259" w:lineRule="auto"/>
              <w:ind w:left="0" w:right="43" w:firstLine="0"/>
              <w:jc w:val="center"/>
            </w:pPr>
            <w:r>
              <w:rPr>
                <w:sz w:val="16"/>
              </w:rPr>
              <w:t xml:space="preserve">zámek vstupů </w:t>
            </w:r>
          </w:p>
        </w:tc>
        <w:tc>
          <w:tcPr>
            <w:tcW w:w="5223" w:type="dxa"/>
            <w:tcBorders>
              <w:top w:val="single" w:sz="2" w:space="0" w:color="000000"/>
              <w:left w:val="single" w:sz="2" w:space="0" w:color="000000"/>
              <w:bottom w:val="single" w:sz="2" w:space="0" w:color="000000"/>
              <w:right w:val="single" w:sz="2" w:space="0" w:color="000000"/>
            </w:tcBorders>
          </w:tcPr>
          <w:p w:rsidR="007043CB" w:rsidRDefault="004B5C2E">
            <w:pPr>
              <w:numPr>
                <w:ilvl w:val="0"/>
                <w:numId w:val="94"/>
              </w:numPr>
              <w:spacing w:after="22" w:line="239" w:lineRule="auto"/>
              <w:ind w:right="729" w:firstLine="0"/>
              <w:jc w:val="left"/>
            </w:pPr>
            <w:r>
              <w:rPr>
                <w:sz w:val="16"/>
              </w:rPr>
              <w:t>zámek s</w:t>
            </w:r>
            <w:r>
              <w:rPr>
                <w:b/>
                <w:sz w:val="16"/>
              </w:rPr>
              <w:t xml:space="preserve"> bezpečnostní cylindrickou vložkou</w:t>
            </w:r>
            <w:r>
              <w:rPr>
                <w:i/>
                <w:sz w:val="16"/>
              </w:rPr>
              <w:t xml:space="preserve"> </w:t>
            </w:r>
            <w:r>
              <w:rPr>
                <w:sz w:val="16"/>
              </w:rPr>
              <w:t xml:space="preserve"> </w:t>
            </w:r>
            <w:r>
              <w:rPr>
                <w:i/>
                <w:sz w:val="16"/>
              </w:rPr>
              <w:t>nebo</w:t>
            </w:r>
            <w:r>
              <w:rPr>
                <w:sz w:val="16"/>
              </w:rPr>
              <w:t xml:space="preserve"> </w:t>
            </w:r>
          </w:p>
          <w:p w:rsidR="007043CB" w:rsidRDefault="004B5C2E">
            <w:pPr>
              <w:numPr>
                <w:ilvl w:val="0"/>
                <w:numId w:val="94"/>
              </w:numPr>
              <w:spacing w:after="0" w:line="259" w:lineRule="auto"/>
              <w:ind w:right="729" w:firstLine="0"/>
              <w:jc w:val="left"/>
            </w:pPr>
            <w:r>
              <w:rPr>
                <w:b/>
                <w:sz w:val="16"/>
              </w:rPr>
              <w:t>bezpečnostní visací zámek</w:t>
            </w:r>
            <w:r>
              <w:rPr>
                <w:sz w:val="16"/>
              </w:rPr>
              <w:t xml:space="preserve"> </w:t>
            </w:r>
          </w:p>
        </w:tc>
      </w:tr>
      <w:tr w:rsidR="007043CB">
        <w:trPr>
          <w:trHeight w:val="3077"/>
        </w:trPr>
        <w:tc>
          <w:tcPr>
            <w:tcW w:w="1294" w:type="dxa"/>
            <w:tcBorders>
              <w:top w:val="single" w:sz="2" w:space="0" w:color="000000"/>
              <w:left w:val="single" w:sz="2" w:space="0" w:color="000000"/>
              <w:bottom w:val="single" w:sz="2" w:space="0" w:color="000000"/>
              <w:right w:val="single" w:sz="2" w:space="0" w:color="000000"/>
            </w:tcBorders>
            <w:vAlign w:val="center"/>
          </w:tcPr>
          <w:p w:rsidR="007043CB" w:rsidRDefault="004B5C2E">
            <w:pPr>
              <w:spacing w:after="0" w:line="259" w:lineRule="auto"/>
              <w:ind w:left="33" w:firstLine="0"/>
              <w:jc w:val="left"/>
            </w:pPr>
            <w:r>
              <w:rPr>
                <w:sz w:val="16"/>
              </w:rPr>
              <w:lastRenderedPageBreak/>
              <w:t xml:space="preserve">mimo </w:t>
            </w:r>
            <w:r>
              <w:rPr>
                <w:b/>
                <w:sz w:val="16"/>
              </w:rPr>
              <w:t xml:space="preserve">uzavřený </w:t>
            </w:r>
          </w:p>
          <w:p w:rsidR="007043CB" w:rsidRDefault="004B5C2E">
            <w:pPr>
              <w:spacing w:after="0" w:line="259" w:lineRule="auto"/>
              <w:ind w:left="0" w:firstLine="0"/>
              <w:jc w:val="center"/>
            </w:pPr>
            <w:r>
              <w:rPr>
                <w:b/>
                <w:sz w:val="16"/>
              </w:rPr>
              <w:t>prostor</w:t>
            </w:r>
            <w:r>
              <w:rPr>
                <w:sz w:val="16"/>
              </w:rPr>
              <w:t xml:space="preserve"> nebo </w:t>
            </w:r>
            <w:r>
              <w:rPr>
                <w:b/>
                <w:sz w:val="16"/>
              </w:rPr>
              <w:t>oplocené prostranství</w:t>
            </w:r>
            <w:r>
              <w:rPr>
                <w:sz w:val="16"/>
              </w:rPr>
              <w:t xml:space="preserve"> </w:t>
            </w:r>
          </w:p>
        </w:tc>
        <w:tc>
          <w:tcPr>
            <w:tcW w:w="2558" w:type="dxa"/>
            <w:tcBorders>
              <w:top w:val="single" w:sz="2" w:space="0" w:color="000000"/>
              <w:left w:val="single" w:sz="2" w:space="0" w:color="000000"/>
              <w:bottom w:val="single" w:sz="2" w:space="0" w:color="000000"/>
              <w:right w:val="single" w:sz="2" w:space="0" w:color="000000"/>
            </w:tcBorders>
            <w:vAlign w:val="center"/>
          </w:tcPr>
          <w:p w:rsidR="007043CB" w:rsidRDefault="004B5C2E">
            <w:pPr>
              <w:spacing w:after="0" w:line="259" w:lineRule="auto"/>
              <w:ind w:left="0" w:right="43" w:firstLine="0"/>
              <w:jc w:val="center"/>
            </w:pPr>
            <w:r>
              <w:rPr>
                <w:sz w:val="16"/>
              </w:rPr>
              <w:t xml:space="preserve">zabezpečení stroje </w:t>
            </w:r>
          </w:p>
        </w:tc>
        <w:tc>
          <w:tcPr>
            <w:tcW w:w="5223" w:type="dxa"/>
            <w:tcBorders>
              <w:top w:val="single" w:sz="2" w:space="0" w:color="000000"/>
              <w:left w:val="single" w:sz="2" w:space="0" w:color="000000"/>
              <w:bottom w:val="single" w:sz="2" w:space="0" w:color="000000"/>
              <w:right w:val="single" w:sz="2" w:space="0" w:color="000000"/>
            </w:tcBorders>
          </w:tcPr>
          <w:p w:rsidR="007043CB" w:rsidRDefault="004B5C2E">
            <w:pPr>
              <w:numPr>
                <w:ilvl w:val="0"/>
                <w:numId w:val="95"/>
              </w:numPr>
              <w:spacing w:after="0" w:line="235" w:lineRule="auto"/>
              <w:ind w:right="20" w:hanging="216"/>
              <w:jc w:val="left"/>
            </w:pPr>
            <w:r>
              <w:rPr>
                <w:sz w:val="16"/>
              </w:rPr>
              <w:t>stroje zabezpečeny vybavením instalovaným výrobcem a zároveň mechanickým zabezpečením blokujícím řadící páku, převodovku, ovládání funkcí motoru, řízení</w:t>
            </w:r>
            <w:r>
              <w:rPr>
                <w:color w:val="0000FF"/>
                <w:sz w:val="16"/>
              </w:rPr>
              <w:t xml:space="preserve"> </w:t>
            </w:r>
            <w:r>
              <w:rPr>
                <w:sz w:val="16"/>
              </w:rPr>
              <w:t xml:space="preserve">nainstalované autorizovanou firmou </w:t>
            </w:r>
          </w:p>
          <w:p w:rsidR="007043CB" w:rsidRDefault="004B5C2E">
            <w:pPr>
              <w:spacing w:after="3" w:line="259" w:lineRule="auto"/>
              <w:ind w:left="0" w:firstLine="0"/>
              <w:jc w:val="left"/>
            </w:pPr>
            <w:r>
              <w:rPr>
                <w:i/>
                <w:sz w:val="16"/>
              </w:rPr>
              <w:t xml:space="preserve">nebo </w:t>
            </w:r>
          </w:p>
          <w:p w:rsidR="007043CB" w:rsidRDefault="004B5C2E">
            <w:pPr>
              <w:numPr>
                <w:ilvl w:val="0"/>
                <w:numId w:val="95"/>
              </w:numPr>
              <w:spacing w:after="0" w:line="235" w:lineRule="auto"/>
              <w:ind w:right="20" w:hanging="216"/>
              <w:jc w:val="left"/>
            </w:pPr>
            <w:r>
              <w:rPr>
                <w:sz w:val="16"/>
              </w:rPr>
              <w:t xml:space="preserve">stroje zabezpečeny vybavením instalovaným výrobcem a zároveň vybaveny imobilizérem blokujícím alespoň dva okruhy funkce motoru a pracujícím na bázi identifikace osobním čipem obsluhy nainstalované autorizovanou firmou </w:t>
            </w:r>
          </w:p>
          <w:p w:rsidR="007043CB" w:rsidRDefault="004B5C2E">
            <w:pPr>
              <w:spacing w:after="3" w:line="259" w:lineRule="auto"/>
              <w:ind w:left="0" w:firstLine="0"/>
              <w:jc w:val="left"/>
            </w:pPr>
            <w:r>
              <w:rPr>
                <w:i/>
                <w:sz w:val="16"/>
              </w:rPr>
              <w:t xml:space="preserve">nebo  </w:t>
            </w:r>
          </w:p>
          <w:p w:rsidR="007043CB" w:rsidRDefault="004B5C2E">
            <w:pPr>
              <w:numPr>
                <w:ilvl w:val="0"/>
                <w:numId w:val="95"/>
              </w:numPr>
              <w:spacing w:after="23" w:line="235" w:lineRule="auto"/>
              <w:ind w:right="20" w:hanging="216"/>
              <w:jc w:val="left"/>
            </w:pPr>
            <w:r>
              <w:rPr>
                <w:sz w:val="16"/>
              </w:rPr>
              <w:t xml:space="preserve">stroje zabezpečeny satelitním vyhledávacím systémem </w:t>
            </w:r>
            <w:r>
              <w:rPr>
                <w:i/>
                <w:sz w:val="16"/>
              </w:rPr>
              <w:t xml:space="preserve">nebo  </w:t>
            </w:r>
          </w:p>
          <w:p w:rsidR="007043CB" w:rsidRDefault="004B5C2E">
            <w:pPr>
              <w:numPr>
                <w:ilvl w:val="0"/>
                <w:numId w:val="95"/>
              </w:numPr>
              <w:spacing w:after="0" w:line="259" w:lineRule="auto"/>
              <w:ind w:right="20" w:hanging="216"/>
              <w:jc w:val="left"/>
            </w:pPr>
            <w:r>
              <w:rPr>
                <w:sz w:val="16"/>
              </w:rPr>
              <w:t xml:space="preserve">stroje zabezpečeny vybavením instalovaným výrobcem a zároveň mimo pracovní dobu střežené min. jednočlennou </w:t>
            </w:r>
            <w:r>
              <w:rPr>
                <w:b/>
                <w:sz w:val="16"/>
              </w:rPr>
              <w:t>fyzickou ostrahou</w:t>
            </w:r>
            <w:r>
              <w:rPr>
                <w:sz w:val="16"/>
              </w:rPr>
              <w:t xml:space="preserve"> Za uzamčení stroje se však nepovažuje jeho uzamčení prostřednictvím zámku, který lze odemknout univerzálním klíčem, tj. klíčem, kterým lze odemknout více než jeden stroj. </w:t>
            </w:r>
          </w:p>
        </w:tc>
      </w:tr>
    </w:tbl>
    <w:p w:rsidR="007043CB" w:rsidRDefault="004B5C2E">
      <w:pPr>
        <w:spacing w:after="0" w:line="259" w:lineRule="auto"/>
        <w:ind w:left="0" w:firstLine="0"/>
        <w:jc w:val="left"/>
      </w:pPr>
      <w:r>
        <w:t xml:space="preserve"> </w:t>
      </w:r>
    </w:p>
    <w:p w:rsidR="007043CB" w:rsidRDefault="004B5C2E">
      <w:pPr>
        <w:spacing w:after="7" w:line="250" w:lineRule="auto"/>
        <w:ind w:left="-5" w:hanging="10"/>
        <w:jc w:val="left"/>
      </w:pPr>
      <w:r>
        <w:rPr>
          <w:b/>
        </w:rPr>
        <w:t xml:space="preserve">Požadavky na způsoby zabezpečení přípojných mobilních pracovních strojů  </w:t>
      </w:r>
    </w:p>
    <w:p w:rsidR="007043CB" w:rsidRDefault="004B5C2E">
      <w:pPr>
        <w:ind w:left="-15" w:firstLine="0"/>
      </w:pPr>
      <w:r>
        <w:t>Přípojné mobilní pracovní stroje musí být</w:t>
      </w:r>
      <w:r>
        <w:rPr>
          <w:b/>
        </w:rPr>
        <w:t xml:space="preserve"> </w:t>
      </w:r>
      <w:r>
        <w:t xml:space="preserve">vybaveny zámky tažných ok přívěsů a tažných čepů návěsů splňujícími min. BT 3 dle ČSN P ENV 1627. </w:t>
      </w:r>
    </w:p>
    <w:p w:rsidR="007043CB" w:rsidRDefault="004B5C2E">
      <w:pPr>
        <w:spacing w:after="0" w:line="259" w:lineRule="auto"/>
        <w:ind w:left="0" w:firstLine="0"/>
        <w:jc w:val="left"/>
      </w:pPr>
      <w:r>
        <w:t xml:space="preserve"> </w:t>
      </w:r>
    </w:p>
    <w:p w:rsidR="007043CB" w:rsidRDefault="004B5C2E">
      <w:pPr>
        <w:ind w:left="-15" w:firstLine="0"/>
      </w:pPr>
      <w:r>
        <w:rPr>
          <w:b/>
        </w:rPr>
        <w:t>Tab. č. 3</w:t>
      </w:r>
      <w:r>
        <w:t xml:space="preserve"> Přípojné mobilní pracovní stroje </w:t>
      </w:r>
    </w:p>
    <w:tbl>
      <w:tblPr>
        <w:tblStyle w:val="TableGrid"/>
        <w:tblW w:w="9076" w:type="dxa"/>
        <w:tblInd w:w="-70" w:type="dxa"/>
        <w:tblCellMar>
          <w:top w:w="34" w:type="dxa"/>
          <w:left w:w="70" w:type="dxa"/>
          <w:right w:w="67" w:type="dxa"/>
        </w:tblCellMar>
        <w:tblLook w:val="04A0" w:firstRow="1" w:lastRow="0" w:firstColumn="1" w:lastColumn="0" w:noHBand="0" w:noVBand="1"/>
      </w:tblPr>
      <w:tblGrid>
        <w:gridCol w:w="1294"/>
        <w:gridCol w:w="2558"/>
        <w:gridCol w:w="5224"/>
      </w:tblGrid>
      <w:tr w:rsidR="007043CB">
        <w:trPr>
          <w:trHeight w:val="329"/>
        </w:trPr>
        <w:tc>
          <w:tcPr>
            <w:tcW w:w="1294" w:type="dxa"/>
            <w:vMerge w:val="restart"/>
            <w:tcBorders>
              <w:top w:val="single" w:sz="2" w:space="0" w:color="000000"/>
              <w:left w:val="single" w:sz="2" w:space="0" w:color="000000"/>
              <w:bottom w:val="single" w:sz="12" w:space="0" w:color="000000"/>
              <w:right w:val="single" w:sz="2" w:space="0" w:color="000000"/>
            </w:tcBorders>
            <w:shd w:val="clear" w:color="auto" w:fill="CCCCCC"/>
            <w:vAlign w:val="center"/>
          </w:tcPr>
          <w:p w:rsidR="007043CB" w:rsidRDefault="004B5C2E">
            <w:pPr>
              <w:spacing w:after="0" w:line="259" w:lineRule="auto"/>
              <w:ind w:left="0" w:right="4" w:firstLine="0"/>
              <w:jc w:val="center"/>
            </w:pPr>
            <w:r>
              <w:rPr>
                <w:b/>
                <w:sz w:val="16"/>
              </w:rPr>
              <w:t xml:space="preserve">Umístění </w:t>
            </w:r>
          </w:p>
        </w:tc>
        <w:tc>
          <w:tcPr>
            <w:tcW w:w="7782" w:type="dxa"/>
            <w:gridSpan w:val="2"/>
            <w:tcBorders>
              <w:top w:val="single" w:sz="2" w:space="0" w:color="000000"/>
              <w:left w:val="single" w:sz="2" w:space="0" w:color="000000"/>
              <w:bottom w:val="single" w:sz="11" w:space="0" w:color="CCCCCC"/>
              <w:right w:val="single" w:sz="2" w:space="0" w:color="000000"/>
            </w:tcBorders>
            <w:shd w:val="clear" w:color="auto" w:fill="CCCCCC"/>
          </w:tcPr>
          <w:p w:rsidR="007043CB" w:rsidRDefault="004B5C2E">
            <w:pPr>
              <w:spacing w:after="0" w:line="259" w:lineRule="auto"/>
              <w:ind w:left="0" w:right="10" w:firstLine="0"/>
              <w:jc w:val="center"/>
            </w:pPr>
            <w:r>
              <w:rPr>
                <w:b/>
                <w:sz w:val="16"/>
              </w:rPr>
              <w:t xml:space="preserve">Požadovaný minimální způsob zabezpečení  </w:t>
            </w:r>
          </w:p>
        </w:tc>
      </w:tr>
      <w:tr w:rsidR="007043CB">
        <w:trPr>
          <w:trHeight w:val="881"/>
        </w:trPr>
        <w:tc>
          <w:tcPr>
            <w:tcW w:w="0" w:type="auto"/>
            <w:vMerge/>
            <w:tcBorders>
              <w:top w:val="nil"/>
              <w:left w:val="single" w:sz="2" w:space="0" w:color="000000"/>
              <w:bottom w:val="single" w:sz="12" w:space="0" w:color="000000"/>
              <w:right w:val="single" w:sz="2" w:space="0" w:color="000000"/>
            </w:tcBorders>
          </w:tcPr>
          <w:p w:rsidR="007043CB" w:rsidRDefault="007043CB">
            <w:pPr>
              <w:spacing w:after="160" w:line="259" w:lineRule="auto"/>
              <w:ind w:left="0" w:firstLine="0"/>
              <w:jc w:val="left"/>
            </w:pPr>
          </w:p>
        </w:tc>
        <w:tc>
          <w:tcPr>
            <w:tcW w:w="2558" w:type="dxa"/>
            <w:tcBorders>
              <w:top w:val="single" w:sz="2" w:space="0" w:color="000000"/>
              <w:left w:val="single" w:sz="2" w:space="0" w:color="000000"/>
              <w:bottom w:val="single" w:sz="12" w:space="0" w:color="000000"/>
              <w:right w:val="single" w:sz="2" w:space="0" w:color="000000"/>
            </w:tcBorders>
            <w:shd w:val="clear" w:color="auto" w:fill="CCCCCC"/>
            <w:vAlign w:val="center"/>
          </w:tcPr>
          <w:p w:rsidR="007043CB" w:rsidRDefault="004B5C2E">
            <w:pPr>
              <w:spacing w:after="0" w:line="259" w:lineRule="auto"/>
              <w:ind w:left="0" w:right="6" w:firstLine="0"/>
              <w:jc w:val="center"/>
            </w:pPr>
            <w:r>
              <w:rPr>
                <w:b/>
                <w:sz w:val="16"/>
              </w:rPr>
              <w:t xml:space="preserve">Prvek zabezpečení </w:t>
            </w:r>
          </w:p>
        </w:tc>
        <w:tc>
          <w:tcPr>
            <w:tcW w:w="5223" w:type="dxa"/>
            <w:tcBorders>
              <w:top w:val="single" w:sz="11" w:space="0" w:color="CCCCCC"/>
              <w:left w:val="single" w:sz="2" w:space="0" w:color="000000"/>
              <w:bottom w:val="single" w:sz="12" w:space="0" w:color="000000"/>
              <w:right w:val="single" w:sz="2" w:space="0" w:color="000000"/>
            </w:tcBorders>
            <w:shd w:val="clear" w:color="auto" w:fill="CCCCCC"/>
            <w:vAlign w:val="center"/>
          </w:tcPr>
          <w:p w:rsidR="007043CB" w:rsidRDefault="004B5C2E">
            <w:pPr>
              <w:spacing w:after="0" w:line="259" w:lineRule="auto"/>
              <w:ind w:left="0" w:right="4" w:firstLine="0"/>
              <w:jc w:val="center"/>
            </w:pPr>
            <w:r>
              <w:rPr>
                <w:b/>
                <w:sz w:val="16"/>
              </w:rPr>
              <w:t xml:space="preserve">Kvalita prvku zabezpečení </w:t>
            </w:r>
          </w:p>
        </w:tc>
      </w:tr>
      <w:tr w:rsidR="007043CB">
        <w:trPr>
          <w:trHeight w:val="335"/>
        </w:trPr>
        <w:tc>
          <w:tcPr>
            <w:tcW w:w="1294" w:type="dxa"/>
            <w:vMerge w:val="restart"/>
            <w:tcBorders>
              <w:top w:val="single" w:sz="12" w:space="0" w:color="000000"/>
              <w:left w:val="single" w:sz="2" w:space="0" w:color="000000"/>
              <w:bottom w:val="single" w:sz="2" w:space="0" w:color="000000"/>
              <w:right w:val="single" w:sz="2" w:space="0" w:color="000000"/>
            </w:tcBorders>
            <w:vAlign w:val="center"/>
          </w:tcPr>
          <w:p w:rsidR="007043CB" w:rsidRDefault="004B5C2E">
            <w:pPr>
              <w:spacing w:after="0" w:line="259" w:lineRule="auto"/>
              <w:ind w:left="0" w:right="7" w:firstLine="0"/>
              <w:jc w:val="center"/>
            </w:pPr>
            <w:r>
              <w:rPr>
                <w:b/>
                <w:sz w:val="16"/>
              </w:rPr>
              <w:t xml:space="preserve">uzavřený </w:t>
            </w:r>
          </w:p>
          <w:p w:rsidR="007043CB" w:rsidRDefault="004B5C2E">
            <w:pPr>
              <w:spacing w:after="0" w:line="259" w:lineRule="auto"/>
              <w:ind w:left="35" w:firstLine="0"/>
              <w:jc w:val="left"/>
            </w:pPr>
            <w:r>
              <w:rPr>
                <w:b/>
                <w:sz w:val="16"/>
              </w:rPr>
              <w:t xml:space="preserve">prostor typu A, </w:t>
            </w:r>
          </w:p>
          <w:p w:rsidR="007043CB" w:rsidRDefault="004B5C2E">
            <w:pPr>
              <w:spacing w:after="0" w:line="259" w:lineRule="auto"/>
              <w:ind w:left="0" w:right="5" w:firstLine="0"/>
              <w:jc w:val="center"/>
            </w:pPr>
            <w:r>
              <w:rPr>
                <w:b/>
                <w:sz w:val="16"/>
              </w:rPr>
              <w:t xml:space="preserve">B nebo C </w:t>
            </w:r>
          </w:p>
        </w:tc>
        <w:tc>
          <w:tcPr>
            <w:tcW w:w="2558" w:type="dxa"/>
            <w:tcBorders>
              <w:top w:val="single" w:sz="12" w:space="0" w:color="000000"/>
              <w:left w:val="single" w:sz="2" w:space="0" w:color="000000"/>
              <w:bottom w:val="single" w:sz="2" w:space="0" w:color="000000"/>
              <w:right w:val="single" w:sz="2" w:space="0" w:color="000000"/>
            </w:tcBorders>
          </w:tcPr>
          <w:p w:rsidR="007043CB" w:rsidRDefault="004B5C2E">
            <w:pPr>
              <w:spacing w:after="0" w:line="259" w:lineRule="auto"/>
              <w:ind w:left="0" w:right="5" w:firstLine="0"/>
              <w:jc w:val="center"/>
            </w:pPr>
            <w:r>
              <w:rPr>
                <w:sz w:val="16"/>
              </w:rPr>
              <w:t xml:space="preserve">dveře </w:t>
            </w:r>
          </w:p>
        </w:tc>
        <w:tc>
          <w:tcPr>
            <w:tcW w:w="5223" w:type="dxa"/>
            <w:tcBorders>
              <w:top w:val="single" w:sz="12" w:space="0" w:color="000000"/>
              <w:left w:val="single" w:sz="2" w:space="0" w:color="000000"/>
              <w:bottom w:val="single" w:sz="2" w:space="0" w:color="000000"/>
              <w:right w:val="single" w:sz="2" w:space="0" w:color="000000"/>
            </w:tcBorders>
          </w:tcPr>
          <w:p w:rsidR="007043CB" w:rsidRDefault="004B5C2E">
            <w:pPr>
              <w:spacing w:after="0" w:line="259" w:lineRule="auto"/>
              <w:ind w:left="0" w:firstLine="0"/>
              <w:jc w:val="left"/>
            </w:pPr>
            <w:r>
              <w:rPr>
                <w:rFonts w:ascii="Wingdings" w:eastAsia="Wingdings" w:hAnsi="Wingdings" w:cs="Wingdings"/>
                <w:sz w:val="16"/>
              </w:rPr>
              <w:t></w:t>
            </w:r>
            <w:r>
              <w:rPr>
                <w:rFonts w:ascii="Arial" w:eastAsia="Arial" w:hAnsi="Arial" w:cs="Arial"/>
                <w:sz w:val="16"/>
              </w:rPr>
              <w:t xml:space="preserve"> </w:t>
            </w:r>
            <w:r>
              <w:rPr>
                <w:b/>
                <w:sz w:val="16"/>
              </w:rPr>
              <w:t xml:space="preserve">plné </w:t>
            </w:r>
          </w:p>
        </w:tc>
      </w:tr>
      <w:tr w:rsidR="007043CB">
        <w:trPr>
          <w:trHeight w:val="607"/>
        </w:trPr>
        <w:tc>
          <w:tcPr>
            <w:tcW w:w="0" w:type="auto"/>
            <w:vMerge/>
            <w:tcBorders>
              <w:top w:val="nil"/>
              <w:left w:val="single" w:sz="2" w:space="0" w:color="000000"/>
              <w:bottom w:val="single" w:sz="2" w:space="0" w:color="000000"/>
              <w:right w:val="single" w:sz="2" w:space="0" w:color="000000"/>
            </w:tcBorders>
          </w:tcPr>
          <w:p w:rsidR="007043CB" w:rsidRDefault="007043CB">
            <w:pPr>
              <w:spacing w:after="160" w:line="259" w:lineRule="auto"/>
              <w:ind w:left="0" w:firstLine="0"/>
              <w:jc w:val="left"/>
            </w:pPr>
          </w:p>
        </w:tc>
        <w:tc>
          <w:tcPr>
            <w:tcW w:w="2558" w:type="dxa"/>
            <w:tcBorders>
              <w:top w:val="single" w:sz="2" w:space="0" w:color="000000"/>
              <w:left w:val="single" w:sz="2" w:space="0" w:color="000000"/>
              <w:bottom w:val="single" w:sz="2" w:space="0" w:color="000000"/>
              <w:right w:val="single" w:sz="2" w:space="0" w:color="000000"/>
            </w:tcBorders>
            <w:vAlign w:val="center"/>
          </w:tcPr>
          <w:p w:rsidR="007043CB" w:rsidRDefault="004B5C2E">
            <w:pPr>
              <w:spacing w:after="0" w:line="259" w:lineRule="auto"/>
              <w:ind w:left="0" w:right="6" w:firstLine="0"/>
              <w:jc w:val="center"/>
            </w:pPr>
            <w:r>
              <w:rPr>
                <w:sz w:val="16"/>
              </w:rPr>
              <w:t xml:space="preserve">zámek vstupů </w:t>
            </w:r>
          </w:p>
        </w:tc>
        <w:tc>
          <w:tcPr>
            <w:tcW w:w="5223" w:type="dxa"/>
            <w:tcBorders>
              <w:top w:val="single" w:sz="2" w:space="0" w:color="000000"/>
              <w:left w:val="single" w:sz="2" w:space="0" w:color="000000"/>
              <w:bottom w:val="single" w:sz="2" w:space="0" w:color="000000"/>
              <w:right w:val="single" w:sz="2" w:space="0" w:color="000000"/>
            </w:tcBorders>
          </w:tcPr>
          <w:p w:rsidR="007043CB" w:rsidRDefault="004B5C2E">
            <w:pPr>
              <w:numPr>
                <w:ilvl w:val="0"/>
                <w:numId w:val="96"/>
              </w:numPr>
              <w:spacing w:after="22" w:line="239" w:lineRule="auto"/>
              <w:ind w:right="710" w:firstLine="0"/>
              <w:jc w:val="left"/>
            </w:pPr>
            <w:r>
              <w:rPr>
                <w:sz w:val="16"/>
              </w:rPr>
              <w:t>zámek s</w:t>
            </w:r>
            <w:r>
              <w:rPr>
                <w:b/>
                <w:sz w:val="16"/>
              </w:rPr>
              <w:t xml:space="preserve"> bezpečnostní cylindrickou vložkou</w:t>
            </w:r>
            <w:r>
              <w:rPr>
                <w:i/>
                <w:sz w:val="16"/>
              </w:rPr>
              <w:t xml:space="preserve"> </w:t>
            </w:r>
            <w:r>
              <w:rPr>
                <w:sz w:val="16"/>
              </w:rPr>
              <w:t xml:space="preserve"> </w:t>
            </w:r>
            <w:r>
              <w:rPr>
                <w:i/>
                <w:sz w:val="16"/>
              </w:rPr>
              <w:t>nebo</w:t>
            </w:r>
            <w:r>
              <w:rPr>
                <w:sz w:val="16"/>
              </w:rPr>
              <w:t xml:space="preserve"> </w:t>
            </w:r>
          </w:p>
          <w:p w:rsidR="007043CB" w:rsidRDefault="004B5C2E">
            <w:pPr>
              <w:numPr>
                <w:ilvl w:val="0"/>
                <w:numId w:val="96"/>
              </w:numPr>
              <w:spacing w:after="0" w:line="259" w:lineRule="auto"/>
              <w:ind w:right="710" w:firstLine="0"/>
              <w:jc w:val="left"/>
            </w:pPr>
            <w:r>
              <w:rPr>
                <w:b/>
                <w:sz w:val="16"/>
              </w:rPr>
              <w:t>bezpečnostní visací zámek</w:t>
            </w:r>
            <w:r>
              <w:rPr>
                <w:sz w:val="16"/>
              </w:rPr>
              <w:t xml:space="preserve"> </w:t>
            </w:r>
          </w:p>
        </w:tc>
      </w:tr>
      <w:tr w:rsidR="007043CB">
        <w:trPr>
          <w:trHeight w:val="317"/>
        </w:trPr>
        <w:tc>
          <w:tcPr>
            <w:tcW w:w="1294" w:type="dxa"/>
            <w:vMerge w:val="restart"/>
            <w:tcBorders>
              <w:top w:val="single" w:sz="2" w:space="0" w:color="000000"/>
              <w:left w:val="single" w:sz="2" w:space="0" w:color="000000"/>
              <w:bottom w:val="single" w:sz="2" w:space="0" w:color="000000"/>
              <w:right w:val="single" w:sz="2" w:space="0" w:color="000000"/>
            </w:tcBorders>
            <w:vAlign w:val="center"/>
          </w:tcPr>
          <w:p w:rsidR="007043CB" w:rsidRDefault="004B5C2E">
            <w:pPr>
              <w:spacing w:after="0" w:line="259" w:lineRule="auto"/>
              <w:ind w:left="0" w:firstLine="0"/>
              <w:jc w:val="center"/>
            </w:pPr>
            <w:r>
              <w:rPr>
                <w:b/>
                <w:sz w:val="16"/>
              </w:rPr>
              <w:t xml:space="preserve">oplocené prostranství </w:t>
            </w:r>
          </w:p>
        </w:tc>
        <w:tc>
          <w:tcPr>
            <w:tcW w:w="2558" w:type="dxa"/>
            <w:tcBorders>
              <w:top w:val="single" w:sz="2" w:space="0" w:color="000000"/>
              <w:left w:val="single" w:sz="2" w:space="0" w:color="000000"/>
              <w:bottom w:val="single" w:sz="2" w:space="0" w:color="000000"/>
              <w:right w:val="single" w:sz="2" w:space="0" w:color="000000"/>
            </w:tcBorders>
          </w:tcPr>
          <w:p w:rsidR="007043CB" w:rsidRDefault="004B5C2E">
            <w:pPr>
              <w:spacing w:after="0" w:line="259" w:lineRule="auto"/>
              <w:ind w:left="0" w:right="3" w:firstLine="0"/>
              <w:jc w:val="center"/>
            </w:pPr>
            <w:r>
              <w:rPr>
                <w:sz w:val="16"/>
              </w:rPr>
              <w:t xml:space="preserve">oplocení </w:t>
            </w:r>
          </w:p>
        </w:tc>
        <w:tc>
          <w:tcPr>
            <w:tcW w:w="5223" w:type="dxa"/>
            <w:tcBorders>
              <w:top w:val="single" w:sz="2" w:space="0" w:color="000000"/>
              <w:left w:val="single" w:sz="2" w:space="0" w:color="000000"/>
              <w:bottom w:val="single" w:sz="2" w:space="0" w:color="000000"/>
              <w:right w:val="single" w:sz="2" w:space="0" w:color="000000"/>
            </w:tcBorders>
          </w:tcPr>
          <w:p w:rsidR="007043CB" w:rsidRDefault="004B5C2E">
            <w:pPr>
              <w:spacing w:after="0" w:line="259" w:lineRule="auto"/>
              <w:ind w:left="0" w:firstLine="0"/>
              <w:jc w:val="left"/>
            </w:pPr>
            <w:r>
              <w:rPr>
                <w:rFonts w:ascii="Wingdings" w:eastAsia="Wingdings" w:hAnsi="Wingdings" w:cs="Wingdings"/>
                <w:sz w:val="16"/>
              </w:rPr>
              <w:t></w:t>
            </w:r>
            <w:r>
              <w:rPr>
                <w:rFonts w:ascii="Arial" w:eastAsia="Arial" w:hAnsi="Arial" w:cs="Arial"/>
                <w:sz w:val="16"/>
              </w:rPr>
              <w:t xml:space="preserve"> </w:t>
            </w:r>
            <w:r>
              <w:rPr>
                <w:sz w:val="16"/>
              </w:rPr>
              <w:t xml:space="preserve">výška oplocení 180 cm </w:t>
            </w:r>
          </w:p>
        </w:tc>
      </w:tr>
      <w:tr w:rsidR="007043CB">
        <w:trPr>
          <w:trHeight w:val="583"/>
        </w:trPr>
        <w:tc>
          <w:tcPr>
            <w:tcW w:w="0" w:type="auto"/>
            <w:vMerge/>
            <w:tcBorders>
              <w:top w:val="nil"/>
              <w:left w:val="single" w:sz="2" w:space="0" w:color="000000"/>
              <w:bottom w:val="nil"/>
              <w:right w:val="single" w:sz="2" w:space="0" w:color="000000"/>
            </w:tcBorders>
          </w:tcPr>
          <w:p w:rsidR="007043CB" w:rsidRDefault="007043CB">
            <w:pPr>
              <w:spacing w:after="160" w:line="259" w:lineRule="auto"/>
              <w:ind w:left="0" w:firstLine="0"/>
              <w:jc w:val="left"/>
            </w:pPr>
          </w:p>
        </w:tc>
        <w:tc>
          <w:tcPr>
            <w:tcW w:w="2558" w:type="dxa"/>
            <w:tcBorders>
              <w:top w:val="single" w:sz="2" w:space="0" w:color="000000"/>
              <w:left w:val="single" w:sz="2" w:space="0" w:color="000000"/>
              <w:bottom w:val="single" w:sz="2" w:space="0" w:color="000000"/>
              <w:right w:val="single" w:sz="2" w:space="0" w:color="000000"/>
            </w:tcBorders>
            <w:vAlign w:val="center"/>
          </w:tcPr>
          <w:p w:rsidR="007043CB" w:rsidRDefault="004B5C2E">
            <w:pPr>
              <w:spacing w:after="0" w:line="259" w:lineRule="auto"/>
              <w:ind w:left="0" w:right="6" w:firstLine="0"/>
              <w:jc w:val="center"/>
            </w:pPr>
            <w:r>
              <w:rPr>
                <w:sz w:val="16"/>
              </w:rPr>
              <w:t xml:space="preserve">zámek vstupů </w:t>
            </w:r>
          </w:p>
        </w:tc>
        <w:tc>
          <w:tcPr>
            <w:tcW w:w="5223" w:type="dxa"/>
            <w:tcBorders>
              <w:top w:val="single" w:sz="2" w:space="0" w:color="000000"/>
              <w:left w:val="single" w:sz="2" w:space="0" w:color="000000"/>
              <w:bottom w:val="single" w:sz="2" w:space="0" w:color="000000"/>
              <w:right w:val="single" w:sz="2" w:space="0" w:color="000000"/>
            </w:tcBorders>
          </w:tcPr>
          <w:p w:rsidR="007043CB" w:rsidRDefault="004B5C2E">
            <w:pPr>
              <w:numPr>
                <w:ilvl w:val="0"/>
                <w:numId w:val="97"/>
              </w:numPr>
              <w:spacing w:after="22" w:line="239" w:lineRule="auto"/>
              <w:ind w:right="732" w:firstLine="0"/>
              <w:jc w:val="left"/>
            </w:pPr>
            <w:r>
              <w:rPr>
                <w:sz w:val="16"/>
              </w:rPr>
              <w:t>zámek s</w:t>
            </w:r>
            <w:r>
              <w:rPr>
                <w:b/>
                <w:sz w:val="16"/>
              </w:rPr>
              <w:t xml:space="preserve"> bezpečnostní cylindrickou vložkou</w:t>
            </w:r>
            <w:r>
              <w:rPr>
                <w:sz w:val="16"/>
              </w:rPr>
              <w:t xml:space="preserve"> </w:t>
            </w:r>
            <w:r>
              <w:rPr>
                <w:i/>
                <w:sz w:val="16"/>
              </w:rPr>
              <w:t>nebo</w:t>
            </w:r>
            <w:r>
              <w:rPr>
                <w:sz w:val="16"/>
              </w:rPr>
              <w:t xml:space="preserve"> </w:t>
            </w:r>
          </w:p>
          <w:p w:rsidR="007043CB" w:rsidRDefault="004B5C2E">
            <w:pPr>
              <w:numPr>
                <w:ilvl w:val="0"/>
                <w:numId w:val="97"/>
              </w:numPr>
              <w:spacing w:after="0" w:line="259" w:lineRule="auto"/>
              <w:ind w:right="732" w:firstLine="0"/>
              <w:jc w:val="left"/>
            </w:pPr>
            <w:r>
              <w:rPr>
                <w:b/>
                <w:sz w:val="16"/>
              </w:rPr>
              <w:t>bezpečnostní visací zámek</w:t>
            </w:r>
            <w:r>
              <w:rPr>
                <w:sz w:val="16"/>
              </w:rPr>
              <w:t xml:space="preserve"> </w:t>
            </w:r>
          </w:p>
        </w:tc>
      </w:tr>
      <w:tr w:rsidR="007043CB">
        <w:trPr>
          <w:trHeight w:val="965"/>
        </w:trPr>
        <w:tc>
          <w:tcPr>
            <w:tcW w:w="0" w:type="auto"/>
            <w:vMerge/>
            <w:tcBorders>
              <w:top w:val="nil"/>
              <w:left w:val="single" w:sz="2" w:space="0" w:color="000000"/>
              <w:bottom w:val="single" w:sz="2" w:space="0" w:color="000000"/>
              <w:right w:val="single" w:sz="2" w:space="0" w:color="000000"/>
            </w:tcBorders>
          </w:tcPr>
          <w:p w:rsidR="007043CB" w:rsidRDefault="007043CB">
            <w:pPr>
              <w:spacing w:after="160" w:line="259" w:lineRule="auto"/>
              <w:ind w:left="0" w:firstLine="0"/>
              <w:jc w:val="left"/>
            </w:pPr>
          </w:p>
        </w:tc>
        <w:tc>
          <w:tcPr>
            <w:tcW w:w="2558" w:type="dxa"/>
            <w:tcBorders>
              <w:top w:val="single" w:sz="2" w:space="0" w:color="000000"/>
              <w:left w:val="single" w:sz="2" w:space="0" w:color="000000"/>
              <w:bottom w:val="single" w:sz="2" w:space="0" w:color="000000"/>
              <w:right w:val="single" w:sz="2" w:space="0" w:color="000000"/>
            </w:tcBorders>
            <w:vAlign w:val="center"/>
          </w:tcPr>
          <w:p w:rsidR="007043CB" w:rsidRDefault="004B5C2E">
            <w:pPr>
              <w:spacing w:after="0" w:line="259" w:lineRule="auto"/>
              <w:ind w:left="0" w:right="4" w:firstLine="0"/>
              <w:jc w:val="center"/>
            </w:pPr>
            <w:r>
              <w:rPr>
                <w:sz w:val="16"/>
              </w:rPr>
              <w:t xml:space="preserve">zabezpečení přípojného stroje </w:t>
            </w:r>
          </w:p>
        </w:tc>
        <w:tc>
          <w:tcPr>
            <w:tcW w:w="5223" w:type="dxa"/>
            <w:tcBorders>
              <w:top w:val="single" w:sz="2" w:space="0" w:color="000000"/>
              <w:left w:val="single" w:sz="2" w:space="0" w:color="000000"/>
              <w:bottom w:val="single" w:sz="2" w:space="0" w:color="000000"/>
              <w:right w:val="single" w:sz="2" w:space="0" w:color="000000"/>
            </w:tcBorders>
          </w:tcPr>
          <w:p w:rsidR="007043CB" w:rsidRDefault="004B5C2E">
            <w:pPr>
              <w:numPr>
                <w:ilvl w:val="0"/>
                <w:numId w:val="98"/>
              </w:numPr>
              <w:spacing w:after="1" w:line="235" w:lineRule="auto"/>
              <w:ind w:right="54" w:hanging="216"/>
              <w:jc w:val="left"/>
            </w:pPr>
            <w:r>
              <w:rPr>
                <w:sz w:val="16"/>
              </w:rPr>
              <w:t xml:space="preserve">stroje připevněny řetězem nebo lanem k předmětům pevně spojeným se zemí nebo dalšímu stroji o hmotnosti nad 1 000 kg, uzamčení provedeno </w:t>
            </w:r>
            <w:r>
              <w:rPr>
                <w:b/>
                <w:sz w:val="16"/>
              </w:rPr>
              <w:t>bezpečnostním visacím zámkem</w:t>
            </w:r>
            <w:r>
              <w:rPr>
                <w:sz w:val="16"/>
              </w:rPr>
              <w:t xml:space="preserve">  </w:t>
            </w:r>
          </w:p>
          <w:p w:rsidR="007043CB" w:rsidRDefault="004B5C2E">
            <w:pPr>
              <w:spacing w:after="3" w:line="259" w:lineRule="auto"/>
              <w:ind w:left="0" w:firstLine="0"/>
              <w:jc w:val="left"/>
            </w:pPr>
            <w:r>
              <w:rPr>
                <w:i/>
                <w:sz w:val="16"/>
              </w:rPr>
              <w:t xml:space="preserve">nebo </w:t>
            </w:r>
          </w:p>
          <w:p w:rsidR="007043CB" w:rsidRDefault="004B5C2E">
            <w:pPr>
              <w:numPr>
                <w:ilvl w:val="0"/>
                <w:numId w:val="98"/>
              </w:numPr>
              <w:spacing w:after="0" w:line="259" w:lineRule="auto"/>
              <w:ind w:right="54" w:hanging="216"/>
              <w:jc w:val="left"/>
            </w:pPr>
            <w:r>
              <w:rPr>
                <w:sz w:val="16"/>
              </w:rPr>
              <w:t xml:space="preserve">stroje přitlačeny k zemi pohyblivým ramenem stroje </w:t>
            </w:r>
          </w:p>
        </w:tc>
      </w:tr>
      <w:tr w:rsidR="007043CB">
        <w:trPr>
          <w:trHeight w:val="968"/>
        </w:trPr>
        <w:tc>
          <w:tcPr>
            <w:tcW w:w="1294" w:type="dxa"/>
            <w:tcBorders>
              <w:top w:val="single" w:sz="2" w:space="0" w:color="000000"/>
              <w:left w:val="single" w:sz="2" w:space="0" w:color="000000"/>
              <w:bottom w:val="single" w:sz="2" w:space="0" w:color="000000"/>
              <w:right w:val="single" w:sz="2" w:space="0" w:color="000000"/>
            </w:tcBorders>
          </w:tcPr>
          <w:p w:rsidR="007043CB" w:rsidRDefault="004B5C2E">
            <w:pPr>
              <w:spacing w:after="0" w:line="259" w:lineRule="auto"/>
              <w:ind w:left="33" w:firstLine="0"/>
              <w:jc w:val="left"/>
            </w:pPr>
            <w:r>
              <w:rPr>
                <w:sz w:val="16"/>
              </w:rPr>
              <w:t xml:space="preserve">mimo </w:t>
            </w:r>
            <w:r>
              <w:rPr>
                <w:b/>
                <w:sz w:val="16"/>
              </w:rPr>
              <w:t xml:space="preserve">uzavřený </w:t>
            </w:r>
          </w:p>
          <w:p w:rsidR="007043CB" w:rsidRDefault="004B5C2E">
            <w:pPr>
              <w:spacing w:after="0" w:line="259" w:lineRule="auto"/>
              <w:ind w:left="0" w:firstLine="0"/>
              <w:jc w:val="center"/>
            </w:pPr>
            <w:r>
              <w:rPr>
                <w:b/>
                <w:sz w:val="16"/>
              </w:rPr>
              <w:t>prostor</w:t>
            </w:r>
            <w:r>
              <w:rPr>
                <w:sz w:val="16"/>
              </w:rPr>
              <w:t xml:space="preserve"> nebo </w:t>
            </w:r>
            <w:r>
              <w:rPr>
                <w:b/>
                <w:sz w:val="16"/>
              </w:rPr>
              <w:t>oplocené prostranství</w:t>
            </w:r>
            <w:r>
              <w:rPr>
                <w:sz w:val="16"/>
              </w:rPr>
              <w:t xml:space="preserve"> </w:t>
            </w:r>
          </w:p>
        </w:tc>
        <w:tc>
          <w:tcPr>
            <w:tcW w:w="2558" w:type="dxa"/>
            <w:tcBorders>
              <w:top w:val="single" w:sz="2" w:space="0" w:color="000000"/>
              <w:left w:val="single" w:sz="2" w:space="0" w:color="000000"/>
              <w:bottom w:val="single" w:sz="2" w:space="0" w:color="000000"/>
              <w:right w:val="single" w:sz="2" w:space="0" w:color="000000"/>
            </w:tcBorders>
            <w:vAlign w:val="center"/>
          </w:tcPr>
          <w:p w:rsidR="007043CB" w:rsidRDefault="004B5C2E">
            <w:pPr>
              <w:spacing w:after="0" w:line="259" w:lineRule="auto"/>
              <w:ind w:left="0" w:right="2" w:firstLine="0"/>
              <w:jc w:val="center"/>
            </w:pPr>
            <w:r>
              <w:rPr>
                <w:sz w:val="16"/>
              </w:rPr>
              <w:t xml:space="preserve">zabezpečení přípojného stroje </w:t>
            </w:r>
            <w:r>
              <w:rPr>
                <w:sz w:val="16"/>
                <w:vertAlign w:val="superscript"/>
              </w:rPr>
              <w:t xml:space="preserve">*) </w:t>
            </w:r>
          </w:p>
        </w:tc>
        <w:tc>
          <w:tcPr>
            <w:tcW w:w="5223" w:type="dxa"/>
            <w:tcBorders>
              <w:top w:val="single" w:sz="2" w:space="0" w:color="000000"/>
              <w:left w:val="single" w:sz="2" w:space="0" w:color="000000"/>
              <w:bottom w:val="single" w:sz="2" w:space="0" w:color="000000"/>
              <w:right w:val="single" w:sz="2" w:space="0" w:color="000000"/>
            </w:tcBorders>
          </w:tcPr>
          <w:p w:rsidR="007043CB" w:rsidRDefault="004B5C2E">
            <w:pPr>
              <w:numPr>
                <w:ilvl w:val="0"/>
                <w:numId w:val="99"/>
              </w:numPr>
              <w:spacing w:after="2" w:line="235" w:lineRule="auto"/>
              <w:ind w:right="54" w:hanging="216"/>
              <w:jc w:val="left"/>
            </w:pPr>
            <w:r>
              <w:rPr>
                <w:sz w:val="16"/>
              </w:rPr>
              <w:t xml:space="preserve">stroje připevněny řetězem nebo lanem k předmětům pevně spojeným se zemí nebo dalšímu stroji o hmotnosti nad 1 000 kg, uzamčení provedeno </w:t>
            </w:r>
            <w:r>
              <w:rPr>
                <w:b/>
                <w:sz w:val="16"/>
              </w:rPr>
              <w:t xml:space="preserve">bezpečnostním visacím zámkem </w:t>
            </w:r>
            <w:r>
              <w:rPr>
                <w:b/>
                <w:i/>
                <w:sz w:val="16"/>
              </w:rPr>
              <w:t xml:space="preserve"> </w:t>
            </w:r>
          </w:p>
          <w:p w:rsidR="007043CB" w:rsidRDefault="004B5C2E">
            <w:pPr>
              <w:spacing w:after="3" w:line="259" w:lineRule="auto"/>
              <w:ind w:left="0" w:firstLine="0"/>
              <w:jc w:val="left"/>
            </w:pPr>
            <w:r>
              <w:rPr>
                <w:i/>
                <w:sz w:val="16"/>
              </w:rPr>
              <w:t xml:space="preserve">nebo </w:t>
            </w:r>
          </w:p>
          <w:p w:rsidR="007043CB" w:rsidRDefault="004B5C2E">
            <w:pPr>
              <w:numPr>
                <w:ilvl w:val="0"/>
                <w:numId w:val="99"/>
              </w:numPr>
              <w:spacing w:after="0" w:line="259" w:lineRule="auto"/>
              <w:ind w:right="54" w:hanging="216"/>
              <w:jc w:val="left"/>
            </w:pPr>
            <w:r>
              <w:rPr>
                <w:sz w:val="16"/>
              </w:rPr>
              <w:t xml:space="preserve">stroje přitlačeny k zemi pohyblivým ramenem stroje </w:t>
            </w:r>
          </w:p>
        </w:tc>
      </w:tr>
    </w:tbl>
    <w:p w:rsidR="007043CB" w:rsidRDefault="004B5C2E">
      <w:pPr>
        <w:ind w:left="-15" w:firstLine="0"/>
      </w:pPr>
      <w:r>
        <w:rPr>
          <w:vertAlign w:val="superscript"/>
        </w:rPr>
        <w:t>*)</w:t>
      </w:r>
      <w:r>
        <w:t xml:space="preserve"> Na přípojné mobilní pracovní stroje s provozní hmotností do 1 000 kg uložené mimo uzavřený prostor nebo oplocené prostranství se pojistné nebezpečí pro případ odcizení nevztahuje. </w:t>
      </w:r>
    </w:p>
    <w:p w:rsidR="007043CB" w:rsidRDefault="004B5C2E">
      <w:pPr>
        <w:spacing w:after="0" w:line="259" w:lineRule="auto"/>
        <w:ind w:left="0" w:firstLine="0"/>
        <w:jc w:val="left"/>
      </w:pPr>
      <w:r>
        <w:t xml:space="preserve"> </w:t>
      </w:r>
    </w:p>
    <w:p w:rsidR="007043CB" w:rsidRDefault="004B5C2E">
      <w:pPr>
        <w:spacing w:after="0" w:line="259" w:lineRule="auto"/>
        <w:ind w:left="0" w:firstLine="0"/>
        <w:jc w:val="left"/>
      </w:pPr>
      <w:r>
        <w:t xml:space="preserve"> </w:t>
      </w:r>
    </w:p>
    <w:p w:rsidR="007043CB" w:rsidRDefault="004B5C2E">
      <w:pPr>
        <w:spacing w:after="0" w:line="259" w:lineRule="auto"/>
        <w:ind w:left="0" w:firstLine="0"/>
        <w:jc w:val="left"/>
      </w:pPr>
      <w:r>
        <w:t xml:space="preserve"> </w:t>
      </w:r>
    </w:p>
    <w:p w:rsidR="007043CB" w:rsidRDefault="004B5C2E">
      <w:pPr>
        <w:spacing w:after="0" w:line="259" w:lineRule="auto"/>
        <w:ind w:left="0" w:firstLine="0"/>
        <w:jc w:val="left"/>
      </w:pPr>
      <w:r>
        <w:t xml:space="preserve"> </w:t>
      </w:r>
    </w:p>
    <w:p w:rsidR="007043CB" w:rsidRDefault="004B5C2E">
      <w:pPr>
        <w:spacing w:after="0" w:line="259" w:lineRule="auto"/>
        <w:ind w:left="0" w:firstLine="0"/>
        <w:jc w:val="left"/>
      </w:pPr>
      <w:r>
        <w:t xml:space="preserve"> </w:t>
      </w:r>
    </w:p>
    <w:p w:rsidR="007043CB" w:rsidRDefault="004B5C2E">
      <w:pPr>
        <w:spacing w:after="0" w:line="259" w:lineRule="auto"/>
        <w:ind w:left="0" w:firstLine="0"/>
        <w:jc w:val="left"/>
      </w:pPr>
      <w:r>
        <w:t xml:space="preserve"> </w:t>
      </w:r>
    </w:p>
    <w:p w:rsidR="007043CB" w:rsidRDefault="004B5C2E">
      <w:pPr>
        <w:spacing w:after="0" w:line="259" w:lineRule="auto"/>
        <w:ind w:left="0" w:firstLine="0"/>
        <w:jc w:val="left"/>
      </w:pPr>
      <w:r>
        <w:t xml:space="preserve"> </w:t>
      </w:r>
    </w:p>
    <w:p w:rsidR="007043CB" w:rsidRDefault="004B5C2E">
      <w:pPr>
        <w:spacing w:after="0" w:line="259" w:lineRule="auto"/>
        <w:ind w:left="0" w:firstLine="0"/>
        <w:jc w:val="left"/>
      </w:pPr>
      <w:r>
        <w:t xml:space="preserve"> </w:t>
      </w:r>
    </w:p>
    <w:p w:rsidR="007043CB" w:rsidRDefault="004B5C2E">
      <w:pPr>
        <w:spacing w:after="7" w:line="250" w:lineRule="auto"/>
        <w:ind w:left="-5" w:hanging="10"/>
        <w:jc w:val="left"/>
      </w:pPr>
      <w:r>
        <w:rPr>
          <w:b/>
        </w:rPr>
        <w:t xml:space="preserve">Požadavky na způsoby zabezpečení příslušenství mobilních pracovních strojů  </w:t>
      </w:r>
    </w:p>
    <w:p w:rsidR="007043CB" w:rsidRDefault="004B5C2E">
      <w:pPr>
        <w:ind w:left="-15" w:firstLine="0"/>
      </w:pPr>
      <w:r>
        <w:rPr>
          <w:b/>
        </w:rPr>
        <w:t>Tab. č. 4</w:t>
      </w:r>
      <w:r>
        <w:t xml:space="preserve"> Příslušenství mobilních pracovních strojů uložené v uzavřeném prostoru</w:t>
      </w:r>
      <w:r>
        <w:rPr>
          <w:b/>
        </w:rPr>
        <w:t xml:space="preserve"> </w:t>
      </w:r>
    </w:p>
    <w:tbl>
      <w:tblPr>
        <w:tblStyle w:val="TableGrid"/>
        <w:tblW w:w="9076" w:type="dxa"/>
        <w:tblInd w:w="-70" w:type="dxa"/>
        <w:tblCellMar>
          <w:top w:w="34" w:type="dxa"/>
          <w:left w:w="70" w:type="dxa"/>
          <w:right w:w="67" w:type="dxa"/>
        </w:tblCellMar>
        <w:tblLook w:val="04A0" w:firstRow="1" w:lastRow="0" w:firstColumn="1" w:lastColumn="0" w:noHBand="0" w:noVBand="1"/>
      </w:tblPr>
      <w:tblGrid>
        <w:gridCol w:w="1294"/>
        <w:gridCol w:w="1296"/>
        <w:gridCol w:w="1262"/>
        <w:gridCol w:w="5224"/>
      </w:tblGrid>
      <w:tr w:rsidR="007043CB">
        <w:trPr>
          <w:trHeight w:val="316"/>
        </w:trPr>
        <w:tc>
          <w:tcPr>
            <w:tcW w:w="1294" w:type="dxa"/>
            <w:vMerge w:val="restart"/>
            <w:tcBorders>
              <w:top w:val="single" w:sz="2" w:space="0" w:color="000000"/>
              <w:left w:val="single" w:sz="2" w:space="0" w:color="000000"/>
              <w:bottom w:val="single" w:sz="2" w:space="0" w:color="000000"/>
              <w:right w:val="single" w:sz="2" w:space="0" w:color="000000"/>
            </w:tcBorders>
            <w:shd w:val="clear" w:color="auto" w:fill="CCCCCC"/>
            <w:vAlign w:val="center"/>
          </w:tcPr>
          <w:p w:rsidR="007043CB" w:rsidRDefault="004B5C2E">
            <w:pPr>
              <w:spacing w:after="0" w:line="259" w:lineRule="auto"/>
              <w:ind w:left="0" w:right="3" w:firstLine="0"/>
              <w:jc w:val="center"/>
            </w:pPr>
            <w:r>
              <w:rPr>
                <w:b/>
                <w:sz w:val="16"/>
              </w:rPr>
              <w:t xml:space="preserve">Uložení </w:t>
            </w:r>
          </w:p>
        </w:tc>
        <w:tc>
          <w:tcPr>
            <w:tcW w:w="1296" w:type="dxa"/>
            <w:tcBorders>
              <w:top w:val="single" w:sz="2" w:space="0" w:color="000000"/>
              <w:left w:val="single" w:sz="2" w:space="0" w:color="000000"/>
              <w:bottom w:val="single" w:sz="2" w:space="0" w:color="000000"/>
              <w:right w:val="nil"/>
            </w:tcBorders>
            <w:shd w:val="clear" w:color="auto" w:fill="CCCCCC"/>
          </w:tcPr>
          <w:p w:rsidR="007043CB" w:rsidRDefault="007043CB">
            <w:pPr>
              <w:spacing w:after="160" w:line="259" w:lineRule="auto"/>
              <w:ind w:left="0" w:firstLine="0"/>
              <w:jc w:val="left"/>
            </w:pPr>
          </w:p>
        </w:tc>
        <w:tc>
          <w:tcPr>
            <w:tcW w:w="6486" w:type="dxa"/>
            <w:gridSpan w:val="2"/>
            <w:tcBorders>
              <w:top w:val="single" w:sz="2" w:space="0" w:color="000000"/>
              <w:left w:val="nil"/>
              <w:bottom w:val="single" w:sz="2" w:space="0" w:color="000000"/>
              <w:right w:val="single" w:sz="2" w:space="0" w:color="000000"/>
            </w:tcBorders>
            <w:shd w:val="clear" w:color="auto" w:fill="CCCCCC"/>
          </w:tcPr>
          <w:p w:rsidR="007043CB" w:rsidRDefault="004B5C2E">
            <w:pPr>
              <w:spacing w:after="0" w:line="259" w:lineRule="auto"/>
              <w:ind w:left="992" w:firstLine="0"/>
              <w:jc w:val="left"/>
            </w:pPr>
            <w:r>
              <w:rPr>
                <w:b/>
                <w:sz w:val="16"/>
              </w:rPr>
              <w:t xml:space="preserve">Požadovaný minimální způsob zabezpečení  </w:t>
            </w:r>
          </w:p>
        </w:tc>
      </w:tr>
      <w:tr w:rsidR="007043CB">
        <w:trPr>
          <w:trHeight w:val="893"/>
        </w:trPr>
        <w:tc>
          <w:tcPr>
            <w:tcW w:w="0" w:type="auto"/>
            <w:vMerge/>
            <w:tcBorders>
              <w:top w:val="nil"/>
              <w:left w:val="single" w:sz="2" w:space="0" w:color="000000"/>
              <w:bottom w:val="single" w:sz="2" w:space="0" w:color="000000"/>
              <w:right w:val="single" w:sz="2" w:space="0" w:color="000000"/>
            </w:tcBorders>
          </w:tcPr>
          <w:p w:rsidR="007043CB" w:rsidRDefault="007043CB">
            <w:pPr>
              <w:spacing w:after="160" w:line="259" w:lineRule="auto"/>
              <w:ind w:left="0" w:firstLine="0"/>
              <w:jc w:val="left"/>
            </w:pPr>
          </w:p>
        </w:tc>
        <w:tc>
          <w:tcPr>
            <w:tcW w:w="1296" w:type="dxa"/>
            <w:tcBorders>
              <w:top w:val="single" w:sz="2" w:space="0" w:color="000000"/>
              <w:left w:val="single" w:sz="2" w:space="0" w:color="000000"/>
              <w:bottom w:val="single" w:sz="2" w:space="0" w:color="000000"/>
              <w:right w:val="single" w:sz="2" w:space="0" w:color="000000"/>
            </w:tcBorders>
            <w:shd w:val="clear" w:color="auto" w:fill="CCCCCC"/>
          </w:tcPr>
          <w:p w:rsidR="007043CB" w:rsidRDefault="004B5C2E">
            <w:pPr>
              <w:spacing w:after="0" w:line="235" w:lineRule="auto"/>
              <w:ind w:left="13" w:firstLine="0"/>
              <w:jc w:val="center"/>
            </w:pPr>
            <w:r>
              <w:rPr>
                <w:b/>
                <w:sz w:val="16"/>
              </w:rPr>
              <w:t xml:space="preserve">Limit plnění pro </w:t>
            </w:r>
          </w:p>
          <w:p w:rsidR="007043CB" w:rsidRDefault="004B5C2E">
            <w:pPr>
              <w:spacing w:after="0" w:line="259" w:lineRule="auto"/>
              <w:ind w:left="0" w:firstLine="0"/>
              <w:jc w:val="center"/>
            </w:pPr>
            <w:r>
              <w:rPr>
                <w:b/>
                <w:sz w:val="16"/>
              </w:rPr>
              <w:t xml:space="preserve">příslušenství stroje (Kč) </w:t>
            </w:r>
          </w:p>
        </w:tc>
        <w:tc>
          <w:tcPr>
            <w:tcW w:w="1262" w:type="dxa"/>
            <w:tcBorders>
              <w:top w:val="single" w:sz="2" w:space="0" w:color="000000"/>
              <w:left w:val="single" w:sz="2" w:space="0" w:color="000000"/>
              <w:bottom w:val="single" w:sz="2" w:space="0" w:color="000000"/>
              <w:right w:val="single" w:sz="2" w:space="0" w:color="000000"/>
            </w:tcBorders>
            <w:shd w:val="clear" w:color="auto" w:fill="CCCCCC"/>
            <w:vAlign w:val="center"/>
          </w:tcPr>
          <w:p w:rsidR="007043CB" w:rsidRDefault="004B5C2E">
            <w:pPr>
              <w:spacing w:after="0" w:line="259" w:lineRule="auto"/>
              <w:ind w:left="0" w:firstLine="0"/>
              <w:jc w:val="center"/>
            </w:pPr>
            <w:r>
              <w:rPr>
                <w:b/>
                <w:sz w:val="16"/>
              </w:rPr>
              <w:t xml:space="preserve">Prvek zabezpečení </w:t>
            </w:r>
          </w:p>
        </w:tc>
        <w:tc>
          <w:tcPr>
            <w:tcW w:w="5223" w:type="dxa"/>
            <w:tcBorders>
              <w:top w:val="single" w:sz="2" w:space="0" w:color="000000"/>
              <w:left w:val="single" w:sz="2" w:space="0" w:color="000000"/>
              <w:bottom w:val="single" w:sz="2" w:space="0" w:color="000000"/>
              <w:right w:val="single" w:sz="2" w:space="0" w:color="000000"/>
            </w:tcBorders>
            <w:shd w:val="clear" w:color="auto" w:fill="CCCCCC"/>
            <w:vAlign w:val="center"/>
          </w:tcPr>
          <w:p w:rsidR="007043CB" w:rsidRDefault="004B5C2E">
            <w:pPr>
              <w:spacing w:after="0" w:line="259" w:lineRule="auto"/>
              <w:ind w:left="0" w:right="3" w:firstLine="0"/>
              <w:jc w:val="center"/>
            </w:pPr>
            <w:r>
              <w:rPr>
                <w:b/>
                <w:sz w:val="16"/>
              </w:rPr>
              <w:t xml:space="preserve">Kvalita prvku zabezpečení </w:t>
            </w:r>
          </w:p>
        </w:tc>
      </w:tr>
      <w:tr w:rsidR="007043CB">
        <w:trPr>
          <w:trHeight w:val="317"/>
        </w:trPr>
        <w:tc>
          <w:tcPr>
            <w:tcW w:w="1294" w:type="dxa"/>
            <w:vMerge w:val="restart"/>
            <w:tcBorders>
              <w:top w:val="single" w:sz="2" w:space="0" w:color="000000"/>
              <w:left w:val="single" w:sz="2" w:space="0" w:color="000000"/>
              <w:bottom w:val="single" w:sz="2" w:space="0" w:color="000000"/>
              <w:right w:val="single" w:sz="2" w:space="0" w:color="000000"/>
            </w:tcBorders>
            <w:vAlign w:val="center"/>
          </w:tcPr>
          <w:p w:rsidR="007043CB" w:rsidRDefault="004B5C2E">
            <w:pPr>
              <w:spacing w:after="0" w:line="259" w:lineRule="auto"/>
              <w:ind w:left="0" w:right="6" w:firstLine="0"/>
              <w:jc w:val="center"/>
            </w:pPr>
            <w:r>
              <w:rPr>
                <w:b/>
                <w:sz w:val="16"/>
              </w:rPr>
              <w:t xml:space="preserve">uzavřený </w:t>
            </w:r>
          </w:p>
          <w:p w:rsidR="007043CB" w:rsidRDefault="004B5C2E">
            <w:pPr>
              <w:spacing w:after="0" w:line="259" w:lineRule="auto"/>
              <w:ind w:left="36" w:firstLine="0"/>
              <w:jc w:val="left"/>
            </w:pPr>
            <w:r>
              <w:rPr>
                <w:b/>
                <w:sz w:val="16"/>
              </w:rPr>
              <w:lastRenderedPageBreak/>
              <w:t xml:space="preserve">prostor typu A, </w:t>
            </w:r>
          </w:p>
          <w:p w:rsidR="007043CB" w:rsidRDefault="004B5C2E">
            <w:pPr>
              <w:spacing w:after="0" w:line="259" w:lineRule="auto"/>
              <w:ind w:left="0" w:right="4" w:firstLine="0"/>
              <w:jc w:val="center"/>
            </w:pPr>
            <w:r>
              <w:rPr>
                <w:b/>
                <w:sz w:val="16"/>
              </w:rPr>
              <w:t xml:space="preserve">B nebo C </w:t>
            </w:r>
          </w:p>
        </w:tc>
        <w:tc>
          <w:tcPr>
            <w:tcW w:w="1296" w:type="dxa"/>
            <w:vMerge w:val="restart"/>
            <w:tcBorders>
              <w:top w:val="single" w:sz="2" w:space="0" w:color="000000"/>
              <w:left w:val="single" w:sz="2" w:space="0" w:color="000000"/>
              <w:bottom w:val="single" w:sz="2" w:space="0" w:color="000000"/>
              <w:right w:val="single" w:sz="2" w:space="0" w:color="000000"/>
            </w:tcBorders>
            <w:vAlign w:val="center"/>
          </w:tcPr>
          <w:p w:rsidR="007043CB" w:rsidRDefault="004B5C2E">
            <w:pPr>
              <w:spacing w:after="0" w:line="259" w:lineRule="auto"/>
              <w:ind w:left="0" w:firstLine="0"/>
              <w:jc w:val="center"/>
            </w:pPr>
            <w:r>
              <w:rPr>
                <w:sz w:val="16"/>
              </w:rPr>
              <w:lastRenderedPageBreak/>
              <w:t xml:space="preserve">do 500 000 </w:t>
            </w:r>
          </w:p>
        </w:tc>
        <w:tc>
          <w:tcPr>
            <w:tcW w:w="1262" w:type="dxa"/>
            <w:tcBorders>
              <w:top w:val="single" w:sz="2" w:space="0" w:color="000000"/>
              <w:left w:val="single" w:sz="2" w:space="0" w:color="000000"/>
              <w:bottom w:val="single" w:sz="2" w:space="0" w:color="000000"/>
              <w:right w:val="single" w:sz="2" w:space="0" w:color="000000"/>
            </w:tcBorders>
          </w:tcPr>
          <w:p w:rsidR="007043CB" w:rsidRDefault="004B5C2E">
            <w:pPr>
              <w:spacing w:after="0" w:line="259" w:lineRule="auto"/>
              <w:ind w:left="0" w:right="4" w:firstLine="0"/>
              <w:jc w:val="center"/>
            </w:pPr>
            <w:r>
              <w:rPr>
                <w:sz w:val="16"/>
              </w:rPr>
              <w:t xml:space="preserve">dveře </w:t>
            </w:r>
          </w:p>
        </w:tc>
        <w:tc>
          <w:tcPr>
            <w:tcW w:w="5223" w:type="dxa"/>
            <w:tcBorders>
              <w:top w:val="single" w:sz="2" w:space="0" w:color="000000"/>
              <w:left w:val="single" w:sz="2" w:space="0" w:color="000000"/>
              <w:bottom w:val="single" w:sz="2" w:space="0" w:color="000000"/>
              <w:right w:val="single" w:sz="2" w:space="0" w:color="000000"/>
            </w:tcBorders>
          </w:tcPr>
          <w:p w:rsidR="007043CB" w:rsidRDefault="004B5C2E">
            <w:pPr>
              <w:spacing w:after="0" w:line="259" w:lineRule="auto"/>
              <w:ind w:left="1" w:firstLine="0"/>
              <w:jc w:val="left"/>
            </w:pPr>
            <w:r>
              <w:rPr>
                <w:rFonts w:ascii="Wingdings" w:eastAsia="Wingdings" w:hAnsi="Wingdings" w:cs="Wingdings"/>
                <w:sz w:val="16"/>
              </w:rPr>
              <w:t></w:t>
            </w:r>
            <w:r>
              <w:rPr>
                <w:rFonts w:ascii="Arial" w:eastAsia="Arial" w:hAnsi="Arial" w:cs="Arial"/>
                <w:sz w:val="16"/>
              </w:rPr>
              <w:t xml:space="preserve"> </w:t>
            </w:r>
            <w:r>
              <w:rPr>
                <w:b/>
                <w:sz w:val="16"/>
              </w:rPr>
              <w:t xml:space="preserve">plné </w:t>
            </w:r>
          </w:p>
        </w:tc>
      </w:tr>
      <w:tr w:rsidR="007043CB">
        <w:trPr>
          <w:trHeight w:val="583"/>
        </w:trPr>
        <w:tc>
          <w:tcPr>
            <w:tcW w:w="0" w:type="auto"/>
            <w:vMerge/>
            <w:tcBorders>
              <w:top w:val="nil"/>
              <w:left w:val="single" w:sz="2" w:space="0" w:color="000000"/>
              <w:bottom w:val="nil"/>
              <w:right w:val="single" w:sz="2" w:space="0" w:color="000000"/>
            </w:tcBorders>
          </w:tcPr>
          <w:p w:rsidR="007043CB" w:rsidRDefault="007043CB">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7043CB" w:rsidRDefault="007043CB">
            <w:pPr>
              <w:spacing w:after="160" w:line="259" w:lineRule="auto"/>
              <w:ind w:left="0" w:firstLine="0"/>
              <w:jc w:val="left"/>
            </w:pPr>
          </w:p>
        </w:tc>
        <w:tc>
          <w:tcPr>
            <w:tcW w:w="1262" w:type="dxa"/>
            <w:tcBorders>
              <w:top w:val="single" w:sz="2" w:space="0" w:color="000000"/>
              <w:left w:val="single" w:sz="2" w:space="0" w:color="000000"/>
              <w:bottom w:val="single" w:sz="2" w:space="0" w:color="000000"/>
              <w:right w:val="single" w:sz="2" w:space="0" w:color="000000"/>
            </w:tcBorders>
            <w:vAlign w:val="center"/>
          </w:tcPr>
          <w:p w:rsidR="007043CB" w:rsidRDefault="004B5C2E">
            <w:pPr>
              <w:spacing w:after="0" w:line="259" w:lineRule="auto"/>
              <w:ind w:left="0" w:right="6" w:firstLine="0"/>
              <w:jc w:val="center"/>
            </w:pPr>
            <w:r>
              <w:rPr>
                <w:sz w:val="16"/>
              </w:rPr>
              <w:t xml:space="preserve">zámek vstupů </w:t>
            </w:r>
          </w:p>
        </w:tc>
        <w:tc>
          <w:tcPr>
            <w:tcW w:w="5223" w:type="dxa"/>
            <w:tcBorders>
              <w:top w:val="single" w:sz="2" w:space="0" w:color="000000"/>
              <w:left w:val="single" w:sz="2" w:space="0" w:color="000000"/>
              <w:bottom w:val="single" w:sz="2" w:space="0" w:color="000000"/>
              <w:right w:val="single" w:sz="2" w:space="0" w:color="000000"/>
            </w:tcBorders>
          </w:tcPr>
          <w:p w:rsidR="007043CB" w:rsidRDefault="004B5C2E">
            <w:pPr>
              <w:numPr>
                <w:ilvl w:val="0"/>
                <w:numId w:val="100"/>
              </w:numPr>
              <w:spacing w:after="22" w:line="239" w:lineRule="auto"/>
              <w:ind w:right="710" w:firstLine="0"/>
              <w:jc w:val="left"/>
            </w:pPr>
            <w:r>
              <w:rPr>
                <w:sz w:val="16"/>
              </w:rPr>
              <w:t>zámek s</w:t>
            </w:r>
            <w:r>
              <w:rPr>
                <w:b/>
                <w:sz w:val="16"/>
              </w:rPr>
              <w:t xml:space="preserve"> bezpečnostní cylindrickou vložkou</w:t>
            </w:r>
            <w:r>
              <w:rPr>
                <w:i/>
                <w:sz w:val="16"/>
              </w:rPr>
              <w:t xml:space="preserve"> </w:t>
            </w:r>
            <w:r>
              <w:rPr>
                <w:sz w:val="16"/>
              </w:rPr>
              <w:t xml:space="preserve"> </w:t>
            </w:r>
            <w:r>
              <w:rPr>
                <w:i/>
                <w:sz w:val="16"/>
              </w:rPr>
              <w:t>nebo</w:t>
            </w:r>
            <w:r>
              <w:rPr>
                <w:sz w:val="16"/>
              </w:rPr>
              <w:t xml:space="preserve"> </w:t>
            </w:r>
          </w:p>
          <w:p w:rsidR="007043CB" w:rsidRDefault="004B5C2E">
            <w:pPr>
              <w:numPr>
                <w:ilvl w:val="0"/>
                <w:numId w:val="100"/>
              </w:numPr>
              <w:spacing w:after="0" w:line="259" w:lineRule="auto"/>
              <w:ind w:right="710" w:firstLine="0"/>
              <w:jc w:val="left"/>
            </w:pPr>
            <w:r>
              <w:rPr>
                <w:b/>
                <w:sz w:val="16"/>
              </w:rPr>
              <w:t>bezpečnostní visací zámek</w:t>
            </w:r>
            <w:r>
              <w:rPr>
                <w:sz w:val="16"/>
              </w:rPr>
              <w:t xml:space="preserve"> </w:t>
            </w:r>
          </w:p>
        </w:tc>
      </w:tr>
      <w:tr w:rsidR="007043CB">
        <w:trPr>
          <w:trHeight w:val="317"/>
        </w:trPr>
        <w:tc>
          <w:tcPr>
            <w:tcW w:w="0" w:type="auto"/>
            <w:vMerge/>
            <w:tcBorders>
              <w:top w:val="nil"/>
              <w:left w:val="single" w:sz="2" w:space="0" w:color="000000"/>
              <w:bottom w:val="single" w:sz="2" w:space="0" w:color="000000"/>
              <w:right w:val="single" w:sz="2" w:space="0" w:color="000000"/>
            </w:tcBorders>
          </w:tcPr>
          <w:p w:rsidR="007043CB" w:rsidRDefault="007043CB">
            <w:pPr>
              <w:spacing w:after="160" w:line="259" w:lineRule="auto"/>
              <w:ind w:left="0" w:firstLine="0"/>
              <w:jc w:val="left"/>
            </w:pPr>
          </w:p>
        </w:tc>
        <w:tc>
          <w:tcPr>
            <w:tcW w:w="1296" w:type="dxa"/>
            <w:tcBorders>
              <w:top w:val="single" w:sz="2" w:space="0" w:color="000000"/>
              <w:left w:val="single" w:sz="2" w:space="0" w:color="000000"/>
              <w:bottom w:val="single" w:sz="2" w:space="0" w:color="000000"/>
              <w:right w:val="single" w:sz="2" w:space="0" w:color="000000"/>
            </w:tcBorders>
          </w:tcPr>
          <w:p w:rsidR="007043CB" w:rsidRDefault="004B5C2E">
            <w:pPr>
              <w:spacing w:after="0" w:line="259" w:lineRule="auto"/>
              <w:ind w:left="1" w:firstLine="0"/>
              <w:jc w:val="center"/>
            </w:pPr>
            <w:r>
              <w:rPr>
                <w:sz w:val="16"/>
              </w:rPr>
              <w:t xml:space="preserve">od 500 000 </w:t>
            </w:r>
          </w:p>
        </w:tc>
        <w:tc>
          <w:tcPr>
            <w:tcW w:w="6486" w:type="dxa"/>
            <w:gridSpan w:val="2"/>
            <w:tcBorders>
              <w:top w:val="single" w:sz="2" w:space="0" w:color="000000"/>
              <w:left w:val="single" w:sz="2" w:space="0" w:color="000000"/>
              <w:bottom w:val="single" w:sz="2" w:space="0" w:color="000000"/>
              <w:right w:val="single" w:sz="2" w:space="0" w:color="000000"/>
            </w:tcBorders>
          </w:tcPr>
          <w:p w:rsidR="007043CB" w:rsidRDefault="004B5C2E">
            <w:pPr>
              <w:spacing w:after="0" w:line="259" w:lineRule="auto"/>
              <w:ind w:left="0" w:firstLine="0"/>
              <w:jc w:val="left"/>
            </w:pPr>
            <w:r>
              <w:rPr>
                <w:sz w:val="16"/>
              </w:rPr>
              <w:t xml:space="preserve">Individuálně ujednaný způsob zabezpečení </w:t>
            </w:r>
          </w:p>
        </w:tc>
      </w:tr>
    </w:tbl>
    <w:p w:rsidR="007043CB" w:rsidRDefault="004B5C2E">
      <w:pPr>
        <w:spacing w:after="0" w:line="259" w:lineRule="auto"/>
        <w:ind w:left="0" w:firstLine="0"/>
        <w:jc w:val="left"/>
      </w:pPr>
      <w:r>
        <w:t xml:space="preserve"> </w:t>
      </w:r>
    </w:p>
    <w:p w:rsidR="007043CB" w:rsidRDefault="004B5C2E">
      <w:pPr>
        <w:ind w:left="-15" w:firstLine="0"/>
      </w:pPr>
      <w:r>
        <w:rPr>
          <w:b/>
        </w:rPr>
        <w:t>Tab. č. 5</w:t>
      </w:r>
      <w:r>
        <w:t xml:space="preserve"> Příslušenství mobilních pracovních strojů uložené v oploceném prostranství, mimo uzavřený prostor nebo oplocené prostranství (tzv. volné prostranství) </w:t>
      </w:r>
    </w:p>
    <w:tbl>
      <w:tblPr>
        <w:tblStyle w:val="TableGrid"/>
        <w:tblW w:w="9076" w:type="dxa"/>
        <w:tblInd w:w="-70" w:type="dxa"/>
        <w:tblCellMar>
          <w:top w:w="34" w:type="dxa"/>
          <w:left w:w="70" w:type="dxa"/>
          <w:right w:w="67" w:type="dxa"/>
        </w:tblCellMar>
        <w:tblLook w:val="04A0" w:firstRow="1" w:lastRow="0" w:firstColumn="1" w:lastColumn="0" w:noHBand="0" w:noVBand="1"/>
      </w:tblPr>
      <w:tblGrid>
        <w:gridCol w:w="1294"/>
        <w:gridCol w:w="2558"/>
        <w:gridCol w:w="5224"/>
      </w:tblGrid>
      <w:tr w:rsidR="007043CB">
        <w:trPr>
          <w:trHeight w:val="316"/>
        </w:trPr>
        <w:tc>
          <w:tcPr>
            <w:tcW w:w="1294" w:type="dxa"/>
            <w:vMerge w:val="restart"/>
            <w:tcBorders>
              <w:top w:val="single" w:sz="2" w:space="0" w:color="000000"/>
              <w:left w:val="single" w:sz="2" w:space="0" w:color="000000"/>
              <w:bottom w:val="single" w:sz="2" w:space="0" w:color="000000"/>
              <w:right w:val="single" w:sz="2" w:space="0" w:color="000000"/>
            </w:tcBorders>
            <w:shd w:val="clear" w:color="auto" w:fill="CCCCCC"/>
            <w:vAlign w:val="center"/>
          </w:tcPr>
          <w:p w:rsidR="007043CB" w:rsidRDefault="004B5C2E">
            <w:pPr>
              <w:spacing w:after="0" w:line="259" w:lineRule="auto"/>
              <w:ind w:left="0" w:right="4" w:firstLine="0"/>
              <w:jc w:val="center"/>
            </w:pPr>
            <w:r>
              <w:rPr>
                <w:b/>
                <w:sz w:val="16"/>
              </w:rPr>
              <w:t xml:space="preserve">Uložení </w:t>
            </w:r>
          </w:p>
        </w:tc>
        <w:tc>
          <w:tcPr>
            <w:tcW w:w="7782" w:type="dxa"/>
            <w:gridSpan w:val="2"/>
            <w:tcBorders>
              <w:top w:val="single" w:sz="2" w:space="0" w:color="000000"/>
              <w:left w:val="single" w:sz="2" w:space="0" w:color="000000"/>
              <w:bottom w:val="single" w:sz="2" w:space="0" w:color="000000"/>
              <w:right w:val="single" w:sz="2" w:space="0" w:color="000000"/>
            </w:tcBorders>
            <w:shd w:val="clear" w:color="auto" w:fill="CCCCCC"/>
          </w:tcPr>
          <w:p w:rsidR="007043CB" w:rsidRDefault="004B5C2E">
            <w:pPr>
              <w:spacing w:after="0" w:line="259" w:lineRule="auto"/>
              <w:ind w:left="0" w:right="10" w:firstLine="0"/>
              <w:jc w:val="center"/>
            </w:pPr>
            <w:r>
              <w:rPr>
                <w:b/>
                <w:sz w:val="16"/>
              </w:rPr>
              <w:t xml:space="preserve">Požadovaný minimální způsob zabezpečení  </w:t>
            </w:r>
          </w:p>
        </w:tc>
      </w:tr>
      <w:tr w:rsidR="007043CB">
        <w:trPr>
          <w:trHeight w:val="861"/>
        </w:trPr>
        <w:tc>
          <w:tcPr>
            <w:tcW w:w="0" w:type="auto"/>
            <w:vMerge/>
            <w:tcBorders>
              <w:top w:val="nil"/>
              <w:left w:val="single" w:sz="2" w:space="0" w:color="000000"/>
              <w:bottom w:val="single" w:sz="2" w:space="0" w:color="000000"/>
              <w:right w:val="single" w:sz="2" w:space="0" w:color="000000"/>
            </w:tcBorders>
          </w:tcPr>
          <w:p w:rsidR="007043CB" w:rsidRDefault="007043CB">
            <w:pPr>
              <w:spacing w:after="160" w:line="259" w:lineRule="auto"/>
              <w:ind w:left="0" w:firstLine="0"/>
              <w:jc w:val="left"/>
            </w:pPr>
          </w:p>
        </w:tc>
        <w:tc>
          <w:tcPr>
            <w:tcW w:w="2558" w:type="dxa"/>
            <w:tcBorders>
              <w:top w:val="single" w:sz="2" w:space="0" w:color="000000"/>
              <w:left w:val="single" w:sz="2" w:space="0" w:color="000000"/>
              <w:bottom w:val="single" w:sz="2" w:space="0" w:color="000000"/>
              <w:right w:val="single" w:sz="2" w:space="0" w:color="000000"/>
            </w:tcBorders>
            <w:shd w:val="clear" w:color="auto" w:fill="CCCCCC"/>
            <w:vAlign w:val="center"/>
          </w:tcPr>
          <w:p w:rsidR="007043CB" w:rsidRDefault="004B5C2E">
            <w:pPr>
              <w:spacing w:after="0" w:line="259" w:lineRule="auto"/>
              <w:ind w:left="0" w:right="6" w:firstLine="0"/>
              <w:jc w:val="center"/>
            </w:pPr>
            <w:r>
              <w:rPr>
                <w:b/>
                <w:sz w:val="16"/>
              </w:rPr>
              <w:t xml:space="preserve">Prvek zabezpečení </w:t>
            </w:r>
          </w:p>
        </w:tc>
        <w:tc>
          <w:tcPr>
            <w:tcW w:w="5223" w:type="dxa"/>
            <w:tcBorders>
              <w:top w:val="single" w:sz="2" w:space="0" w:color="000000"/>
              <w:left w:val="single" w:sz="2" w:space="0" w:color="000000"/>
              <w:bottom w:val="single" w:sz="2" w:space="0" w:color="000000"/>
              <w:right w:val="single" w:sz="2" w:space="0" w:color="000000"/>
            </w:tcBorders>
            <w:shd w:val="clear" w:color="auto" w:fill="CCCCCC"/>
            <w:vAlign w:val="center"/>
          </w:tcPr>
          <w:p w:rsidR="007043CB" w:rsidRDefault="004B5C2E">
            <w:pPr>
              <w:spacing w:after="0" w:line="259" w:lineRule="auto"/>
              <w:ind w:left="0" w:right="4" w:firstLine="0"/>
              <w:jc w:val="center"/>
            </w:pPr>
            <w:r>
              <w:rPr>
                <w:b/>
                <w:sz w:val="16"/>
              </w:rPr>
              <w:t xml:space="preserve">Kvalita prvku zabezpečení </w:t>
            </w:r>
          </w:p>
        </w:tc>
      </w:tr>
      <w:tr w:rsidR="007043CB">
        <w:trPr>
          <w:trHeight w:val="318"/>
        </w:trPr>
        <w:tc>
          <w:tcPr>
            <w:tcW w:w="1294" w:type="dxa"/>
            <w:vMerge w:val="restart"/>
            <w:tcBorders>
              <w:top w:val="single" w:sz="2" w:space="0" w:color="000000"/>
              <w:left w:val="single" w:sz="2" w:space="0" w:color="000000"/>
              <w:bottom w:val="single" w:sz="2" w:space="0" w:color="000000"/>
              <w:right w:val="single" w:sz="2" w:space="0" w:color="000000"/>
            </w:tcBorders>
            <w:vAlign w:val="center"/>
          </w:tcPr>
          <w:p w:rsidR="007043CB" w:rsidRDefault="004B5C2E">
            <w:pPr>
              <w:spacing w:after="0" w:line="259" w:lineRule="auto"/>
              <w:ind w:left="0" w:firstLine="0"/>
              <w:jc w:val="center"/>
            </w:pPr>
            <w:r>
              <w:rPr>
                <w:b/>
                <w:sz w:val="16"/>
              </w:rPr>
              <w:t>oplocené prostranství</w:t>
            </w:r>
            <w:r>
              <w:rPr>
                <w:sz w:val="16"/>
              </w:rPr>
              <w:t xml:space="preserve"> </w:t>
            </w:r>
          </w:p>
        </w:tc>
        <w:tc>
          <w:tcPr>
            <w:tcW w:w="2558" w:type="dxa"/>
            <w:tcBorders>
              <w:top w:val="single" w:sz="2" w:space="0" w:color="000000"/>
              <w:left w:val="single" w:sz="2" w:space="0" w:color="000000"/>
              <w:bottom w:val="single" w:sz="2" w:space="0" w:color="000000"/>
              <w:right w:val="single" w:sz="2" w:space="0" w:color="000000"/>
            </w:tcBorders>
          </w:tcPr>
          <w:p w:rsidR="007043CB" w:rsidRDefault="004B5C2E">
            <w:pPr>
              <w:spacing w:after="0" w:line="259" w:lineRule="auto"/>
              <w:ind w:left="0" w:right="3" w:firstLine="0"/>
              <w:jc w:val="center"/>
            </w:pPr>
            <w:r>
              <w:rPr>
                <w:sz w:val="16"/>
              </w:rPr>
              <w:t xml:space="preserve">oplocení </w:t>
            </w:r>
          </w:p>
        </w:tc>
        <w:tc>
          <w:tcPr>
            <w:tcW w:w="5223" w:type="dxa"/>
            <w:tcBorders>
              <w:top w:val="single" w:sz="2" w:space="0" w:color="000000"/>
              <w:left w:val="single" w:sz="2" w:space="0" w:color="000000"/>
              <w:bottom w:val="single" w:sz="2" w:space="0" w:color="000000"/>
              <w:right w:val="single" w:sz="2" w:space="0" w:color="000000"/>
            </w:tcBorders>
          </w:tcPr>
          <w:p w:rsidR="007043CB" w:rsidRDefault="004B5C2E">
            <w:pPr>
              <w:spacing w:after="0" w:line="259" w:lineRule="auto"/>
              <w:ind w:left="0" w:firstLine="0"/>
              <w:jc w:val="left"/>
            </w:pPr>
            <w:r>
              <w:rPr>
                <w:rFonts w:ascii="Wingdings" w:eastAsia="Wingdings" w:hAnsi="Wingdings" w:cs="Wingdings"/>
                <w:sz w:val="16"/>
              </w:rPr>
              <w:t></w:t>
            </w:r>
            <w:r>
              <w:rPr>
                <w:rFonts w:ascii="Arial" w:eastAsia="Arial" w:hAnsi="Arial" w:cs="Arial"/>
                <w:sz w:val="16"/>
              </w:rPr>
              <w:t xml:space="preserve"> </w:t>
            </w:r>
            <w:r>
              <w:rPr>
                <w:sz w:val="16"/>
              </w:rPr>
              <w:t xml:space="preserve">výška oplocení 180 cm </w:t>
            </w:r>
          </w:p>
        </w:tc>
      </w:tr>
      <w:tr w:rsidR="007043CB">
        <w:trPr>
          <w:trHeight w:val="581"/>
        </w:trPr>
        <w:tc>
          <w:tcPr>
            <w:tcW w:w="0" w:type="auto"/>
            <w:vMerge/>
            <w:tcBorders>
              <w:top w:val="nil"/>
              <w:left w:val="single" w:sz="2" w:space="0" w:color="000000"/>
              <w:bottom w:val="nil"/>
              <w:right w:val="single" w:sz="2" w:space="0" w:color="000000"/>
            </w:tcBorders>
          </w:tcPr>
          <w:p w:rsidR="007043CB" w:rsidRDefault="007043CB">
            <w:pPr>
              <w:spacing w:after="160" w:line="259" w:lineRule="auto"/>
              <w:ind w:left="0" w:firstLine="0"/>
              <w:jc w:val="left"/>
            </w:pPr>
          </w:p>
        </w:tc>
        <w:tc>
          <w:tcPr>
            <w:tcW w:w="2558" w:type="dxa"/>
            <w:tcBorders>
              <w:top w:val="single" w:sz="2" w:space="0" w:color="000000"/>
              <w:left w:val="single" w:sz="2" w:space="0" w:color="000000"/>
              <w:bottom w:val="single" w:sz="2" w:space="0" w:color="000000"/>
              <w:right w:val="single" w:sz="2" w:space="0" w:color="000000"/>
            </w:tcBorders>
            <w:vAlign w:val="center"/>
          </w:tcPr>
          <w:p w:rsidR="007043CB" w:rsidRDefault="004B5C2E">
            <w:pPr>
              <w:spacing w:after="0" w:line="259" w:lineRule="auto"/>
              <w:ind w:left="0" w:right="6" w:firstLine="0"/>
              <w:jc w:val="center"/>
            </w:pPr>
            <w:r>
              <w:rPr>
                <w:sz w:val="16"/>
              </w:rPr>
              <w:t xml:space="preserve">zámek vstupů </w:t>
            </w:r>
          </w:p>
        </w:tc>
        <w:tc>
          <w:tcPr>
            <w:tcW w:w="5223" w:type="dxa"/>
            <w:tcBorders>
              <w:top w:val="single" w:sz="2" w:space="0" w:color="000000"/>
              <w:left w:val="single" w:sz="2" w:space="0" w:color="000000"/>
              <w:bottom w:val="single" w:sz="2" w:space="0" w:color="000000"/>
              <w:right w:val="single" w:sz="2" w:space="0" w:color="000000"/>
            </w:tcBorders>
          </w:tcPr>
          <w:p w:rsidR="007043CB" w:rsidRDefault="004B5C2E">
            <w:pPr>
              <w:numPr>
                <w:ilvl w:val="0"/>
                <w:numId w:val="101"/>
              </w:numPr>
              <w:spacing w:after="24" w:line="236" w:lineRule="auto"/>
              <w:ind w:right="710" w:firstLine="0"/>
              <w:jc w:val="left"/>
            </w:pPr>
            <w:r>
              <w:rPr>
                <w:sz w:val="16"/>
              </w:rPr>
              <w:t>zámek s</w:t>
            </w:r>
            <w:r>
              <w:rPr>
                <w:b/>
                <w:sz w:val="16"/>
              </w:rPr>
              <w:t xml:space="preserve"> bezpečnostní cylindrickou vložkou</w:t>
            </w:r>
            <w:r>
              <w:rPr>
                <w:i/>
                <w:sz w:val="16"/>
              </w:rPr>
              <w:t xml:space="preserve"> </w:t>
            </w:r>
            <w:r>
              <w:rPr>
                <w:sz w:val="16"/>
              </w:rPr>
              <w:t xml:space="preserve"> </w:t>
            </w:r>
            <w:r>
              <w:rPr>
                <w:i/>
                <w:sz w:val="16"/>
              </w:rPr>
              <w:t>nebo</w:t>
            </w:r>
            <w:r>
              <w:rPr>
                <w:sz w:val="16"/>
              </w:rPr>
              <w:t xml:space="preserve"> </w:t>
            </w:r>
          </w:p>
          <w:p w:rsidR="007043CB" w:rsidRDefault="004B5C2E">
            <w:pPr>
              <w:numPr>
                <w:ilvl w:val="0"/>
                <w:numId w:val="101"/>
              </w:numPr>
              <w:spacing w:after="0" w:line="259" w:lineRule="auto"/>
              <w:ind w:right="710" w:firstLine="0"/>
              <w:jc w:val="left"/>
            </w:pPr>
            <w:r>
              <w:rPr>
                <w:b/>
                <w:sz w:val="16"/>
              </w:rPr>
              <w:t>bezpečnostní visací zámek</w:t>
            </w:r>
            <w:r>
              <w:rPr>
                <w:sz w:val="16"/>
              </w:rPr>
              <w:t xml:space="preserve"> </w:t>
            </w:r>
          </w:p>
        </w:tc>
      </w:tr>
      <w:tr w:rsidR="007043CB">
        <w:trPr>
          <w:trHeight w:val="967"/>
        </w:trPr>
        <w:tc>
          <w:tcPr>
            <w:tcW w:w="0" w:type="auto"/>
            <w:vMerge/>
            <w:tcBorders>
              <w:top w:val="nil"/>
              <w:left w:val="single" w:sz="2" w:space="0" w:color="000000"/>
              <w:bottom w:val="single" w:sz="2" w:space="0" w:color="000000"/>
              <w:right w:val="single" w:sz="2" w:space="0" w:color="000000"/>
            </w:tcBorders>
          </w:tcPr>
          <w:p w:rsidR="007043CB" w:rsidRDefault="007043CB">
            <w:pPr>
              <w:spacing w:after="160" w:line="259" w:lineRule="auto"/>
              <w:ind w:left="0" w:firstLine="0"/>
              <w:jc w:val="left"/>
            </w:pPr>
          </w:p>
        </w:tc>
        <w:tc>
          <w:tcPr>
            <w:tcW w:w="2558" w:type="dxa"/>
            <w:tcBorders>
              <w:top w:val="single" w:sz="2" w:space="0" w:color="000000"/>
              <w:left w:val="single" w:sz="2" w:space="0" w:color="000000"/>
              <w:bottom w:val="single" w:sz="2" w:space="0" w:color="000000"/>
              <w:right w:val="single" w:sz="2" w:space="0" w:color="000000"/>
            </w:tcBorders>
            <w:vAlign w:val="center"/>
          </w:tcPr>
          <w:p w:rsidR="007043CB" w:rsidRDefault="004B5C2E">
            <w:pPr>
              <w:spacing w:after="0" w:line="259" w:lineRule="auto"/>
              <w:ind w:left="0" w:right="5" w:firstLine="0"/>
              <w:jc w:val="center"/>
            </w:pPr>
            <w:r>
              <w:rPr>
                <w:sz w:val="16"/>
              </w:rPr>
              <w:t xml:space="preserve">zabezpečení příslušenství stroje </w:t>
            </w:r>
          </w:p>
        </w:tc>
        <w:tc>
          <w:tcPr>
            <w:tcW w:w="5223" w:type="dxa"/>
            <w:tcBorders>
              <w:top w:val="single" w:sz="2" w:space="0" w:color="000000"/>
              <w:left w:val="single" w:sz="2" w:space="0" w:color="000000"/>
              <w:bottom w:val="single" w:sz="2" w:space="0" w:color="000000"/>
              <w:right w:val="single" w:sz="2" w:space="0" w:color="000000"/>
            </w:tcBorders>
          </w:tcPr>
          <w:p w:rsidR="007043CB" w:rsidRDefault="004B5C2E">
            <w:pPr>
              <w:numPr>
                <w:ilvl w:val="0"/>
                <w:numId w:val="102"/>
              </w:numPr>
              <w:spacing w:after="1" w:line="235" w:lineRule="auto"/>
              <w:ind w:hanging="216"/>
              <w:jc w:val="left"/>
            </w:pPr>
            <w:r>
              <w:rPr>
                <w:sz w:val="16"/>
              </w:rPr>
              <w:t xml:space="preserve">příslušenství stroje připevněno řetězem nebo lanem k předmětům pevně spojeným se zemí nebo stroji o hmotnosti nad 1 000 kg, uzamčení provedeno </w:t>
            </w:r>
            <w:r>
              <w:rPr>
                <w:b/>
                <w:sz w:val="16"/>
              </w:rPr>
              <w:t>bezpečnostním visacím zámkem</w:t>
            </w:r>
            <w:r>
              <w:rPr>
                <w:sz w:val="16"/>
              </w:rPr>
              <w:t xml:space="preserve">  </w:t>
            </w:r>
          </w:p>
          <w:p w:rsidR="007043CB" w:rsidRDefault="004B5C2E">
            <w:pPr>
              <w:spacing w:after="3" w:line="259" w:lineRule="auto"/>
              <w:ind w:left="0" w:firstLine="0"/>
              <w:jc w:val="left"/>
            </w:pPr>
            <w:r>
              <w:rPr>
                <w:i/>
                <w:sz w:val="16"/>
              </w:rPr>
              <w:t xml:space="preserve">nebo </w:t>
            </w:r>
          </w:p>
          <w:p w:rsidR="007043CB" w:rsidRDefault="004B5C2E">
            <w:pPr>
              <w:numPr>
                <w:ilvl w:val="0"/>
                <w:numId w:val="102"/>
              </w:numPr>
              <w:spacing w:after="0" w:line="259" w:lineRule="auto"/>
              <w:ind w:hanging="216"/>
              <w:jc w:val="left"/>
            </w:pPr>
            <w:r>
              <w:rPr>
                <w:sz w:val="16"/>
              </w:rPr>
              <w:t xml:space="preserve">stroje přitlačeny k zemi pohyblivým ramenem stroje </w:t>
            </w:r>
          </w:p>
        </w:tc>
      </w:tr>
      <w:tr w:rsidR="007043CB">
        <w:trPr>
          <w:trHeight w:val="967"/>
        </w:trPr>
        <w:tc>
          <w:tcPr>
            <w:tcW w:w="1294" w:type="dxa"/>
            <w:tcBorders>
              <w:top w:val="single" w:sz="2" w:space="0" w:color="000000"/>
              <w:left w:val="single" w:sz="2" w:space="0" w:color="000000"/>
              <w:bottom w:val="single" w:sz="2" w:space="0" w:color="000000"/>
              <w:right w:val="single" w:sz="2" w:space="0" w:color="000000"/>
            </w:tcBorders>
          </w:tcPr>
          <w:p w:rsidR="007043CB" w:rsidRDefault="004B5C2E">
            <w:pPr>
              <w:spacing w:after="0" w:line="259" w:lineRule="auto"/>
              <w:ind w:left="33" w:firstLine="0"/>
              <w:jc w:val="left"/>
            </w:pPr>
            <w:r>
              <w:rPr>
                <w:sz w:val="16"/>
              </w:rPr>
              <w:t xml:space="preserve">mimo </w:t>
            </w:r>
            <w:r>
              <w:rPr>
                <w:b/>
                <w:sz w:val="16"/>
              </w:rPr>
              <w:t xml:space="preserve">uzavřený </w:t>
            </w:r>
          </w:p>
          <w:p w:rsidR="007043CB" w:rsidRDefault="004B5C2E">
            <w:pPr>
              <w:spacing w:after="0" w:line="259" w:lineRule="auto"/>
              <w:ind w:left="0" w:firstLine="0"/>
              <w:jc w:val="center"/>
            </w:pPr>
            <w:r>
              <w:rPr>
                <w:b/>
                <w:sz w:val="16"/>
              </w:rPr>
              <w:t>prostor</w:t>
            </w:r>
            <w:r>
              <w:rPr>
                <w:sz w:val="16"/>
              </w:rPr>
              <w:t xml:space="preserve"> nebo </w:t>
            </w:r>
            <w:r>
              <w:rPr>
                <w:b/>
                <w:sz w:val="16"/>
              </w:rPr>
              <w:t>oplocené prostranství</w:t>
            </w:r>
            <w:r>
              <w:rPr>
                <w:sz w:val="16"/>
              </w:rPr>
              <w:t xml:space="preserve"> </w:t>
            </w:r>
          </w:p>
        </w:tc>
        <w:tc>
          <w:tcPr>
            <w:tcW w:w="2558" w:type="dxa"/>
            <w:tcBorders>
              <w:top w:val="single" w:sz="2" w:space="0" w:color="000000"/>
              <w:left w:val="single" w:sz="2" w:space="0" w:color="000000"/>
              <w:bottom w:val="single" w:sz="2" w:space="0" w:color="000000"/>
              <w:right w:val="single" w:sz="2" w:space="0" w:color="000000"/>
            </w:tcBorders>
            <w:vAlign w:val="center"/>
          </w:tcPr>
          <w:p w:rsidR="007043CB" w:rsidRDefault="004B5C2E">
            <w:pPr>
              <w:spacing w:after="0" w:line="259" w:lineRule="auto"/>
              <w:ind w:left="35" w:firstLine="0"/>
              <w:jc w:val="left"/>
            </w:pPr>
            <w:r>
              <w:rPr>
                <w:sz w:val="16"/>
              </w:rPr>
              <w:t xml:space="preserve">zabezpečení příslušenství stroje </w:t>
            </w:r>
            <w:r>
              <w:rPr>
                <w:sz w:val="16"/>
                <w:vertAlign w:val="superscript"/>
              </w:rPr>
              <w:t>*)</w:t>
            </w:r>
            <w:r>
              <w:rPr>
                <w:sz w:val="16"/>
              </w:rPr>
              <w:t xml:space="preserve"> </w:t>
            </w:r>
          </w:p>
        </w:tc>
        <w:tc>
          <w:tcPr>
            <w:tcW w:w="5223" w:type="dxa"/>
            <w:tcBorders>
              <w:top w:val="single" w:sz="2" w:space="0" w:color="000000"/>
              <w:left w:val="single" w:sz="2" w:space="0" w:color="000000"/>
              <w:bottom w:val="single" w:sz="2" w:space="0" w:color="000000"/>
              <w:right w:val="single" w:sz="2" w:space="0" w:color="000000"/>
            </w:tcBorders>
          </w:tcPr>
          <w:p w:rsidR="007043CB" w:rsidRDefault="004B5C2E">
            <w:pPr>
              <w:numPr>
                <w:ilvl w:val="0"/>
                <w:numId w:val="103"/>
              </w:numPr>
              <w:spacing w:after="3" w:line="235" w:lineRule="auto"/>
              <w:ind w:right="54" w:hanging="216"/>
              <w:jc w:val="left"/>
            </w:pPr>
            <w:r>
              <w:rPr>
                <w:sz w:val="16"/>
              </w:rPr>
              <w:t xml:space="preserve">stroje připevněny řetězem nebo lanem k předmětům pevně spojeným se zemí nebo dalšímu stroji o hmotnosti nad 1 000 kg, uzamčení provedeno </w:t>
            </w:r>
            <w:r>
              <w:rPr>
                <w:b/>
                <w:sz w:val="16"/>
              </w:rPr>
              <w:t xml:space="preserve">bezpečnostním visacím zámkem  </w:t>
            </w:r>
          </w:p>
          <w:p w:rsidR="007043CB" w:rsidRDefault="004B5C2E">
            <w:pPr>
              <w:spacing w:after="3" w:line="259" w:lineRule="auto"/>
              <w:ind w:left="0" w:firstLine="0"/>
              <w:jc w:val="left"/>
            </w:pPr>
            <w:r>
              <w:rPr>
                <w:i/>
                <w:sz w:val="16"/>
              </w:rPr>
              <w:t>nebo</w:t>
            </w:r>
            <w:r>
              <w:rPr>
                <w:b/>
                <w:sz w:val="16"/>
              </w:rPr>
              <w:t xml:space="preserve"> </w:t>
            </w:r>
          </w:p>
          <w:p w:rsidR="007043CB" w:rsidRDefault="004B5C2E">
            <w:pPr>
              <w:numPr>
                <w:ilvl w:val="0"/>
                <w:numId w:val="103"/>
              </w:numPr>
              <w:spacing w:after="0" w:line="259" w:lineRule="auto"/>
              <w:ind w:right="54" w:hanging="216"/>
              <w:jc w:val="left"/>
            </w:pPr>
            <w:r>
              <w:rPr>
                <w:sz w:val="16"/>
              </w:rPr>
              <w:t>stroje přitlačeny k zemi pohyblivým ramenem stroje</w:t>
            </w:r>
            <w:r>
              <w:rPr>
                <w:b/>
                <w:sz w:val="16"/>
              </w:rPr>
              <w:t xml:space="preserve"> </w:t>
            </w:r>
          </w:p>
        </w:tc>
      </w:tr>
    </w:tbl>
    <w:p w:rsidR="007043CB" w:rsidRDefault="004B5C2E">
      <w:pPr>
        <w:ind w:left="-15" w:firstLine="0"/>
      </w:pPr>
      <w:r>
        <w:rPr>
          <w:vertAlign w:val="superscript"/>
        </w:rPr>
        <w:t>*)</w:t>
      </w:r>
      <w:r>
        <w:t xml:space="preserve"> Na příslušenství mobilních pracovních strojů s hmotností do 1 000 kg uložené mimo uzavřený prostor nebo oplocené prostranství se pojistné nebezpečí pro případ odcizení nevztahuje. </w:t>
      </w:r>
    </w:p>
    <w:p w:rsidR="007043CB" w:rsidRDefault="004B5C2E">
      <w:pPr>
        <w:spacing w:after="39" w:line="259" w:lineRule="auto"/>
        <w:ind w:left="0" w:firstLine="0"/>
        <w:jc w:val="left"/>
      </w:pPr>
      <w:r>
        <w:rPr>
          <w:b/>
        </w:rPr>
        <w:t xml:space="preserve"> </w:t>
      </w:r>
    </w:p>
    <w:p w:rsidR="007043CB" w:rsidRDefault="004B5C2E">
      <w:pPr>
        <w:spacing w:after="39" w:line="259" w:lineRule="auto"/>
        <w:ind w:left="0" w:firstLine="0"/>
        <w:jc w:val="left"/>
      </w:pPr>
      <w:r>
        <w:rPr>
          <w:b/>
        </w:rPr>
        <w:t xml:space="preserve"> </w:t>
      </w:r>
    </w:p>
    <w:p w:rsidR="007043CB" w:rsidRDefault="004B5C2E">
      <w:pPr>
        <w:spacing w:after="39" w:line="259" w:lineRule="auto"/>
        <w:ind w:left="0" w:firstLine="0"/>
        <w:jc w:val="left"/>
      </w:pPr>
      <w:r>
        <w:rPr>
          <w:b/>
        </w:rPr>
        <w:t xml:space="preserve"> </w:t>
      </w:r>
    </w:p>
    <w:p w:rsidR="007043CB" w:rsidRDefault="004B5C2E">
      <w:pPr>
        <w:spacing w:after="49" w:line="250" w:lineRule="auto"/>
        <w:ind w:left="-5" w:hanging="10"/>
        <w:jc w:val="left"/>
      </w:pPr>
      <w:r>
        <w:rPr>
          <w:b/>
        </w:rPr>
        <w:t>Doložka Sklo DSK1 - Reklamy, instalace</w:t>
      </w:r>
      <w:r>
        <w:t xml:space="preserve"> - Rozšíření předmětu pojištění</w:t>
      </w:r>
      <w:r>
        <w:rPr>
          <w:b/>
        </w:rPr>
        <w:t xml:space="preserve"> </w:t>
      </w:r>
      <w:r>
        <w:t xml:space="preserve">(1201) </w:t>
      </w:r>
    </w:p>
    <w:p w:rsidR="007043CB" w:rsidRDefault="004B5C2E">
      <w:pPr>
        <w:numPr>
          <w:ilvl w:val="0"/>
          <w:numId w:val="18"/>
        </w:numPr>
        <w:ind w:hanging="271"/>
      </w:pPr>
      <w:r>
        <w:t xml:space="preserve">Odchylně od čl. I. ZPP P - 250/05 se ujednává, že se pojištění vztahuje i na poškození nebo zničení světelných reklam a světelných nápisů, včetně jejich elektrické instalace a nosné konstrukce. Dále se pojištění vztahuje na skleněné pulty, vitríny a skleněné stěny uvnitř budov. </w:t>
      </w:r>
    </w:p>
    <w:p w:rsidR="007043CB" w:rsidRDefault="004B5C2E">
      <w:pPr>
        <w:numPr>
          <w:ilvl w:val="0"/>
          <w:numId w:val="18"/>
        </w:numPr>
        <w:ind w:hanging="271"/>
      </w:pPr>
      <w:r>
        <w:t xml:space="preserve">Z pojištění nevzniká oprávněné osobě právo na plnění za: </w:t>
      </w:r>
    </w:p>
    <w:p w:rsidR="007043CB" w:rsidRDefault="004B5C2E">
      <w:pPr>
        <w:numPr>
          <w:ilvl w:val="1"/>
          <w:numId w:val="18"/>
        </w:numPr>
        <w:ind w:hanging="274"/>
      </w:pPr>
      <w:r>
        <w:t xml:space="preserve">takové poškození elektrické instalace, které vzniklo v důsledku závady v dodávce elektrického proudu nebo poruchy,  </w:t>
      </w:r>
    </w:p>
    <w:p w:rsidR="007043CB" w:rsidRDefault="004B5C2E">
      <w:pPr>
        <w:numPr>
          <w:ilvl w:val="1"/>
          <w:numId w:val="18"/>
        </w:numPr>
        <w:ind w:hanging="274"/>
      </w:pPr>
      <w:r>
        <w:t xml:space="preserve">poškození takového zařízení, které nesouvisí s poškozením osvětlovaných nebo zabezpečovaných skel, </w:t>
      </w:r>
    </w:p>
    <w:p w:rsidR="007043CB" w:rsidRDefault="004B5C2E">
      <w:pPr>
        <w:numPr>
          <w:ilvl w:val="1"/>
          <w:numId w:val="18"/>
        </w:numPr>
        <w:ind w:hanging="274"/>
      </w:pPr>
      <w:r>
        <w:t xml:space="preserve">škody, k nimž došlo v důsledku pádu pojištěné věci zapříčiněného její vadně instalovanou nebo zkorodovanou nosnou konstrukcí. </w:t>
      </w:r>
    </w:p>
    <w:p w:rsidR="007043CB" w:rsidRDefault="004B5C2E">
      <w:pPr>
        <w:numPr>
          <w:ilvl w:val="1"/>
          <w:numId w:val="18"/>
        </w:numPr>
        <w:ind w:hanging="274"/>
      </w:pPr>
      <w:r>
        <w:t xml:space="preserve">vyprchání plynové náplně ze svítidel a reklamních trubic. </w:t>
      </w:r>
    </w:p>
    <w:p w:rsidR="007043CB" w:rsidRDefault="004B5C2E">
      <w:pPr>
        <w:spacing w:after="39" w:line="259" w:lineRule="auto"/>
        <w:ind w:left="0" w:firstLine="0"/>
        <w:jc w:val="left"/>
      </w:pPr>
      <w:r>
        <w:rPr>
          <w:b/>
        </w:rPr>
        <w:t xml:space="preserve"> </w:t>
      </w:r>
    </w:p>
    <w:p w:rsidR="007043CB" w:rsidRDefault="004B5C2E">
      <w:pPr>
        <w:spacing w:after="39" w:line="259" w:lineRule="auto"/>
        <w:ind w:left="0" w:firstLine="0"/>
        <w:jc w:val="left"/>
      </w:pPr>
      <w:r>
        <w:rPr>
          <w:b/>
        </w:rPr>
        <w:t xml:space="preserve"> </w:t>
      </w:r>
    </w:p>
    <w:p w:rsidR="007043CB" w:rsidRDefault="004B5C2E">
      <w:pPr>
        <w:spacing w:after="48"/>
        <w:ind w:left="-15" w:firstLine="0"/>
      </w:pPr>
      <w:r>
        <w:rPr>
          <w:b/>
        </w:rPr>
        <w:t>Doložka Stroje DST2 - Požár</w:t>
      </w:r>
      <w:r>
        <w:t xml:space="preserve"> - Rozšíření rozsahu pojištění (1201) </w:t>
      </w:r>
    </w:p>
    <w:p w:rsidR="007043CB" w:rsidRDefault="004B5C2E">
      <w:pPr>
        <w:ind w:left="266" w:right="2072"/>
      </w:pPr>
      <w:r>
        <w:t xml:space="preserve">Odchylně od čl. V. ZPP P - 300/05 se ujednává, že právo na pojistné plnění vzniká i za škody vzniklé: a) požárem a jeho průvodními jevy, </w:t>
      </w:r>
    </w:p>
    <w:p w:rsidR="007043CB" w:rsidRDefault="004B5C2E">
      <w:pPr>
        <w:numPr>
          <w:ilvl w:val="1"/>
          <w:numId w:val="19"/>
        </w:numPr>
        <w:ind w:hanging="274"/>
      </w:pPr>
      <w:r>
        <w:t xml:space="preserve">výbuchem, </w:t>
      </w:r>
    </w:p>
    <w:p w:rsidR="007043CB" w:rsidRDefault="004B5C2E">
      <w:pPr>
        <w:numPr>
          <w:ilvl w:val="1"/>
          <w:numId w:val="19"/>
        </w:numPr>
        <w:ind w:hanging="274"/>
      </w:pPr>
      <w:r>
        <w:t xml:space="preserve">úderem blesku, </w:t>
      </w:r>
    </w:p>
    <w:p w:rsidR="007043CB" w:rsidRDefault="004B5C2E">
      <w:pPr>
        <w:numPr>
          <w:ilvl w:val="1"/>
          <w:numId w:val="19"/>
        </w:numPr>
        <w:ind w:hanging="274"/>
      </w:pPr>
      <w:r>
        <w:t xml:space="preserve">nárazem nebo zřícením letadla, jeho částí nebo jeho nákladu. </w:t>
      </w:r>
    </w:p>
    <w:p w:rsidR="007043CB" w:rsidRDefault="004B5C2E">
      <w:pPr>
        <w:spacing w:after="39" w:line="259" w:lineRule="auto"/>
        <w:ind w:left="0" w:firstLine="0"/>
        <w:jc w:val="left"/>
      </w:pPr>
      <w:r>
        <w:rPr>
          <w:b/>
        </w:rPr>
        <w:t xml:space="preserve"> </w:t>
      </w:r>
    </w:p>
    <w:p w:rsidR="007043CB" w:rsidRDefault="004B5C2E">
      <w:pPr>
        <w:spacing w:after="51"/>
        <w:ind w:left="-15" w:firstLine="0"/>
      </w:pPr>
      <w:r>
        <w:rPr>
          <w:b/>
        </w:rPr>
        <w:t>Doložka Stroje DST3 - Povodeň</w:t>
      </w:r>
      <w:r>
        <w:t xml:space="preserve"> - Rozšíření rozsahu pojištění (1201) </w:t>
      </w:r>
    </w:p>
    <w:p w:rsidR="007043CB" w:rsidRDefault="004B5C2E">
      <w:pPr>
        <w:ind w:left="-15" w:firstLine="0"/>
      </w:pPr>
      <w:r>
        <w:t xml:space="preserve">Odchylně od čl. V. ZPP P - 300/05 se ujednává, že právo na pojistné plnění vzniká i za škody vzniklé povodní nebo záplavou.  </w:t>
      </w:r>
    </w:p>
    <w:p w:rsidR="007043CB" w:rsidRDefault="004B5C2E">
      <w:pPr>
        <w:spacing w:after="39" w:line="259" w:lineRule="auto"/>
        <w:ind w:left="0" w:firstLine="0"/>
        <w:jc w:val="left"/>
      </w:pPr>
      <w:r>
        <w:rPr>
          <w:b/>
        </w:rPr>
        <w:t xml:space="preserve"> </w:t>
      </w:r>
    </w:p>
    <w:p w:rsidR="007043CB" w:rsidRDefault="004B5C2E">
      <w:pPr>
        <w:spacing w:after="51"/>
        <w:ind w:left="-15" w:firstLine="0"/>
      </w:pPr>
      <w:r>
        <w:rPr>
          <w:b/>
        </w:rPr>
        <w:t>Doložka Stroje</w:t>
      </w:r>
      <w:r>
        <w:t xml:space="preserve"> </w:t>
      </w:r>
      <w:r>
        <w:rPr>
          <w:b/>
        </w:rPr>
        <w:t>DST4 - Vichřice</w:t>
      </w:r>
      <w:r>
        <w:t xml:space="preserve"> - Rozšíření rozsahu pojištění (1201)</w:t>
      </w:r>
      <w:r>
        <w:rPr>
          <w:b/>
        </w:rPr>
        <w:t xml:space="preserve"> </w:t>
      </w:r>
    </w:p>
    <w:p w:rsidR="007043CB" w:rsidRDefault="004B5C2E">
      <w:pPr>
        <w:ind w:left="-15" w:firstLine="0"/>
      </w:pPr>
      <w:r>
        <w:t xml:space="preserve">Odchylně od čl. V. ZPP P - 300/05 se ujednává, že právo na pojistné plnění vzniká i za škody vzniklé vichřicí nebo krupobitím.  </w:t>
      </w:r>
    </w:p>
    <w:p w:rsidR="007043CB" w:rsidRDefault="004B5C2E">
      <w:pPr>
        <w:spacing w:after="0" w:line="259" w:lineRule="auto"/>
        <w:ind w:left="0" w:firstLine="0"/>
        <w:jc w:val="left"/>
      </w:pPr>
      <w:r>
        <w:rPr>
          <w:b/>
        </w:rPr>
        <w:t xml:space="preserve"> </w:t>
      </w:r>
    </w:p>
    <w:p w:rsidR="007043CB" w:rsidRDefault="004B5C2E">
      <w:pPr>
        <w:spacing w:after="51"/>
        <w:ind w:left="-15" w:firstLine="0"/>
      </w:pPr>
      <w:r>
        <w:rPr>
          <w:b/>
        </w:rPr>
        <w:t>Doložka Stroje</w:t>
      </w:r>
      <w:r>
        <w:t xml:space="preserve"> </w:t>
      </w:r>
      <w:r>
        <w:rPr>
          <w:b/>
        </w:rPr>
        <w:t>DST5 - Sesuv</w:t>
      </w:r>
      <w:r>
        <w:t xml:space="preserve"> - Rozšíření rozsahu pojištění (1201)</w:t>
      </w:r>
      <w:r>
        <w:rPr>
          <w:b/>
        </w:rPr>
        <w:t xml:space="preserve"> </w:t>
      </w:r>
    </w:p>
    <w:p w:rsidR="007043CB" w:rsidRDefault="004B5C2E">
      <w:pPr>
        <w:ind w:left="-15" w:firstLine="0"/>
      </w:pPr>
      <w:r>
        <w:t xml:space="preserve">Odchylně od čl. V. ZPP P - 300/05 se ujednává, že právo na pojistné plnění vzniká i za škody vzniklé sesouváním půdy, zřícením skal nebo zemin, sesouváním nebo zřícením lavin, zemětřesením. </w:t>
      </w:r>
    </w:p>
    <w:p w:rsidR="007043CB" w:rsidRDefault="004B5C2E">
      <w:pPr>
        <w:spacing w:after="39" w:line="259" w:lineRule="auto"/>
        <w:ind w:left="0" w:firstLine="0"/>
        <w:jc w:val="left"/>
      </w:pPr>
      <w:r>
        <w:rPr>
          <w:b/>
        </w:rPr>
        <w:t xml:space="preserve"> </w:t>
      </w:r>
    </w:p>
    <w:p w:rsidR="007043CB" w:rsidRDefault="004B5C2E">
      <w:pPr>
        <w:spacing w:after="51"/>
        <w:ind w:left="-15" w:firstLine="0"/>
      </w:pPr>
      <w:r>
        <w:rPr>
          <w:b/>
        </w:rPr>
        <w:t>Doložka Stroje DST6 - Náraz</w:t>
      </w:r>
      <w:r>
        <w:t xml:space="preserve"> - Rozšíření rozsahu pojištění (1201) </w:t>
      </w:r>
    </w:p>
    <w:p w:rsidR="007043CB" w:rsidRDefault="004B5C2E">
      <w:pPr>
        <w:ind w:left="-15" w:firstLine="0"/>
      </w:pPr>
      <w:r>
        <w:lastRenderedPageBreak/>
        <w:t xml:space="preserve">Odchylně od čl. V. ZPP P - 300/05 se ujednává, že právo na pojistné plnění vzniká i za škody vzniklé nárazem dopravního prostředku nebo jeho nákladu, pádem stromů, stožárů nebo jiných předmětů, nejsou-li součástí poškozené věci nebo nejsou-li součástí téhož souboru jako poškozená věc. </w:t>
      </w:r>
    </w:p>
    <w:p w:rsidR="007043CB" w:rsidRDefault="004B5C2E">
      <w:pPr>
        <w:spacing w:after="39" w:line="259" w:lineRule="auto"/>
        <w:ind w:left="0" w:firstLine="0"/>
        <w:jc w:val="left"/>
      </w:pPr>
      <w:r>
        <w:rPr>
          <w:b/>
        </w:rPr>
        <w:t xml:space="preserve"> </w:t>
      </w:r>
    </w:p>
    <w:p w:rsidR="007043CB" w:rsidRDefault="004B5C2E">
      <w:pPr>
        <w:spacing w:after="48"/>
        <w:ind w:left="-15" w:firstLine="0"/>
      </w:pPr>
      <w:r>
        <w:rPr>
          <w:b/>
        </w:rPr>
        <w:t>Doložka Stroje</w:t>
      </w:r>
      <w:r>
        <w:t xml:space="preserve"> </w:t>
      </w:r>
      <w:r>
        <w:rPr>
          <w:b/>
        </w:rPr>
        <w:t>DST8 - Odcizení</w:t>
      </w:r>
      <w:r>
        <w:t xml:space="preserve"> - Rozšíření rozsahu pojištění (1201) </w:t>
      </w:r>
    </w:p>
    <w:p w:rsidR="007043CB" w:rsidRDefault="004B5C2E">
      <w:pPr>
        <w:ind w:left="-15" w:firstLine="0"/>
      </w:pPr>
      <w:r>
        <w:t xml:space="preserve">Odchylně od čl. V. bod c) ZPP P - 300/05 se ujednává, že právo na pojistné plnění vzniká i za škody vzniklé v důsledku </w:t>
      </w:r>
      <w:r>
        <w:rPr>
          <w:b/>
        </w:rPr>
        <w:t>odcizení pojištěné věci</w:t>
      </w:r>
      <w:r>
        <w:t xml:space="preserve">: </w:t>
      </w:r>
    </w:p>
    <w:p w:rsidR="007043CB" w:rsidRDefault="004B5C2E">
      <w:pPr>
        <w:ind w:left="271" w:right="1580" w:firstLine="0"/>
      </w:pPr>
      <w:r>
        <w:t xml:space="preserve">a) krádeží, při které pachatel prokazatelně překonal překážky chránící pojištěnou věc před odcizením, b) loupeží. </w:t>
      </w:r>
    </w:p>
    <w:p w:rsidR="007043CB" w:rsidRDefault="004B5C2E">
      <w:pPr>
        <w:spacing w:after="39" w:line="259" w:lineRule="auto"/>
        <w:ind w:left="0" w:firstLine="0"/>
        <w:jc w:val="left"/>
      </w:pPr>
      <w:r>
        <w:rPr>
          <w:b/>
        </w:rPr>
        <w:t xml:space="preserve"> </w:t>
      </w:r>
    </w:p>
    <w:p w:rsidR="007043CB" w:rsidRDefault="004B5C2E">
      <w:pPr>
        <w:spacing w:after="47" w:line="250" w:lineRule="auto"/>
        <w:ind w:left="-5" w:hanging="10"/>
        <w:jc w:val="left"/>
      </w:pPr>
      <w:r>
        <w:rPr>
          <w:b/>
        </w:rPr>
        <w:t>Doložka Stroje DST11 - Výměna agregátů, opravy vinutí</w:t>
      </w:r>
      <w:r>
        <w:t xml:space="preserve"> - Vymezení pojistného plnění (1201) </w:t>
      </w:r>
    </w:p>
    <w:p w:rsidR="007043CB" w:rsidRDefault="004B5C2E">
      <w:pPr>
        <w:ind w:left="-15" w:firstLine="0"/>
      </w:pPr>
      <w:r>
        <w:t xml:space="preserve">Odchylně od čl. VIII. ZPP P – 300/05 se ujednává, že pokud oprava poškozené věci v důsledku pojistné události vyžaduje: </w:t>
      </w:r>
    </w:p>
    <w:p w:rsidR="007043CB" w:rsidRDefault="004B5C2E">
      <w:pPr>
        <w:numPr>
          <w:ilvl w:val="0"/>
          <w:numId w:val="20"/>
        </w:numPr>
        <w:ind w:hanging="274"/>
      </w:pPr>
      <w:r>
        <w:t xml:space="preserve">převinutí cívek (nebo výměnu agregátů v důsledku škody na vinutí),  </w:t>
      </w:r>
    </w:p>
    <w:p w:rsidR="007043CB" w:rsidRDefault="004B5C2E">
      <w:pPr>
        <w:numPr>
          <w:ilvl w:val="0"/>
          <w:numId w:val="20"/>
        </w:numPr>
        <w:ind w:hanging="274"/>
      </w:pPr>
      <w:r>
        <w:t xml:space="preserve">opravu bloků, hlav motorů nebo kompresorů včetně jejich příslušenství,  </w:t>
      </w:r>
    </w:p>
    <w:p w:rsidR="007043CB" w:rsidRDefault="004B5C2E">
      <w:pPr>
        <w:ind w:left="-15" w:firstLine="0"/>
      </w:pPr>
      <w:r>
        <w:t xml:space="preserve">odečte pojistitel při stanovení výše plnění i částku odpovídající opotřebení uvedených věcí, a to 10 % za každý ukončený rok provozu, z nákladů na opravu (nebo z hodnoty vyměněného agregátu), celkově však maximálně 60 % stanoveného plnění. </w:t>
      </w:r>
    </w:p>
    <w:p w:rsidR="007043CB" w:rsidRDefault="004B5C2E">
      <w:pPr>
        <w:spacing w:after="39" w:line="259" w:lineRule="auto"/>
        <w:ind w:left="0" w:firstLine="0"/>
        <w:jc w:val="left"/>
      </w:pPr>
      <w:r>
        <w:rPr>
          <w:b/>
        </w:rPr>
        <w:t xml:space="preserve"> </w:t>
      </w:r>
    </w:p>
    <w:p w:rsidR="007043CB" w:rsidRDefault="004B5C2E">
      <w:pPr>
        <w:spacing w:after="39" w:line="259" w:lineRule="auto"/>
        <w:ind w:left="0" w:firstLine="0"/>
        <w:jc w:val="left"/>
      </w:pPr>
      <w:r>
        <w:rPr>
          <w:b/>
        </w:rPr>
        <w:t xml:space="preserve"> </w:t>
      </w:r>
    </w:p>
    <w:p w:rsidR="007043CB" w:rsidRDefault="004B5C2E">
      <w:pPr>
        <w:spacing w:after="49" w:line="250" w:lineRule="auto"/>
        <w:ind w:left="-5" w:hanging="10"/>
        <w:jc w:val="left"/>
      </w:pPr>
      <w:r>
        <w:rPr>
          <w:b/>
        </w:rPr>
        <w:t>Doložka Elektronika DEL7 - Sdružený živel</w:t>
      </w:r>
      <w:r>
        <w:t xml:space="preserve"> - Výluka (1201) </w:t>
      </w:r>
    </w:p>
    <w:p w:rsidR="007043CB" w:rsidRDefault="004B5C2E">
      <w:pPr>
        <w:ind w:left="-15" w:firstLine="0"/>
      </w:pPr>
      <w:r>
        <w:t xml:space="preserve">Odchylně od čl. II. ZPP P - 320/05 se ujednává, že se pojištění nevztahuje na poškození nebo zničení pojištěných věcí způsobené: </w:t>
      </w:r>
    </w:p>
    <w:p w:rsidR="007043CB" w:rsidRDefault="004B5C2E">
      <w:pPr>
        <w:numPr>
          <w:ilvl w:val="0"/>
          <w:numId w:val="21"/>
        </w:numPr>
        <w:ind w:hanging="274"/>
      </w:pPr>
      <w:r>
        <w:t xml:space="preserve">požárem a jeho průvodními jevy, </w:t>
      </w:r>
    </w:p>
    <w:p w:rsidR="007043CB" w:rsidRDefault="004B5C2E">
      <w:pPr>
        <w:numPr>
          <w:ilvl w:val="0"/>
          <w:numId w:val="21"/>
        </w:numPr>
        <w:ind w:hanging="274"/>
      </w:pPr>
      <w:r>
        <w:t xml:space="preserve">výbuchem, </w:t>
      </w:r>
    </w:p>
    <w:p w:rsidR="007043CB" w:rsidRDefault="004B5C2E">
      <w:pPr>
        <w:numPr>
          <w:ilvl w:val="0"/>
          <w:numId w:val="21"/>
        </w:numPr>
        <w:ind w:hanging="274"/>
      </w:pPr>
      <w:r>
        <w:t xml:space="preserve">úderem blesku, </w:t>
      </w:r>
    </w:p>
    <w:p w:rsidR="007043CB" w:rsidRDefault="004B5C2E">
      <w:pPr>
        <w:numPr>
          <w:ilvl w:val="0"/>
          <w:numId w:val="21"/>
        </w:numPr>
        <w:ind w:hanging="274"/>
      </w:pPr>
      <w:r>
        <w:t xml:space="preserve">nárazem nebo zřícením letadla, jeho částí nebo jeho nákladu.  </w:t>
      </w:r>
    </w:p>
    <w:p w:rsidR="007043CB" w:rsidRDefault="004B5C2E">
      <w:pPr>
        <w:numPr>
          <w:ilvl w:val="0"/>
          <w:numId w:val="21"/>
        </w:numPr>
        <w:ind w:hanging="274"/>
      </w:pPr>
      <w:r>
        <w:t xml:space="preserve">povodní nebo záplavou,  </w:t>
      </w:r>
    </w:p>
    <w:p w:rsidR="007043CB" w:rsidRDefault="004B5C2E">
      <w:pPr>
        <w:numPr>
          <w:ilvl w:val="0"/>
          <w:numId w:val="21"/>
        </w:numPr>
        <w:ind w:hanging="274"/>
      </w:pPr>
      <w:r>
        <w:t xml:space="preserve">vichřicí nebo krupobitím,  </w:t>
      </w:r>
    </w:p>
    <w:p w:rsidR="007043CB" w:rsidRDefault="004B5C2E">
      <w:pPr>
        <w:numPr>
          <w:ilvl w:val="0"/>
          <w:numId w:val="21"/>
        </w:numPr>
        <w:ind w:hanging="274"/>
      </w:pPr>
      <w:r>
        <w:t xml:space="preserve">sesouváním půdy, zřícením skal nebo zemin, sesouváním nebo zřícením lavin, zemětřesením, a je-li pojištěnou věcí budova, též tíhou sněhu nebo námrazy,  </w:t>
      </w:r>
    </w:p>
    <w:p w:rsidR="007043CB" w:rsidRDefault="004B5C2E">
      <w:pPr>
        <w:numPr>
          <w:ilvl w:val="0"/>
          <w:numId w:val="21"/>
        </w:numPr>
        <w:ind w:hanging="274"/>
      </w:pPr>
      <w:r>
        <w:t xml:space="preserve">nárazem dopravního prostředku nebo jeho nákladu, pádem stromů, stožárů nebo jiných předmětů, nejsou-li součástí poškozené věci nebo nejsou-li součástí téhož souboru jako poškozená věc,  </w:t>
      </w:r>
    </w:p>
    <w:p w:rsidR="007043CB" w:rsidRDefault="004B5C2E">
      <w:pPr>
        <w:numPr>
          <w:ilvl w:val="0"/>
          <w:numId w:val="21"/>
        </w:numPr>
        <w:ind w:hanging="274"/>
      </w:pPr>
      <w:r>
        <w:t xml:space="preserve">kapalinou unikající z vodovodních zařízení a médiem vytékajícím v důsledku poruchy ze stabilních hasicích zařízení.  </w:t>
      </w:r>
    </w:p>
    <w:p w:rsidR="007043CB" w:rsidRDefault="004B5C2E">
      <w:pPr>
        <w:spacing w:after="0" w:line="259" w:lineRule="auto"/>
        <w:ind w:left="0" w:firstLine="0"/>
        <w:jc w:val="left"/>
      </w:pPr>
      <w:r>
        <w:rPr>
          <w:b/>
        </w:rPr>
        <w:t xml:space="preserve"> </w:t>
      </w:r>
    </w:p>
    <w:p w:rsidR="007043CB" w:rsidRDefault="004B5C2E">
      <w:pPr>
        <w:spacing w:after="7" w:line="250" w:lineRule="auto"/>
        <w:ind w:left="-5" w:hanging="10"/>
        <w:jc w:val="left"/>
      </w:pPr>
      <w:r>
        <w:rPr>
          <w:b/>
        </w:rPr>
        <w:t>Doložka Elektronika DEL8 - Odcizení</w:t>
      </w:r>
      <w:r>
        <w:t xml:space="preserve"> - Výluka (1201) </w:t>
      </w:r>
    </w:p>
    <w:p w:rsidR="007043CB" w:rsidRDefault="004B5C2E">
      <w:pPr>
        <w:ind w:left="-15" w:firstLine="0"/>
      </w:pPr>
      <w:r>
        <w:t xml:space="preserve">Odchylně od čl. II. ZPP P - 320/05 se ujednává, že se pojištění nevztahuje na škody vzniklé v důsledku </w:t>
      </w:r>
      <w:r>
        <w:rPr>
          <w:b/>
        </w:rPr>
        <w:t xml:space="preserve">odcizení pojištěné věci; </w:t>
      </w:r>
    </w:p>
    <w:p w:rsidR="007043CB" w:rsidRDefault="004B5C2E">
      <w:pPr>
        <w:ind w:left="271" w:right="1322" w:firstLine="0"/>
      </w:pPr>
      <w:r>
        <w:t xml:space="preserve">a) krádeží, při které pachatel prokazatelně překonal překážky chránící pojištěné zařízení před odcizením, b) nebo loupeží.  </w:t>
      </w:r>
    </w:p>
    <w:p w:rsidR="007043CB" w:rsidRDefault="004B5C2E">
      <w:pPr>
        <w:spacing w:after="39" w:line="259" w:lineRule="auto"/>
        <w:ind w:left="0" w:firstLine="0"/>
        <w:jc w:val="left"/>
      </w:pPr>
      <w:r>
        <w:rPr>
          <w:b/>
        </w:rPr>
        <w:t xml:space="preserve"> </w:t>
      </w:r>
    </w:p>
    <w:p w:rsidR="007043CB" w:rsidRDefault="004B5C2E">
      <w:pPr>
        <w:spacing w:after="39" w:line="259" w:lineRule="auto"/>
        <w:ind w:left="0" w:firstLine="0"/>
        <w:jc w:val="left"/>
      </w:pPr>
      <w:r>
        <w:rPr>
          <w:b/>
        </w:rPr>
        <w:t xml:space="preserve"> </w:t>
      </w:r>
    </w:p>
    <w:p w:rsidR="007043CB" w:rsidRDefault="004B5C2E">
      <w:pPr>
        <w:spacing w:after="39" w:line="259" w:lineRule="auto"/>
        <w:ind w:left="0" w:firstLine="0"/>
        <w:jc w:val="left"/>
      </w:pPr>
      <w:r>
        <w:rPr>
          <w:b/>
        </w:rPr>
        <w:t xml:space="preserve"> </w:t>
      </w:r>
    </w:p>
    <w:p w:rsidR="007043CB" w:rsidRDefault="004B5C2E">
      <w:pPr>
        <w:spacing w:after="49" w:line="250" w:lineRule="auto"/>
        <w:ind w:left="-5" w:hanging="10"/>
        <w:jc w:val="left"/>
      </w:pPr>
      <w:r>
        <w:rPr>
          <w:b/>
        </w:rPr>
        <w:t>Doložka DOB1 - Elektronická rizika</w:t>
      </w:r>
      <w:r>
        <w:t xml:space="preserve"> - Výluka (1201) </w:t>
      </w:r>
    </w:p>
    <w:p w:rsidR="007043CB" w:rsidRDefault="004B5C2E">
      <w:pPr>
        <w:ind w:left="-15" w:firstLine="0"/>
      </w:pPr>
      <w:r>
        <w:t xml:space="preserve">Ujednává se, že se pojištění nevztahuje na jakákoli poškození, následné škody, ztrátu užitné hodnoty, náklady, nároky a výdaje preventivní i jiné, jakékoli povahy přímo i nepřímo plynoucí nebo způsobené, ať plně nebo částečně: </w:t>
      </w:r>
    </w:p>
    <w:p w:rsidR="007043CB" w:rsidRDefault="004B5C2E">
      <w:pPr>
        <w:numPr>
          <w:ilvl w:val="0"/>
          <w:numId w:val="22"/>
        </w:numPr>
        <w:ind w:hanging="274"/>
      </w:pPr>
      <w:r>
        <w:t xml:space="preserve">užíváním, zneužitím, fungování selháním internetu, kterékoli vnitřní nebo soukromé sítě, internetové stránky, internetové adresy nebo podobného zařízení či služby,  </w:t>
      </w:r>
    </w:p>
    <w:p w:rsidR="007043CB" w:rsidRDefault="004B5C2E">
      <w:pPr>
        <w:numPr>
          <w:ilvl w:val="0"/>
          <w:numId w:val="22"/>
        </w:numPr>
        <w:ind w:hanging="274"/>
      </w:pPr>
      <w:r>
        <w:t xml:space="preserve">jakýmikoli daty nebo jinými informacemi umístěnými na internetové stránce nebo podobném zařízení, </w:t>
      </w:r>
    </w:p>
    <w:p w:rsidR="007043CB" w:rsidRDefault="004B5C2E">
      <w:pPr>
        <w:numPr>
          <w:ilvl w:val="0"/>
          <w:numId w:val="22"/>
        </w:numPr>
        <w:ind w:hanging="274"/>
      </w:pPr>
      <w:r>
        <w:t xml:space="preserve">projevem jakéhokoli počítačového viru nebo obdobného programu,  </w:t>
      </w:r>
    </w:p>
    <w:p w:rsidR="007043CB" w:rsidRDefault="004B5C2E">
      <w:pPr>
        <w:numPr>
          <w:ilvl w:val="0"/>
          <w:numId w:val="22"/>
        </w:numPr>
        <w:ind w:hanging="274"/>
      </w:pPr>
      <w:r>
        <w:t xml:space="preserve">jakýmkoli elektronickým přenosem dat nebo jiných informací, </w:t>
      </w:r>
    </w:p>
    <w:p w:rsidR="007043CB" w:rsidRDefault="004B5C2E">
      <w:pPr>
        <w:numPr>
          <w:ilvl w:val="0"/>
          <w:numId w:val="22"/>
        </w:numPr>
        <w:ind w:hanging="274"/>
      </w:pPr>
      <w:r>
        <w:t xml:space="preserve">jakýmkoli porušením, zničením, zkreslením, zborcením, narušením, vymazáním nebo jinou ztrátou či poškozením dat, programového vybavení, programovacího souboru či souboru instrukcí jakéhokoli druhu, </w:t>
      </w:r>
    </w:p>
    <w:p w:rsidR="007043CB" w:rsidRDefault="004B5C2E">
      <w:pPr>
        <w:numPr>
          <w:ilvl w:val="0"/>
          <w:numId w:val="22"/>
        </w:numPr>
        <w:ind w:hanging="274"/>
      </w:pPr>
      <w:r>
        <w:t xml:space="preserve">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  </w:t>
      </w:r>
    </w:p>
    <w:p w:rsidR="007043CB" w:rsidRDefault="004B5C2E">
      <w:pPr>
        <w:numPr>
          <w:ilvl w:val="0"/>
          <w:numId w:val="22"/>
        </w:numPr>
        <w:ind w:hanging="274"/>
      </w:pPr>
      <w:r>
        <w:t xml:space="preserve">jakýmkoli porušením, ať úmyslným nebo neúmyslným, duševních majetkových práv (např. ochranné známky, autorského práva, patentu apod.). </w:t>
      </w:r>
    </w:p>
    <w:p w:rsidR="007043CB" w:rsidRDefault="004B5C2E">
      <w:pPr>
        <w:ind w:left="-15" w:firstLine="0"/>
      </w:pPr>
      <w:r>
        <w:t xml:space="preserve">Výše uvedené výluky se však neuplatní, vznikne-li z výše uvedených příčin následné poškození nebo zničení pojištěné věci některým z pojistných nebezpečí „požár“, „povodeň“, „vichřice“, „sesuv“, „náraz“ nebo „vodovod“, je-li předmět pojištění proti takovému pojistnému nebezpečí v pojistné smlouvě pojištěn.  </w:t>
      </w:r>
    </w:p>
    <w:p w:rsidR="007043CB" w:rsidRDefault="004B5C2E">
      <w:pPr>
        <w:spacing w:after="0" w:line="259" w:lineRule="auto"/>
        <w:ind w:left="0" w:firstLine="0"/>
        <w:jc w:val="left"/>
      </w:pPr>
      <w:r>
        <w:rPr>
          <w:b/>
        </w:rPr>
        <w:t xml:space="preserve"> </w:t>
      </w:r>
    </w:p>
    <w:p w:rsidR="007043CB" w:rsidRDefault="004B5C2E">
      <w:pPr>
        <w:spacing w:after="50"/>
        <w:ind w:left="-15" w:firstLine="0"/>
      </w:pPr>
      <w:r>
        <w:rPr>
          <w:b/>
        </w:rPr>
        <w:t>Doložka DOB3</w:t>
      </w:r>
      <w:r>
        <w:t xml:space="preserve"> - Výklad pojmů pro účely pojistné smlouvy (1201) </w:t>
      </w:r>
    </w:p>
    <w:p w:rsidR="007043CB" w:rsidRDefault="004B5C2E">
      <w:pPr>
        <w:numPr>
          <w:ilvl w:val="0"/>
          <w:numId w:val="23"/>
        </w:numPr>
        <w:ind w:hanging="271"/>
      </w:pPr>
      <w:r>
        <w:rPr>
          <w:b/>
        </w:rPr>
        <w:t xml:space="preserve">Aerodynamickým třeskem </w:t>
      </w:r>
      <w:r>
        <w:t>se rozumí hlukem doprovázená ničivá tlaková vlna vyvolaná letícím tělesem při překročení hranice rychlosti zvuku.</w:t>
      </w:r>
      <w:r>
        <w:rPr>
          <w:b/>
        </w:rPr>
        <w:t xml:space="preserve">  </w:t>
      </w:r>
    </w:p>
    <w:p w:rsidR="007043CB" w:rsidRDefault="004B5C2E">
      <w:pPr>
        <w:numPr>
          <w:ilvl w:val="0"/>
          <w:numId w:val="23"/>
        </w:numPr>
        <w:ind w:hanging="271"/>
      </w:pPr>
      <w:r>
        <w:rPr>
          <w:b/>
        </w:rPr>
        <w:t xml:space="preserve">Agregovaná pojistná částka </w:t>
      </w:r>
      <w:r>
        <w:t xml:space="preserve">je údaj, který vyjadřuje pojistnou hodnotu souboru pojišťovaných věcí. </w:t>
      </w:r>
      <w:r>
        <w:rPr>
          <w:b/>
        </w:rPr>
        <w:t xml:space="preserve"> </w:t>
      </w:r>
    </w:p>
    <w:p w:rsidR="007043CB" w:rsidRDefault="004B5C2E">
      <w:pPr>
        <w:numPr>
          <w:ilvl w:val="0"/>
          <w:numId w:val="23"/>
        </w:numPr>
        <w:spacing w:after="107"/>
        <w:ind w:hanging="271"/>
      </w:pPr>
      <w:r>
        <w:rPr>
          <w:b/>
        </w:rPr>
        <w:t xml:space="preserve">Celkovou pojistnou částku </w:t>
      </w:r>
      <w:r>
        <w:t>tvoří součet pojistných částek jednotlivých věcí. Celková pojistná částka je horní hranicí plnění pojistitele.</w:t>
      </w:r>
      <w:r>
        <w:rPr>
          <w:b/>
        </w:rPr>
        <w:t xml:space="preserve">  </w:t>
      </w:r>
    </w:p>
    <w:p w:rsidR="007043CB" w:rsidRDefault="004B5C2E">
      <w:pPr>
        <w:numPr>
          <w:ilvl w:val="0"/>
          <w:numId w:val="23"/>
        </w:numPr>
        <w:ind w:hanging="271"/>
      </w:pPr>
      <w:r>
        <w:lastRenderedPageBreak/>
        <w:t xml:space="preserve">Za </w:t>
      </w:r>
      <w:r>
        <w:rPr>
          <w:b/>
        </w:rPr>
        <w:t>cenné věci</w:t>
      </w:r>
      <w:r>
        <w:t xml:space="preserve"> se považují drahé kovy, perly a drahokamy a předměty z nich vyrobené.</w:t>
      </w:r>
      <w:r>
        <w:rPr>
          <w:rFonts w:ascii="Arial" w:eastAsia="Arial" w:hAnsi="Arial" w:cs="Arial"/>
          <w:sz w:val="28"/>
        </w:rPr>
        <w:t xml:space="preserve"> </w:t>
      </w:r>
    </w:p>
    <w:p w:rsidR="007043CB" w:rsidRDefault="004B5C2E">
      <w:pPr>
        <w:numPr>
          <w:ilvl w:val="0"/>
          <w:numId w:val="23"/>
        </w:numPr>
        <w:ind w:hanging="271"/>
      </w:pPr>
      <w:r>
        <w:t xml:space="preserve">Za </w:t>
      </w:r>
      <w:r>
        <w:rPr>
          <w:b/>
        </w:rPr>
        <w:t xml:space="preserve">cennosti </w:t>
      </w:r>
      <w:r>
        <w:t>se považují:</w:t>
      </w:r>
      <w:r>
        <w:rPr>
          <w:b/>
        </w:rPr>
        <w:t xml:space="preserve">  </w:t>
      </w:r>
    </w:p>
    <w:p w:rsidR="007043CB" w:rsidRDefault="004B5C2E">
      <w:pPr>
        <w:numPr>
          <w:ilvl w:val="1"/>
          <w:numId w:val="23"/>
        </w:numPr>
        <w:ind w:hanging="274"/>
      </w:pPr>
      <w:r>
        <w:t xml:space="preserve">peníze, tj. platné tuzemské i cizozemské bankovky a mince,  </w:t>
      </w:r>
    </w:p>
    <w:p w:rsidR="007043CB" w:rsidRDefault="004B5C2E">
      <w:pPr>
        <w:numPr>
          <w:ilvl w:val="1"/>
          <w:numId w:val="23"/>
        </w:numPr>
        <w:ind w:hanging="274"/>
      </w:pPr>
      <w:r>
        <w:t xml:space="preserve">ceniny, tj. poštovní známky, kolky, losy, jízdenky a kupony MHD, dobíjecí kupony do mobilních telefonů, dálniční známky, stravenky apod.,  </w:t>
      </w:r>
    </w:p>
    <w:p w:rsidR="007043CB" w:rsidRDefault="004B5C2E">
      <w:pPr>
        <w:numPr>
          <w:ilvl w:val="1"/>
          <w:numId w:val="23"/>
        </w:numPr>
        <w:ind w:hanging="274"/>
      </w:pPr>
      <w:r>
        <w:t xml:space="preserve">vkladní a šekové knížky, platební karty a jiné obdobné dokumenty, cenné papíry.  </w:t>
      </w:r>
    </w:p>
    <w:p w:rsidR="007043CB" w:rsidRDefault="004B5C2E">
      <w:pPr>
        <w:numPr>
          <w:ilvl w:val="0"/>
          <w:numId w:val="23"/>
        </w:numPr>
        <w:ind w:hanging="271"/>
      </w:pPr>
      <w:r>
        <w:rPr>
          <w:b/>
        </w:rPr>
        <w:t xml:space="preserve">Cizí věci převzaté </w:t>
      </w:r>
      <w:r>
        <w:t>jsou movité věci, které pojistník nebo pojištěný uvedený v pojistné smlouvě převzali při poskytování služby na základě smlouvy, objednávky nebo zakázkového listu.</w:t>
      </w:r>
      <w:r>
        <w:rPr>
          <w:b/>
        </w:rPr>
        <w:t xml:space="preserve"> </w:t>
      </w:r>
    </w:p>
    <w:p w:rsidR="007043CB" w:rsidRDefault="004B5C2E">
      <w:pPr>
        <w:numPr>
          <w:ilvl w:val="0"/>
          <w:numId w:val="23"/>
        </w:numPr>
        <w:ind w:hanging="271"/>
      </w:pPr>
      <w:r>
        <w:rPr>
          <w:b/>
        </w:rPr>
        <w:t>Data</w:t>
      </w:r>
      <w:r>
        <w:t xml:space="preserve"> jsou informace zpracovatelné na elektronických zařízeních. </w:t>
      </w:r>
      <w:r>
        <w:rPr>
          <w:b/>
        </w:rPr>
        <w:t xml:space="preserve"> </w:t>
      </w:r>
    </w:p>
    <w:p w:rsidR="007043CB" w:rsidRDefault="004B5C2E">
      <w:pPr>
        <w:numPr>
          <w:ilvl w:val="0"/>
          <w:numId w:val="23"/>
        </w:numPr>
        <w:ind w:hanging="271"/>
      </w:pPr>
      <w:r>
        <w:rPr>
          <w:b/>
        </w:rPr>
        <w:t>Dodavatelem</w:t>
      </w:r>
      <w:r>
        <w:t xml:space="preserve"> se rozumí jakýkoli dodavatel, výrobce, prodejce, zhotovitel nebo zpracovatel komponentů, zboží nebo surovin, a to jak specifikovaný či nespecifikovaný, který má vůči pojistníkovi (pojištěnému) závazky vyplývající ze sjednaného smluvního vztahu.</w:t>
      </w:r>
      <w:r>
        <w:rPr>
          <w:b/>
        </w:rPr>
        <w:t xml:space="preserve">  </w:t>
      </w:r>
    </w:p>
    <w:p w:rsidR="007043CB" w:rsidRDefault="004B5C2E">
      <w:pPr>
        <w:numPr>
          <w:ilvl w:val="0"/>
          <w:numId w:val="23"/>
        </w:numPr>
        <w:ind w:hanging="271"/>
      </w:pPr>
      <w:r>
        <w:rPr>
          <w:b/>
        </w:rPr>
        <w:t>Dopravní nehoda</w:t>
      </w:r>
      <w:r>
        <w:t xml:space="preserve"> je událost v provozu na pozemních komunikacích, například havárie nebo srážka, která se stala nebo byla započata na pozemní komunikaci a při níž dojde k usmrcení nebo zranění osoby nebo ke škodě na majetku v přímé souvislosti s provozem vozidla v pohybu.</w:t>
      </w:r>
      <w:r>
        <w:rPr>
          <w:b/>
        </w:rPr>
        <w:t xml:space="preserve">  </w:t>
      </w:r>
    </w:p>
    <w:p w:rsidR="007043CB" w:rsidRDefault="004B5C2E">
      <w:pPr>
        <w:numPr>
          <w:ilvl w:val="0"/>
          <w:numId w:val="23"/>
        </w:numPr>
        <w:ind w:hanging="271"/>
      </w:pPr>
      <w:r>
        <w:rPr>
          <w:b/>
        </w:rPr>
        <w:t>Dopravní prostředek</w:t>
      </w:r>
      <w:r>
        <w:t xml:space="preserve"> je motorové nebo nemotorové vozidlo určené k přepravě osob nebo materiálu.</w:t>
      </w:r>
      <w:r>
        <w:rPr>
          <w:b/>
        </w:rPr>
        <w:t xml:space="preserve">  </w:t>
      </w:r>
    </w:p>
    <w:p w:rsidR="007043CB" w:rsidRDefault="004B5C2E">
      <w:pPr>
        <w:numPr>
          <w:ilvl w:val="0"/>
          <w:numId w:val="23"/>
        </w:numPr>
        <w:ind w:hanging="271"/>
      </w:pPr>
      <w:r>
        <w:rPr>
          <w:b/>
        </w:rPr>
        <w:t>Dotační box</w:t>
      </w:r>
      <w:r>
        <w:t xml:space="preserve"> je stavebně uzavřený prostor sloužící k nakládce a vykládce peněz z / do přepravního vozidla. Od dalších stavebně uzavřených a zabezpečených prostor sloužících k počítání a uložení peněz je stavebně oddělen dělící konstrukcí, ve které je zřízena jedna nebo více</w:t>
      </w:r>
      <w:r>
        <w:rPr>
          <w:b/>
        </w:rPr>
        <w:t xml:space="preserve"> dotačních propustí</w:t>
      </w:r>
      <w:r>
        <w:t xml:space="preserve"> sloužících pro příjem a výdej peněz. Průhledné i neprůhledné části této dělící konstrukce a dotační(ch) propusti(í) splňují odolnost třídy</w:t>
      </w:r>
      <w:r>
        <w:rPr>
          <w:b/>
        </w:rPr>
        <w:t xml:space="preserve"> FB 4 (NS)</w:t>
      </w:r>
      <w:r>
        <w:t xml:space="preserve"> podle normy</w:t>
      </w:r>
      <w:r>
        <w:rPr>
          <w:b/>
        </w:rPr>
        <w:t xml:space="preserve"> ČSN EN 1522</w:t>
      </w:r>
      <w:r>
        <w:t xml:space="preserve"> </w:t>
      </w:r>
      <w:r>
        <w:rPr>
          <w:i/>
        </w:rPr>
        <w:t>(tzn. odolnost proti krátkým kulovým zbraním)</w:t>
      </w:r>
      <w:r>
        <w:t>. Dveře každé dotační propusti jsou navzájem blokovány tak, že nemohou být otevřeny obojí současně, tzn. podmínkou pro otevření jedněch je uzavření druhých, aby nemohlo z prostoru dotačního boxu přes dotační propust dojít k přímému ohrožení střelnou zbraní. Pokud je součástí dotační propusti i přepážka např. pro příjem a výdej průvodní dokumentace musí být řešena tak, aby její obsluha nemohla být z dotačního boxu přímo ohrožena střelnou zbraní. Prostor dotačního boxu musí být minimálně před dotačními propustmi monitorován</w:t>
      </w:r>
      <w:r>
        <w:rPr>
          <w:b/>
        </w:rPr>
        <w:t xml:space="preserve"> průmyslovou TV</w:t>
      </w:r>
      <w:r>
        <w:t xml:space="preserve"> (CCTV) s nepřetržitým digitálním záznamem s dobou archivace min. 7 dní.</w:t>
      </w:r>
      <w:r>
        <w:rPr>
          <w:b/>
        </w:rPr>
        <w:t xml:space="preserve">  </w:t>
      </w:r>
    </w:p>
    <w:p w:rsidR="007043CB" w:rsidRDefault="004B5C2E">
      <w:pPr>
        <w:numPr>
          <w:ilvl w:val="0"/>
          <w:numId w:val="23"/>
        </w:numPr>
        <w:ind w:hanging="271"/>
      </w:pPr>
      <w:r>
        <w:rPr>
          <w:b/>
        </w:rPr>
        <w:t xml:space="preserve">Elektronické zařízení </w:t>
      </w:r>
      <w:r>
        <w:t xml:space="preserve">je zařízení, které pro svou funkci využívá elektronické prvky.    </w:t>
      </w:r>
      <w:r>
        <w:rPr>
          <w:b/>
        </w:rPr>
        <w:t xml:space="preserve"> </w:t>
      </w:r>
    </w:p>
    <w:p w:rsidR="007043CB" w:rsidRDefault="004B5C2E">
      <w:pPr>
        <w:numPr>
          <w:ilvl w:val="0"/>
          <w:numId w:val="23"/>
        </w:numPr>
        <w:ind w:hanging="271"/>
      </w:pPr>
      <w:r>
        <w:rPr>
          <w:b/>
        </w:rPr>
        <w:t xml:space="preserve">Expert </w:t>
      </w:r>
      <w:r>
        <w:t>je odborník na danou problematiku, oprávněný podle příslušného právního předpisu vydávat písemné posudky a stanoviska.</w:t>
      </w:r>
      <w:r>
        <w:rPr>
          <w:b/>
        </w:rPr>
        <w:t xml:space="preserve">  </w:t>
      </w:r>
    </w:p>
    <w:p w:rsidR="007043CB" w:rsidRDefault="004B5C2E">
      <w:pPr>
        <w:numPr>
          <w:ilvl w:val="0"/>
          <w:numId w:val="23"/>
        </w:numPr>
        <w:ind w:hanging="271"/>
      </w:pPr>
      <w:r>
        <w:rPr>
          <w:b/>
        </w:rPr>
        <w:t xml:space="preserve">Franšíza časová </w:t>
      </w:r>
      <w:r>
        <w:t xml:space="preserve">je časový úsek specifikovaný několika pracovními dny. Právo na pojistné plnění vzniká jen tehdy, je-li provoz zařízení přerušen déle než po tento počet pracovních dní. Pracovním dnem se rozumí časové období, kdy je zařízení běžně v provozu. </w:t>
      </w:r>
      <w:r>
        <w:rPr>
          <w:b/>
        </w:rPr>
        <w:t xml:space="preserve"> </w:t>
      </w:r>
    </w:p>
    <w:p w:rsidR="007043CB" w:rsidRDefault="004B5C2E">
      <w:pPr>
        <w:numPr>
          <w:ilvl w:val="0"/>
          <w:numId w:val="23"/>
        </w:numPr>
        <w:ind w:hanging="271"/>
      </w:pPr>
      <w:r>
        <w:rPr>
          <w:b/>
        </w:rPr>
        <w:t>Franšíza integrální</w:t>
      </w:r>
      <w:r>
        <w:t xml:space="preserve"> se od plnění neodečítá, do její výše se však pojistné plnění neposkytuje.</w:t>
      </w:r>
      <w:r>
        <w:rPr>
          <w:b/>
        </w:rPr>
        <w:t xml:space="preserve"> </w:t>
      </w:r>
      <w:r>
        <w:t>Může být vyjádřena pevnou částkou, procentem, časovým úsekem nebo jejich kombinací.</w:t>
      </w:r>
      <w:r>
        <w:rPr>
          <w:b/>
        </w:rPr>
        <w:t xml:space="preserve"> </w:t>
      </w:r>
    </w:p>
    <w:p w:rsidR="007043CB" w:rsidRDefault="004B5C2E">
      <w:pPr>
        <w:numPr>
          <w:ilvl w:val="0"/>
          <w:numId w:val="23"/>
        </w:numPr>
        <w:ind w:hanging="271"/>
      </w:pPr>
      <w:r>
        <w:rPr>
          <w:b/>
        </w:rPr>
        <w:t xml:space="preserve">Franšíza odčetná (spoluúčast) </w:t>
      </w:r>
      <w:r>
        <w:t>se</w:t>
      </w:r>
      <w:r>
        <w:rPr>
          <w:b/>
        </w:rPr>
        <w:t xml:space="preserve"> </w:t>
      </w:r>
      <w:r>
        <w:t>vždy odečítá od celkové výše pojistného plnění. Do její výše se pojistné plnění neposkytuje.</w:t>
      </w:r>
      <w:r>
        <w:rPr>
          <w:b/>
        </w:rPr>
        <w:t xml:space="preserve"> </w:t>
      </w:r>
      <w:r>
        <w:t>Oprávněná osoba se franšízou odčetnou (spoluúčastí) podílí na pojistném plnění. Může být vyjádřena pevnou částkou, procentem, časovým úsekem nebo jejich kombinací.</w:t>
      </w:r>
      <w:r>
        <w:rPr>
          <w:b/>
        </w:rPr>
        <w:t xml:space="preserve"> </w:t>
      </w:r>
    </w:p>
    <w:p w:rsidR="007043CB" w:rsidRDefault="004B5C2E">
      <w:pPr>
        <w:numPr>
          <w:ilvl w:val="0"/>
          <w:numId w:val="23"/>
        </w:numPr>
        <w:ind w:hanging="271"/>
      </w:pPr>
      <w:r>
        <w:t xml:space="preserve">Za </w:t>
      </w:r>
      <w:r>
        <w:rPr>
          <w:b/>
        </w:rPr>
        <w:t xml:space="preserve">kapalinu z vodovodních zařízení </w:t>
      </w:r>
      <w:r>
        <w:t>se považuje voda, topná, klimatizační a hasicí média.</w:t>
      </w:r>
      <w:r>
        <w:rPr>
          <w:b/>
        </w:rPr>
        <w:t xml:space="preserve">  </w:t>
      </w:r>
    </w:p>
    <w:p w:rsidR="007043CB" w:rsidRDefault="004B5C2E">
      <w:pPr>
        <w:numPr>
          <w:ilvl w:val="0"/>
          <w:numId w:val="23"/>
        </w:numPr>
        <w:ind w:hanging="271"/>
      </w:pPr>
      <w:r>
        <w:rPr>
          <w:b/>
        </w:rPr>
        <w:t xml:space="preserve">Kouř </w:t>
      </w:r>
      <w:r>
        <w:t xml:space="preserve">je směs plynných a v ní rozptýlených tuhých produktů hoření. </w:t>
      </w:r>
      <w:r>
        <w:rPr>
          <w:b/>
        </w:rPr>
        <w:t xml:space="preserve"> </w:t>
      </w:r>
    </w:p>
    <w:p w:rsidR="007043CB" w:rsidRDefault="004B5C2E">
      <w:pPr>
        <w:numPr>
          <w:ilvl w:val="0"/>
          <w:numId w:val="23"/>
        </w:numPr>
        <w:ind w:hanging="271"/>
      </w:pPr>
      <w:r>
        <w:rPr>
          <w:b/>
        </w:rPr>
        <w:t>Krádeží</w:t>
      </w:r>
      <w:r>
        <w:t xml:space="preserve">, </w:t>
      </w:r>
      <w:r>
        <w:rPr>
          <w:b/>
        </w:rPr>
        <w:t>při které pachatel prokazatelně překonal překážky chránící pojištěnou věc před odcizením</w:t>
      </w:r>
      <w:r>
        <w:t>, se rozumí přivlastnění si pojištěné věci tak, že se jí pachatel zmocnil některým dále uvedeným způsobem:</w:t>
      </w:r>
      <w:r>
        <w:rPr>
          <w:b/>
        </w:rPr>
        <w:t xml:space="preserve">  </w:t>
      </w:r>
    </w:p>
    <w:p w:rsidR="007043CB" w:rsidRDefault="004B5C2E">
      <w:pPr>
        <w:numPr>
          <w:ilvl w:val="1"/>
          <w:numId w:val="23"/>
        </w:numPr>
        <w:ind w:hanging="274"/>
      </w:pPr>
      <w:r>
        <w:t xml:space="preserve">do místa, ve kterém byla věc uložena, se dostal tak, že jej prokazatelně zpřístupnil nástroji, které nejsou určeny k jeho řádnému otevírání, </w:t>
      </w:r>
      <w:r>
        <w:rPr>
          <w:rFonts w:ascii="Arial" w:eastAsia="Arial" w:hAnsi="Arial" w:cs="Arial"/>
          <w:sz w:val="28"/>
        </w:rPr>
        <w:t xml:space="preserve"> </w:t>
      </w:r>
    </w:p>
    <w:p w:rsidR="007043CB" w:rsidRDefault="004B5C2E">
      <w:pPr>
        <w:numPr>
          <w:ilvl w:val="1"/>
          <w:numId w:val="23"/>
        </w:numPr>
        <w:ind w:hanging="274"/>
      </w:pPr>
      <w:r>
        <w:t xml:space="preserve">v místě, ve kterém byla věc uložena, se prokazatelně skryl a po jeho uzamčení se věci zmocnil,  </w:t>
      </w:r>
    </w:p>
    <w:p w:rsidR="007043CB" w:rsidRDefault="004B5C2E">
      <w:pPr>
        <w:numPr>
          <w:ilvl w:val="1"/>
          <w:numId w:val="23"/>
        </w:numPr>
        <w:ind w:hanging="274"/>
      </w:pPr>
      <w:r>
        <w:t xml:space="preserve">místo, ve kterém byla věc uložena, otevřel klíčem nebo obdobným prostředkem, jehož se neoprávněně zmocnil krádeží, při které pachatel prokazatelně překonal překážky chránící klíč nebo obdobný prostředek před odcizením, nebo loupeží.  </w:t>
      </w:r>
    </w:p>
    <w:p w:rsidR="007043CB" w:rsidRDefault="004B5C2E">
      <w:pPr>
        <w:numPr>
          <w:ilvl w:val="0"/>
          <w:numId w:val="23"/>
        </w:numPr>
        <w:ind w:hanging="271"/>
      </w:pPr>
      <w:r>
        <w:rPr>
          <w:b/>
        </w:rPr>
        <w:t>Krupobitím</w:t>
      </w:r>
      <w:r>
        <w:t xml:space="preserve"> se rozumí pád kousků ledu vytvořených v atmosféře.</w:t>
      </w:r>
      <w:r>
        <w:rPr>
          <w:b/>
        </w:rPr>
        <w:t xml:space="preserve">  </w:t>
      </w:r>
    </w:p>
    <w:p w:rsidR="007043CB" w:rsidRDefault="004B5C2E">
      <w:pPr>
        <w:numPr>
          <w:ilvl w:val="0"/>
          <w:numId w:val="23"/>
        </w:numPr>
        <w:spacing w:after="105"/>
        <w:ind w:hanging="271"/>
      </w:pPr>
      <w:r>
        <w:rPr>
          <w:b/>
        </w:rPr>
        <w:t xml:space="preserve">Limitem pojistného plnění </w:t>
      </w:r>
      <w:r>
        <w:t>se rozumí dohodnutá horní hranice plnění. Sjednat lze:</w:t>
      </w:r>
      <w:r>
        <w:rPr>
          <w:b/>
        </w:rPr>
        <w:t xml:space="preserve">  </w:t>
      </w:r>
    </w:p>
    <w:p w:rsidR="007043CB" w:rsidRDefault="004B5C2E">
      <w:pPr>
        <w:numPr>
          <w:ilvl w:val="1"/>
          <w:numId w:val="23"/>
        </w:numPr>
        <w:ind w:hanging="274"/>
      </w:pPr>
      <w:r>
        <w:t xml:space="preserve">maximální roční limit pojistného plnění pro všechny pojistné události nastalé v jednom pojistném roce, </w:t>
      </w:r>
      <w:r>
        <w:rPr>
          <w:rFonts w:ascii="Arial" w:eastAsia="Arial" w:hAnsi="Arial" w:cs="Arial"/>
          <w:sz w:val="28"/>
        </w:rPr>
        <w:t xml:space="preserve"> </w:t>
      </w:r>
      <w:r>
        <w:t xml:space="preserve">b) limit pojistného plnění pro jednu pojistnou událost.  </w:t>
      </w:r>
    </w:p>
    <w:p w:rsidR="007043CB" w:rsidRDefault="004B5C2E">
      <w:pPr>
        <w:numPr>
          <w:ilvl w:val="0"/>
          <w:numId w:val="23"/>
        </w:numPr>
        <w:ind w:hanging="271"/>
      </w:pPr>
      <w:r>
        <w:rPr>
          <w:b/>
        </w:rPr>
        <w:t xml:space="preserve">Loupeží </w:t>
      </w:r>
      <w:r>
        <w:t>se rozumí přivlastnění si věci tak, že pachatel použil proti pojistníkovi, pojištěnému uvedenému v pojistné smlouvě, jejich zaměstnanci nebo jiné osobě pověřené pojistníkem nebo pojištěným uvedeným v pojistné smlouvě násilí nebo pohrůžky bezprostředního násilí.</w:t>
      </w:r>
      <w:r>
        <w:rPr>
          <w:b/>
        </w:rPr>
        <w:t xml:space="preserve">  </w:t>
      </w:r>
    </w:p>
    <w:p w:rsidR="007043CB" w:rsidRDefault="004B5C2E">
      <w:pPr>
        <w:numPr>
          <w:ilvl w:val="0"/>
          <w:numId w:val="23"/>
        </w:numPr>
        <w:ind w:hanging="271"/>
      </w:pPr>
      <w:r>
        <w:rPr>
          <w:b/>
        </w:rPr>
        <w:t xml:space="preserve">Mobilní elektronické zařízení </w:t>
      </w:r>
      <w:r>
        <w:t>je elektronické zařízení namontované ve vozidle a určené k měření geografických, fyzikálních nebo chemických parametrů v terénu.</w:t>
      </w:r>
      <w:r>
        <w:rPr>
          <w:b/>
        </w:rPr>
        <w:t xml:space="preserve">  </w:t>
      </w:r>
    </w:p>
    <w:p w:rsidR="007043CB" w:rsidRDefault="004B5C2E">
      <w:pPr>
        <w:numPr>
          <w:ilvl w:val="0"/>
          <w:numId w:val="23"/>
        </w:numPr>
        <w:ind w:hanging="271"/>
      </w:pPr>
      <w:r>
        <w:rPr>
          <w:b/>
        </w:rPr>
        <w:t>Motorovými vozidly</w:t>
      </w:r>
      <w:r>
        <w:t xml:space="preserve"> jsou osobní a nákladní motorová vozidla s přidělenou státní poznávací nebo registrační značkou, jakož i návěsy a přívěsy k těmto vozidlům s přidělenou státní poznávací značkou nebo registrační značkou.</w:t>
      </w:r>
      <w:r>
        <w:rPr>
          <w:b/>
        </w:rPr>
        <w:t xml:space="preserve">  </w:t>
      </w:r>
    </w:p>
    <w:p w:rsidR="007043CB" w:rsidRDefault="004B5C2E">
      <w:pPr>
        <w:numPr>
          <w:ilvl w:val="0"/>
          <w:numId w:val="23"/>
        </w:numPr>
        <w:ind w:hanging="271"/>
      </w:pPr>
      <w:r>
        <w:rPr>
          <w:b/>
        </w:rPr>
        <w:t>Nádrž</w:t>
      </w:r>
      <w:r>
        <w:t xml:space="preserve"> je zčásti otevřený nebo uzavřený prostor o obsahu nejméně 200 l určený ke skladování tekutin nebo sypkých hmot.</w:t>
      </w:r>
      <w:r>
        <w:rPr>
          <w:b/>
        </w:rPr>
        <w:t xml:space="preserve">  </w:t>
      </w:r>
    </w:p>
    <w:p w:rsidR="007043CB" w:rsidRDefault="004B5C2E">
      <w:pPr>
        <w:numPr>
          <w:ilvl w:val="0"/>
          <w:numId w:val="23"/>
        </w:numPr>
        <w:ind w:hanging="271"/>
      </w:pPr>
      <w:r>
        <w:t xml:space="preserve">Za </w:t>
      </w:r>
      <w:r>
        <w:rPr>
          <w:b/>
        </w:rPr>
        <w:t>„náraz“</w:t>
      </w:r>
      <w:r>
        <w:t xml:space="preserve"> se považuje náraz dopravního prostředku nebo jeho nákladu, pád stromů, stožárů nebo jiných předmětů, nejsou-li součástí poškozené věci nebo nejsou-li součástí téhož souboru jako poškozená věc.</w:t>
      </w:r>
      <w:r>
        <w:rPr>
          <w:rFonts w:ascii="Arial" w:eastAsia="Arial" w:hAnsi="Arial" w:cs="Arial"/>
          <w:sz w:val="28"/>
        </w:rPr>
        <w:t xml:space="preserve"> </w:t>
      </w:r>
    </w:p>
    <w:p w:rsidR="007043CB" w:rsidRDefault="004B5C2E">
      <w:pPr>
        <w:numPr>
          <w:ilvl w:val="0"/>
          <w:numId w:val="23"/>
        </w:numPr>
        <w:ind w:hanging="271"/>
      </w:pPr>
      <w:r>
        <w:rPr>
          <w:b/>
        </w:rPr>
        <w:t>Nárazem nebo zřícením letadla</w:t>
      </w:r>
      <w:r>
        <w:t xml:space="preserve"> se rozumí dopad pilotovaného dopravního prostředku, jeho části nebo nákladu na pojištěnou věc.</w:t>
      </w:r>
      <w:r>
        <w:rPr>
          <w:b/>
        </w:rPr>
        <w:t xml:space="preserve">  </w:t>
      </w:r>
    </w:p>
    <w:p w:rsidR="007043CB" w:rsidRDefault="004B5C2E">
      <w:pPr>
        <w:numPr>
          <w:ilvl w:val="0"/>
          <w:numId w:val="23"/>
        </w:numPr>
        <w:ind w:hanging="271"/>
      </w:pPr>
      <w:r>
        <w:rPr>
          <w:b/>
        </w:rPr>
        <w:t>Následná škoda</w:t>
      </w:r>
      <w:r>
        <w:t xml:space="preserve"> je škoda způsobená přerušením nebo omezením provozu z důvodu vzniku věcné škody.</w:t>
      </w:r>
      <w:r>
        <w:rPr>
          <w:b/>
        </w:rPr>
        <w:t xml:space="preserve">  </w:t>
      </w:r>
    </w:p>
    <w:p w:rsidR="007043CB" w:rsidRDefault="004B5C2E">
      <w:pPr>
        <w:numPr>
          <w:ilvl w:val="0"/>
          <w:numId w:val="23"/>
        </w:numPr>
        <w:ind w:hanging="271"/>
      </w:pPr>
      <w:r>
        <w:rPr>
          <w:b/>
        </w:rPr>
        <w:t>Za názorný model</w:t>
      </w:r>
      <w:r>
        <w:t xml:space="preserve"> se považuje funkční i nefunkční model stroje nebo zařízení sloužící k výuce nebo demonstraci funkce. Výjimku tvoří názorné modely vyráběné sériově specializovaným výrobcem pro obecné použití ve školství a odborných kurzech.</w:t>
      </w:r>
      <w:r>
        <w:rPr>
          <w:b/>
        </w:rPr>
        <w:t xml:space="preserve">  </w:t>
      </w:r>
    </w:p>
    <w:p w:rsidR="007043CB" w:rsidRDefault="004B5C2E">
      <w:pPr>
        <w:numPr>
          <w:ilvl w:val="0"/>
          <w:numId w:val="23"/>
        </w:numPr>
        <w:ind w:hanging="271"/>
      </w:pPr>
      <w:r>
        <w:rPr>
          <w:b/>
        </w:rPr>
        <w:t>Neoprávněným užíváním cizí věci</w:t>
      </w:r>
      <w:r>
        <w:t xml:space="preserve"> se rozumí neoprávněné zmocnění se pojištěné věci v úmyslu ji přechodně užívat</w:t>
      </w:r>
      <w:r>
        <w:rPr>
          <w:b/>
        </w:rPr>
        <w:t xml:space="preserve">.  </w:t>
      </w:r>
    </w:p>
    <w:p w:rsidR="007043CB" w:rsidRDefault="004B5C2E">
      <w:pPr>
        <w:numPr>
          <w:ilvl w:val="0"/>
          <w:numId w:val="23"/>
        </w:numPr>
        <w:ind w:hanging="271"/>
      </w:pPr>
      <w:r>
        <w:rPr>
          <w:b/>
        </w:rPr>
        <w:t>Neprodejný výstavní exponát</w:t>
      </w:r>
      <w:r>
        <w:t xml:space="preserve"> je taková věc, která nenavazuje na běžný program výrobce, nebude jako taková dále prodávána a není servisně zajištěna.</w:t>
      </w:r>
      <w:r>
        <w:rPr>
          <w:b/>
        </w:rPr>
        <w:t xml:space="preserve">  </w:t>
      </w:r>
    </w:p>
    <w:p w:rsidR="007043CB" w:rsidRDefault="004B5C2E">
      <w:pPr>
        <w:numPr>
          <w:ilvl w:val="0"/>
          <w:numId w:val="23"/>
        </w:numPr>
        <w:ind w:hanging="271"/>
      </w:pPr>
      <w:r>
        <w:rPr>
          <w:b/>
        </w:rPr>
        <w:lastRenderedPageBreak/>
        <w:t>Neprodejný vzorek</w:t>
      </w:r>
      <w:r>
        <w:t xml:space="preserve"> je takový výrobek nebo soubor výrobků, které nejsou ve srovnatelné podobě dostupné na trhu, takže není stanovena jejich cena.</w:t>
      </w:r>
      <w:r>
        <w:rPr>
          <w:b/>
        </w:rPr>
        <w:t xml:space="preserve">  </w:t>
      </w:r>
    </w:p>
    <w:p w:rsidR="007043CB" w:rsidRDefault="004B5C2E">
      <w:pPr>
        <w:numPr>
          <w:ilvl w:val="0"/>
          <w:numId w:val="23"/>
        </w:numPr>
        <w:ind w:hanging="271"/>
      </w:pPr>
      <w:r>
        <w:rPr>
          <w:b/>
        </w:rPr>
        <w:t xml:space="preserve">Neproporcionální vícenáklady </w:t>
      </w:r>
      <w:r>
        <w:t>jsou vícenáklady vznikající jednorázově při výpadku zařízení, které nepřetrvávají po celou dobu ručení (např. náklady na přizpůsobení programů náhradnímu zařízení, náklady na transport datových nosičů, náklady na instalaci náhradního zařízení).</w:t>
      </w:r>
      <w:r>
        <w:rPr>
          <w:b/>
        </w:rPr>
        <w:t xml:space="preserve">  </w:t>
      </w:r>
    </w:p>
    <w:p w:rsidR="007043CB" w:rsidRDefault="004B5C2E">
      <w:pPr>
        <w:numPr>
          <w:ilvl w:val="0"/>
          <w:numId w:val="23"/>
        </w:numPr>
        <w:ind w:hanging="271"/>
      </w:pPr>
      <w:r>
        <w:rPr>
          <w:b/>
        </w:rPr>
        <w:t xml:space="preserve">Nosiče dat </w:t>
      </w:r>
      <w:r>
        <w:t>jsou paměťová média na strojně zpracovatelné informace.</w:t>
      </w:r>
      <w:r>
        <w:rPr>
          <w:b/>
        </w:rPr>
        <w:t xml:space="preserve">  </w:t>
      </w:r>
    </w:p>
    <w:p w:rsidR="007043CB" w:rsidRDefault="004B5C2E">
      <w:pPr>
        <w:numPr>
          <w:ilvl w:val="0"/>
          <w:numId w:val="23"/>
        </w:numPr>
        <w:ind w:hanging="271"/>
      </w:pPr>
      <w:r>
        <w:rPr>
          <w:b/>
        </w:rPr>
        <w:t xml:space="preserve">Obranný prostředek </w:t>
      </w:r>
      <w:r>
        <w:t>je zařízení, které slouží k osobní ochraně pověřené osoby neozbrojeným způsobem a má pachatele odradit od útoku nebo paralyzovat (např. sprej, paralyzér).</w:t>
      </w:r>
      <w:r>
        <w:rPr>
          <w:b/>
        </w:rPr>
        <w:t xml:space="preserve">  </w:t>
      </w:r>
    </w:p>
    <w:p w:rsidR="007043CB" w:rsidRDefault="004B5C2E">
      <w:pPr>
        <w:numPr>
          <w:ilvl w:val="0"/>
          <w:numId w:val="23"/>
        </w:numPr>
        <w:spacing w:after="105"/>
        <w:ind w:hanging="271"/>
      </w:pPr>
      <w:r>
        <w:rPr>
          <w:b/>
        </w:rPr>
        <w:t>Odběratelem</w:t>
      </w:r>
      <w:r>
        <w:t xml:space="preserve"> se rozumí jakýkoli odběratel, specifikovaný či nespecifikovaný, vůči němuž má pojistník (pojištěný) závazky vyplývající z písemně sjednaného smluvního vztahu.</w:t>
      </w:r>
      <w:r>
        <w:rPr>
          <w:b/>
        </w:rPr>
        <w:t xml:space="preserve">  </w:t>
      </w:r>
    </w:p>
    <w:p w:rsidR="007043CB" w:rsidRDefault="004B5C2E">
      <w:pPr>
        <w:numPr>
          <w:ilvl w:val="0"/>
          <w:numId w:val="23"/>
        </w:numPr>
        <w:ind w:hanging="271"/>
      </w:pPr>
      <w:r>
        <w:t>Za</w:t>
      </w:r>
      <w:r>
        <w:rPr>
          <w:b/>
        </w:rPr>
        <w:t xml:space="preserve"> „odcizení“ </w:t>
      </w:r>
      <w:r>
        <w:t>se považuje:</w:t>
      </w:r>
      <w:r>
        <w:rPr>
          <w:rFonts w:ascii="Arial" w:eastAsia="Arial" w:hAnsi="Arial" w:cs="Arial"/>
          <w:sz w:val="28"/>
        </w:rPr>
        <w:t xml:space="preserve"> </w:t>
      </w:r>
    </w:p>
    <w:p w:rsidR="007043CB" w:rsidRDefault="004B5C2E">
      <w:pPr>
        <w:numPr>
          <w:ilvl w:val="1"/>
          <w:numId w:val="23"/>
        </w:numPr>
        <w:ind w:hanging="274"/>
      </w:pPr>
      <w:r>
        <w:t>krádež, při které pachatel prokazatelně překonal překážky chránící pojištěnou věc před odcizením,</w:t>
      </w:r>
      <w:r>
        <w:rPr>
          <w:b/>
        </w:rPr>
        <w:t xml:space="preserve"> </w:t>
      </w:r>
      <w:r>
        <w:t>b) loupež.</w:t>
      </w:r>
      <w:r>
        <w:rPr>
          <w:b/>
        </w:rPr>
        <w:t xml:space="preserve"> </w:t>
      </w:r>
    </w:p>
    <w:p w:rsidR="007043CB" w:rsidRDefault="004B5C2E">
      <w:pPr>
        <w:numPr>
          <w:ilvl w:val="0"/>
          <w:numId w:val="23"/>
        </w:numPr>
        <w:ind w:hanging="271"/>
      </w:pPr>
      <w:r>
        <w:rPr>
          <w:b/>
        </w:rPr>
        <w:t>Ochranným zařízením</w:t>
      </w:r>
      <w:r>
        <w:t xml:space="preserve"> se rozumí zařízení sloužící k ochraně před škodlivým působením par, teplot, plynů, záření apod. na životní prostředí. Nahodilou poruchou ochranného zařízení se rozumí porucha způsobená takovou vnitřní závadou zařízení, jejímuž vzniku pojištěný nemohl zabránit.</w:t>
      </w:r>
      <w:r>
        <w:rPr>
          <w:b/>
        </w:rPr>
        <w:t xml:space="preserve">  </w:t>
      </w:r>
    </w:p>
    <w:p w:rsidR="007043CB" w:rsidRDefault="004B5C2E">
      <w:pPr>
        <w:numPr>
          <w:ilvl w:val="0"/>
          <w:numId w:val="23"/>
        </w:numPr>
        <w:ind w:hanging="271"/>
      </w:pPr>
      <w:r>
        <w:rPr>
          <w:b/>
        </w:rPr>
        <w:t>Oplocení</w:t>
      </w:r>
      <w:r>
        <w:t xml:space="preserve"> je stavba sloužící k ohraničení daného prostoru. Jeho funkcí je bránit pohybu osob a věcí z daného prostoru ven a dovnitř nebo může mít pouze funkci okrasnou.</w:t>
      </w:r>
      <w:r>
        <w:rPr>
          <w:b/>
        </w:rPr>
        <w:t xml:space="preserve">  </w:t>
      </w:r>
    </w:p>
    <w:p w:rsidR="007043CB" w:rsidRDefault="004B5C2E">
      <w:pPr>
        <w:numPr>
          <w:ilvl w:val="0"/>
          <w:numId w:val="23"/>
        </w:numPr>
        <w:ind w:hanging="271"/>
      </w:pPr>
      <w:r>
        <w:rPr>
          <w:b/>
        </w:rPr>
        <w:t>Opotřebením</w:t>
      </w:r>
      <w:r>
        <w:t xml:space="preserve"> se rozumí přirozený úbytek hodnoty věci způsobený stárnutím, popř. užíváním. Výši opotřebení ovlivňuje také ošetřování nebo udržování věci.</w:t>
      </w:r>
      <w:r>
        <w:rPr>
          <w:b/>
        </w:rPr>
        <w:t xml:space="preserve">  </w:t>
      </w:r>
    </w:p>
    <w:p w:rsidR="007043CB" w:rsidRDefault="004B5C2E">
      <w:pPr>
        <w:numPr>
          <w:ilvl w:val="0"/>
          <w:numId w:val="23"/>
        </w:numPr>
        <w:ind w:hanging="271"/>
      </w:pPr>
      <w:r>
        <w:t xml:space="preserve">Za </w:t>
      </w:r>
      <w:r>
        <w:rPr>
          <w:b/>
        </w:rPr>
        <w:t>ostatní stavby</w:t>
      </w:r>
      <w:r>
        <w:t xml:space="preserve"> se považují objekty nemovitého charakteru, které se od budov odlišují mj. tím, že jsou zpravidla nezastřešené (např. oplocení, zpevněné plochy, komunikace, inženýrské sítě, mosty).</w:t>
      </w:r>
      <w:r>
        <w:rPr>
          <w:b/>
        </w:rPr>
        <w:t xml:space="preserve">  </w:t>
      </w:r>
    </w:p>
    <w:p w:rsidR="007043CB" w:rsidRDefault="004B5C2E">
      <w:pPr>
        <w:numPr>
          <w:ilvl w:val="0"/>
          <w:numId w:val="23"/>
        </w:numPr>
        <w:ind w:hanging="271"/>
      </w:pPr>
      <w:r>
        <w:rPr>
          <w:b/>
        </w:rPr>
        <w:t>Podvodem</w:t>
      </w:r>
      <w:r>
        <w:t xml:space="preserve"> se rozumí obohacení sebe nebo jiného ke škodě cizího majetku tím, že pachatel uvede někoho v omyl, zamlčí podstatné skutečnosti nebo něčího omylu využije.</w:t>
      </w:r>
      <w:r>
        <w:rPr>
          <w:b/>
        </w:rPr>
        <w:t xml:space="preserve">  </w:t>
      </w:r>
    </w:p>
    <w:p w:rsidR="007043CB" w:rsidRDefault="004B5C2E">
      <w:pPr>
        <w:numPr>
          <w:ilvl w:val="0"/>
          <w:numId w:val="23"/>
        </w:numPr>
        <w:spacing w:after="107"/>
        <w:ind w:hanging="271"/>
      </w:pPr>
      <w:r>
        <w:rPr>
          <w:b/>
        </w:rPr>
        <w:t xml:space="preserve">Poslem </w:t>
      </w:r>
      <w:r>
        <w:t>se rozumí pojištění sjednané pro případ odcizení peněz nebo cenin, které přepravuje pojištěný nebo osoba jím pověřená, loupeží.</w:t>
      </w:r>
      <w:r>
        <w:rPr>
          <w:b/>
        </w:rPr>
        <w:t xml:space="preserve">  </w:t>
      </w:r>
    </w:p>
    <w:p w:rsidR="007043CB" w:rsidRDefault="004B5C2E">
      <w:pPr>
        <w:numPr>
          <w:ilvl w:val="0"/>
          <w:numId w:val="23"/>
        </w:numPr>
        <w:ind w:hanging="271"/>
      </w:pPr>
      <w:r>
        <w:t xml:space="preserve">Za </w:t>
      </w:r>
      <w:r>
        <w:rPr>
          <w:b/>
        </w:rPr>
        <w:t xml:space="preserve">„povodeň“ </w:t>
      </w:r>
      <w:r>
        <w:t>se považuje povodeň nebo záplava.</w:t>
      </w:r>
      <w:r>
        <w:rPr>
          <w:b/>
        </w:rPr>
        <w:t xml:space="preserve"> </w:t>
      </w:r>
      <w:r>
        <w:rPr>
          <w:rFonts w:ascii="Arial" w:eastAsia="Arial" w:hAnsi="Arial" w:cs="Arial"/>
          <w:sz w:val="28"/>
        </w:rPr>
        <w:t xml:space="preserve"> </w:t>
      </w:r>
    </w:p>
    <w:p w:rsidR="007043CB" w:rsidRDefault="004B5C2E">
      <w:pPr>
        <w:numPr>
          <w:ilvl w:val="0"/>
          <w:numId w:val="23"/>
        </w:numPr>
        <w:spacing w:after="105"/>
        <w:ind w:hanging="271"/>
      </w:pPr>
      <w:r>
        <w:rPr>
          <w:b/>
        </w:rPr>
        <w:t xml:space="preserve">Povodní </w:t>
      </w:r>
      <w:r>
        <w:t xml:space="preserve">se rozumí přechodné výrazné zvýšení hladiny vodních toků nebo jiných povrchových vod, při kterém voda již zaplavuje místo pojištění mimo koryto vodního toku. Povodní je i stav, kdy voda z určitého území nemůže dočasně přirozeným způsobem odtékat nebo její odtok je nedostatečný, případně je zaplavováno území při soustředěném odtoku srážkových vod. </w:t>
      </w:r>
      <w:r>
        <w:rPr>
          <w:b/>
        </w:rPr>
        <w:t xml:space="preserve"> </w:t>
      </w:r>
    </w:p>
    <w:p w:rsidR="007043CB" w:rsidRDefault="004B5C2E">
      <w:pPr>
        <w:numPr>
          <w:ilvl w:val="0"/>
          <w:numId w:val="23"/>
        </w:numPr>
        <w:ind w:hanging="271"/>
      </w:pPr>
      <w:r>
        <w:t xml:space="preserve">Za </w:t>
      </w:r>
      <w:r>
        <w:rPr>
          <w:b/>
        </w:rPr>
        <w:t xml:space="preserve">„požár“ </w:t>
      </w:r>
      <w:r>
        <w:t>se považuje:</w:t>
      </w:r>
      <w:r>
        <w:rPr>
          <w:rFonts w:ascii="Arial" w:eastAsia="Arial" w:hAnsi="Arial" w:cs="Arial"/>
          <w:sz w:val="28"/>
        </w:rPr>
        <w:t xml:space="preserve"> </w:t>
      </w:r>
    </w:p>
    <w:p w:rsidR="007043CB" w:rsidRDefault="004B5C2E">
      <w:pPr>
        <w:numPr>
          <w:ilvl w:val="1"/>
          <w:numId w:val="23"/>
        </w:numPr>
        <w:ind w:hanging="274"/>
      </w:pPr>
      <w:r>
        <w:t xml:space="preserve">požár a jeho průvodní jevy, </w:t>
      </w:r>
    </w:p>
    <w:p w:rsidR="007043CB" w:rsidRDefault="004B5C2E">
      <w:pPr>
        <w:numPr>
          <w:ilvl w:val="1"/>
          <w:numId w:val="23"/>
        </w:numPr>
        <w:ind w:hanging="274"/>
      </w:pPr>
      <w:r>
        <w:t xml:space="preserve">výbuch, </w:t>
      </w:r>
    </w:p>
    <w:p w:rsidR="007043CB" w:rsidRDefault="004B5C2E">
      <w:pPr>
        <w:numPr>
          <w:ilvl w:val="1"/>
          <w:numId w:val="23"/>
        </w:numPr>
        <w:ind w:hanging="274"/>
      </w:pPr>
      <w:r>
        <w:t xml:space="preserve">úder blesku, </w:t>
      </w:r>
    </w:p>
    <w:p w:rsidR="007043CB" w:rsidRDefault="004B5C2E">
      <w:pPr>
        <w:numPr>
          <w:ilvl w:val="1"/>
          <w:numId w:val="23"/>
        </w:numPr>
        <w:ind w:hanging="274"/>
      </w:pPr>
      <w:r>
        <w:t xml:space="preserve">náraz nebo zřícení letadla, jeho části nebo jeho nákladu. </w:t>
      </w:r>
    </w:p>
    <w:p w:rsidR="007043CB" w:rsidRDefault="004B5C2E">
      <w:pPr>
        <w:numPr>
          <w:ilvl w:val="0"/>
          <w:numId w:val="23"/>
        </w:numPr>
        <w:ind w:hanging="271"/>
      </w:pPr>
      <w:r>
        <w:rPr>
          <w:b/>
        </w:rPr>
        <w:t xml:space="preserve">Požár </w:t>
      </w:r>
      <w:r>
        <w:t xml:space="preserve">je oheň, který vznikl mimo určené ohniště nebo který určené ohniště opustil a který se vlastní silou rozšířil nebo byl pachatelem úmyslně rozšířen. Požárem není působení užitkového ohně a jeho tepla, žhnutí  a doutnání s omezeným přístupem vzduchu ani působení tepla při zkratu v elektrickém vedení nebo el. zařízení, pokud se plamen vzniklý zkratem dále nerozšířil. </w:t>
      </w:r>
      <w:r>
        <w:rPr>
          <w:b/>
        </w:rPr>
        <w:t xml:space="preserve"> </w:t>
      </w:r>
    </w:p>
    <w:p w:rsidR="007043CB" w:rsidRDefault="004B5C2E">
      <w:pPr>
        <w:numPr>
          <w:ilvl w:val="0"/>
          <w:numId w:val="23"/>
        </w:numPr>
        <w:ind w:hanging="271"/>
      </w:pPr>
      <w:r>
        <w:rPr>
          <w:b/>
        </w:rPr>
        <w:t xml:space="preserve">Proporcionální vícenáklady </w:t>
      </w:r>
      <w:r>
        <w:t xml:space="preserve">jsou vícenáklady vznikající při výpadku zařízení, které přetrvávají po celou dobu ručení (např. </w:t>
      </w:r>
    </w:p>
    <w:p w:rsidR="007043CB" w:rsidRDefault="004B5C2E">
      <w:pPr>
        <w:ind w:left="271" w:firstLine="0"/>
      </w:pPr>
      <w:r>
        <w:t>nájemné za techniku či najaté prostory, zvláštní mzdové náklady za práci přesčas, o svátcích a za zvláštní personál).</w:t>
      </w:r>
      <w:r>
        <w:rPr>
          <w:b/>
        </w:rPr>
        <w:t xml:space="preserve">  </w:t>
      </w:r>
    </w:p>
    <w:p w:rsidR="007043CB" w:rsidRDefault="004B5C2E">
      <w:pPr>
        <w:numPr>
          <w:ilvl w:val="0"/>
          <w:numId w:val="23"/>
        </w:numPr>
        <w:ind w:hanging="271"/>
      </w:pPr>
      <w:r>
        <w:rPr>
          <w:b/>
        </w:rPr>
        <w:t xml:space="preserve">Prototyp </w:t>
      </w:r>
      <w:r>
        <w:t>je výrobek zhotovený pro ověření skutečné funkčnosti předpokládané projektem, který není určen k prodeji.</w:t>
      </w:r>
      <w:r>
        <w:rPr>
          <w:b/>
        </w:rPr>
        <w:t xml:space="preserve">  </w:t>
      </w:r>
    </w:p>
    <w:p w:rsidR="007043CB" w:rsidRDefault="004B5C2E">
      <w:pPr>
        <w:numPr>
          <w:ilvl w:val="0"/>
          <w:numId w:val="23"/>
        </w:numPr>
        <w:ind w:hanging="271"/>
      </w:pPr>
      <w:r>
        <w:rPr>
          <w:b/>
        </w:rPr>
        <w:t xml:space="preserve">Provozuschopný stav </w:t>
      </w:r>
      <w:r>
        <w:t>nastává tehdy, jakmile je po ukončení zkušebního provozu (je-li vyžadován) věc na místě pojištění připravena k zahájení provozu nebo se na místě pojištění již v provozu nachází.</w:t>
      </w:r>
      <w:r>
        <w:rPr>
          <w:b/>
        </w:rPr>
        <w:t xml:space="preserve">  </w:t>
      </w:r>
    </w:p>
    <w:p w:rsidR="007043CB" w:rsidRDefault="004B5C2E">
      <w:pPr>
        <w:numPr>
          <w:ilvl w:val="0"/>
          <w:numId w:val="23"/>
        </w:numPr>
        <w:ind w:hanging="271"/>
      </w:pPr>
      <w:r>
        <w:rPr>
          <w:b/>
        </w:rPr>
        <w:t>Přenosným elektronickým zařízením</w:t>
      </w:r>
      <w:r>
        <w:t xml:space="preserve"> se rozumí takové zařízení, které je určeno převážně pro práci v terénu a je buď přenosné, nebo odnímatelně instalované ve vozidle. Za přenosné zařízení se nepovažují kalkulátory, diáře, mobilní telefony, pagery, kamery a fotoaparáty.</w:t>
      </w:r>
      <w:r>
        <w:rPr>
          <w:b/>
        </w:rPr>
        <w:t xml:space="preserve">  </w:t>
      </w:r>
    </w:p>
    <w:p w:rsidR="007043CB" w:rsidRDefault="004B5C2E">
      <w:pPr>
        <w:numPr>
          <w:ilvl w:val="0"/>
          <w:numId w:val="23"/>
        </w:numPr>
        <w:ind w:hanging="271"/>
      </w:pPr>
      <w:r>
        <w:rPr>
          <w:b/>
        </w:rPr>
        <w:t xml:space="preserve">Průvodními jevy požáru </w:t>
      </w:r>
      <w:r>
        <w:t>se rozumí teplo a zplodiny hoření vznikající při požáru a dále působení hasební látky použité při zásahu proti požáru.</w:t>
      </w:r>
      <w:r>
        <w:rPr>
          <w:b/>
        </w:rPr>
        <w:t xml:space="preserve"> </w:t>
      </w:r>
    </w:p>
    <w:p w:rsidR="007043CB" w:rsidRDefault="004B5C2E">
      <w:pPr>
        <w:numPr>
          <w:ilvl w:val="0"/>
          <w:numId w:val="23"/>
        </w:numPr>
        <w:ind w:hanging="271"/>
      </w:pPr>
      <w:r>
        <w:rPr>
          <w:b/>
        </w:rPr>
        <w:t>Příslušenstvím stroje</w:t>
      </w:r>
      <w:r>
        <w:t xml:space="preserve"> jsou pomocná zařízení, pomocné přístroje a prostředky se strojem pevně spojené, které jsou po technické stránce nezbytné pro činnost stroje podle jeho účelu. Za příslušenství stroje se nepovažují data.</w:t>
      </w:r>
      <w:r>
        <w:rPr>
          <w:b/>
        </w:rPr>
        <w:t xml:space="preserve"> </w:t>
      </w:r>
    </w:p>
    <w:p w:rsidR="007043CB" w:rsidRDefault="004B5C2E">
      <w:pPr>
        <w:numPr>
          <w:ilvl w:val="0"/>
          <w:numId w:val="23"/>
        </w:numPr>
        <w:ind w:hanging="271"/>
      </w:pPr>
      <w:r>
        <w:rPr>
          <w:b/>
        </w:rPr>
        <w:t>Příslušenstvím věci</w:t>
      </w:r>
      <w:r>
        <w:t xml:space="preserve"> jsou věci, které patří vlastníku věci hlavní a jsou jím určeny k tomu, aby se s hlavní věcí trvale užívaly. </w:t>
      </w:r>
      <w:r>
        <w:rPr>
          <w:b/>
        </w:rPr>
        <w:t xml:space="preserve"> </w:t>
      </w:r>
    </w:p>
    <w:p w:rsidR="007043CB" w:rsidRDefault="004B5C2E">
      <w:pPr>
        <w:numPr>
          <w:ilvl w:val="0"/>
          <w:numId w:val="23"/>
        </w:numPr>
        <w:spacing w:after="108"/>
        <w:ind w:hanging="271"/>
      </w:pPr>
      <w:r>
        <w:rPr>
          <w:b/>
        </w:rPr>
        <w:t>Rekonstrukce dat</w:t>
      </w:r>
      <w:r>
        <w:t xml:space="preserve"> je pro účely tohoto pojištění nový vstup dat ze záložních nosičů dat nebo nový vstup dat provedený manuálně z původních dokumentů.</w:t>
      </w:r>
      <w:r>
        <w:rPr>
          <w:b/>
        </w:rPr>
        <w:t xml:space="preserve">  </w:t>
      </w:r>
    </w:p>
    <w:p w:rsidR="007043CB" w:rsidRDefault="004B5C2E">
      <w:pPr>
        <w:numPr>
          <w:ilvl w:val="0"/>
          <w:numId w:val="23"/>
        </w:numPr>
        <w:ind w:hanging="271"/>
      </w:pPr>
      <w:r>
        <w:t xml:space="preserve">Za </w:t>
      </w:r>
      <w:r>
        <w:rPr>
          <w:b/>
        </w:rPr>
        <w:t xml:space="preserve">„sdružený živel“ </w:t>
      </w:r>
      <w:r>
        <w:t>se považuje „požár“, „povodeň“, „vichřice“, „sesuv“, „náraz“ a „vodovod“.</w:t>
      </w:r>
      <w:r>
        <w:rPr>
          <w:rFonts w:ascii="Arial" w:eastAsia="Arial" w:hAnsi="Arial" w:cs="Arial"/>
          <w:sz w:val="28"/>
        </w:rPr>
        <w:t xml:space="preserve"> </w:t>
      </w:r>
    </w:p>
    <w:p w:rsidR="007043CB" w:rsidRDefault="004B5C2E">
      <w:pPr>
        <w:numPr>
          <w:ilvl w:val="0"/>
          <w:numId w:val="23"/>
        </w:numPr>
        <w:ind w:hanging="271"/>
      </w:pPr>
      <w:r>
        <w:rPr>
          <w:b/>
        </w:rPr>
        <w:t>Sesedáním půdy</w:t>
      </w:r>
      <w:r>
        <w:t xml:space="preserve"> se rozumí klesání zemského povrchu směrem do středu Země v důsledku působení přírodních sil nebo lidské činnosti. </w:t>
      </w:r>
      <w:r>
        <w:rPr>
          <w:b/>
        </w:rPr>
        <w:t xml:space="preserve"> </w:t>
      </w:r>
    </w:p>
    <w:p w:rsidR="007043CB" w:rsidRDefault="004B5C2E">
      <w:pPr>
        <w:numPr>
          <w:ilvl w:val="0"/>
          <w:numId w:val="23"/>
        </w:numPr>
        <w:ind w:hanging="271"/>
      </w:pPr>
      <w:r>
        <w:t>Za „</w:t>
      </w:r>
      <w:r>
        <w:rPr>
          <w:b/>
        </w:rPr>
        <w:t>sesuv“</w:t>
      </w:r>
      <w:r>
        <w:t xml:space="preserve"> se považuje sesouvání půdy, zřícení skal nebo zemin, sesouvání nebo zřícení lavin, zemětřesení, a je-li pojištěnou věcí budova, též tíha sněhu nebo námraza.</w:t>
      </w:r>
      <w:r>
        <w:rPr>
          <w:b/>
        </w:rPr>
        <w:t xml:space="preserve">  </w:t>
      </w:r>
    </w:p>
    <w:p w:rsidR="007043CB" w:rsidRDefault="004B5C2E">
      <w:pPr>
        <w:numPr>
          <w:ilvl w:val="0"/>
          <w:numId w:val="23"/>
        </w:numPr>
        <w:ind w:hanging="271"/>
      </w:pPr>
      <w:r>
        <w:rPr>
          <w:b/>
        </w:rPr>
        <w:t>Sesouváním nebo zřícením lavin</w:t>
      </w:r>
      <w:r>
        <w:t xml:space="preserve"> se rozumí jev, kdy se masa sněhu nebo ledu náhle uvede do pohybu a řítí se do údolí.</w:t>
      </w:r>
      <w:r>
        <w:rPr>
          <w:b/>
        </w:rPr>
        <w:t xml:space="preserve">  </w:t>
      </w:r>
    </w:p>
    <w:p w:rsidR="007043CB" w:rsidRDefault="004B5C2E">
      <w:pPr>
        <w:numPr>
          <w:ilvl w:val="0"/>
          <w:numId w:val="23"/>
        </w:numPr>
        <w:ind w:hanging="271"/>
      </w:pPr>
      <w:r>
        <w:rPr>
          <w:b/>
        </w:rPr>
        <w:t>Sesouváním půdy, zřícením skal nebo zemin</w:t>
      </w:r>
      <w:r>
        <w:t xml:space="preserve"> se rozumí pohyb hornin z vyšších poloh svahu do nižších, ke kterému dochází působením přírodních sil nebo lidské činnosti při porušení podmínek rovnováhy svahu. Sesouváním půdy není klesání zemského povrchu do centra země v důsledku působení přírodních sil nebo lidské činnosti. Za sesouvání půdy se dále nepovažuje pokles rovinatého terénu nebo změny základových poměrů staveb, např. promrzáním, sesycháním, podmáčením půdy bez porušení rovnováhy svahu.</w:t>
      </w:r>
      <w:r>
        <w:rPr>
          <w:b/>
        </w:rPr>
        <w:t xml:space="preserve">  </w:t>
      </w:r>
    </w:p>
    <w:p w:rsidR="007043CB" w:rsidRDefault="004B5C2E">
      <w:pPr>
        <w:numPr>
          <w:ilvl w:val="0"/>
          <w:numId w:val="23"/>
        </w:numPr>
        <w:ind w:hanging="271"/>
      </w:pPr>
      <w:r>
        <w:rPr>
          <w:b/>
        </w:rPr>
        <w:t>Součástí věci</w:t>
      </w:r>
      <w:r>
        <w:t xml:space="preserve"> je všechno, co k ní podle její povahy patří a nemůže být odděleno bez toho, aniž se tím věc znehodnotí. </w:t>
      </w:r>
      <w:r>
        <w:rPr>
          <w:b/>
        </w:rPr>
        <w:t xml:space="preserve">  </w:t>
      </w:r>
    </w:p>
    <w:p w:rsidR="007043CB" w:rsidRDefault="004B5C2E">
      <w:pPr>
        <w:numPr>
          <w:ilvl w:val="0"/>
          <w:numId w:val="23"/>
        </w:numPr>
        <w:ind w:hanging="271"/>
      </w:pPr>
      <w:r>
        <w:rPr>
          <w:b/>
        </w:rPr>
        <w:lastRenderedPageBreak/>
        <w:t>Strojní zařízení</w:t>
      </w:r>
      <w:r>
        <w:t xml:space="preserve"> je souhrn několika vzájemně (technologicky a konstrukčně) spojených strojů a mechanismů určených na plnění předepsaných funkcí. </w:t>
      </w:r>
      <w:r>
        <w:rPr>
          <w:rFonts w:ascii="Arial" w:eastAsia="Arial" w:hAnsi="Arial" w:cs="Arial"/>
          <w:sz w:val="28"/>
        </w:rPr>
        <w:t xml:space="preserve"> </w:t>
      </w:r>
    </w:p>
    <w:p w:rsidR="007043CB" w:rsidRDefault="004B5C2E">
      <w:pPr>
        <w:numPr>
          <w:ilvl w:val="0"/>
          <w:numId w:val="23"/>
        </w:numPr>
        <w:ind w:hanging="271"/>
      </w:pPr>
      <w:r>
        <w:rPr>
          <w:b/>
        </w:rPr>
        <w:t>Sublimitem pojistného plnění</w:t>
      </w:r>
      <w:r>
        <w:t xml:space="preserve"> se rozumí horní hranice plnění v rámci sjednaného limitu pojistného plnění.</w:t>
      </w:r>
      <w:r>
        <w:rPr>
          <w:b/>
        </w:rPr>
        <w:t xml:space="preserve"> </w:t>
      </w:r>
    </w:p>
    <w:p w:rsidR="007043CB" w:rsidRDefault="004B5C2E">
      <w:pPr>
        <w:numPr>
          <w:ilvl w:val="0"/>
          <w:numId w:val="23"/>
        </w:numPr>
        <w:ind w:hanging="271"/>
      </w:pPr>
      <w:r>
        <w:rPr>
          <w:b/>
        </w:rPr>
        <w:t>Škodný průběh</w:t>
      </w:r>
      <w:r>
        <w:t xml:space="preserve"> je poměr mezi vyplaceným plněním a zaplaceným pojistným za hodnocené období specifikované v pojistné smlouvě vyjádřený v procentech. Od vyplaceného plnění pojistitel odečítá přijaté regresy.</w:t>
      </w:r>
      <w:r>
        <w:rPr>
          <w:b/>
        </w:rPr>
        <w:t xml:space="preserve">  </w:t>
      </w:r>
    </w:p>
    <w:p w:rsidR="007043CB" w:rsidRDefault="004B5C2E">
      <w:pPr>
        <w:numPr>
          <w:ilvl w:val="0"/>
          <w:numId w:val="23"/>
        </w:numPr>
        <w:ind w:hanging="271"/>
      </w:pPr>
      <w:r>
        <w:rPr>
          <w:b/>
        </w:rPr>
        <w:t>Škodou způsobenou vadně provedenou prací</w:t>
      </w:r>
      <w:r>
        <w:t xml:space="preserve"> (duševní i manuální) se rozumí následek chyby nebo opomenutí, který se projevil po dokončení práce.</w:t>
      </w:r>
      <w:r>
        <w:rPr>
          <w:b/>
        </w:rPr>
        <w:t xml:space="preserve">  </w:t>
      </w:r>
    </w:p>
    <w:p w:rsidR="007043CB" w:rsidRDefault="004B5C2E">
      <w:pPr>
        <w:numPr>
          <w:ilvl w:val="0"/>
          <w:numId w:val="23"/>
        </w:numPr>
        <w:spacing w:after="7" w:line="250" w:lineRule="auto"/>
        <w:ind w:hanging="271"/>
      </w:pPr>
      <w:r>
        <w:rPr>
          <w:b/>
        </w:rPr>
        <w:t>Škody způsobené jadernými riziky</w:t>
      </w:r>
      <w:r>
        <w:t xml:space="preserve"> jsou škody vzniklé:</w:t>
      </w:r>
      <w:r>
        <w:rPr>
          <w:b/>
        </w:rPr>
        <w:t xml:space="preserve">  </w:t>
      </w:r>
    </w:p>
    <w:p w:rsidR="007043CB" w:rsidRDefault="004B5C2E">
      <w:pPr>
        <w:numPr>
          <w:ilvl w:val="1"/>
          <w:numId w:val="23"/>
        </w:numPr>
        <w:ind w:hanging="274"/>
      </w:pPr>
      <w:r>
        <w:t xml:space="preserve">z ionizujícího zařízení nebo kontaminacemi radioaktivitou z jakéhokoli jaderného paliva nebo jaderného odpadu anebo ze spalování jaderného paliva, </w:t>
      </w:r>
      <w:r>
        <w:rPr>
          <w:rFonts w:ascii="Arial" w:eastAsia="Arial" w:hAnsi="Arial" w:cs="Arial"/>
          <w:sz w:val="28"/>
        </w:rPr>
        <w:t xml:space="preserve"> </w:t>
      </w:r>
    </w:p>
    <w:p w:rsidR="007043CB" w:rsidRDefault="004B5C2E">
      <w:pPr>
        <w:numPr>
          <w:ilvl w:val="1"/>
          <w:numId w:val="23"/>
        </w:numPr>
        <w:ind w:hanging="274"/>
      </w:pPr>
      <w:r>
        <w:t xml:space="preserve">z radioaktivního, toxického, kontaminujícího nebo jiného působení jakéhokoli nukleárního zařízení, reaktoru nebo nukleární montáže nebo nukleárního komponentu, </w:t>
      </w:r>
    </w:p>
    <w:p w:rsidR="007043CB" w:rsidRDefault="004B5C2E">
      <w:pPr>
        <w:numPr>
          <w:ilvl w:val="1"/>
          <w:numId w:val="23"/>
        </w:numPr>
        <w:ind w:hanging="274"/>
      </w:pPr>
      <w:r>
        <w:t xml:space="preserve">z působení jakékoli zbraně využívající atomové nebo nukleární štěpení, syntézu nebo jinou podobnou reakci, radioaktivní síly nebo materiály. </w:t>
      </w:r>
    </w:p>
    <w:p w:rsidR="007043CB" w:rsidRDefault="004B5C2E">
      <w:pPr>
        <w:numPr>
          <w:ilvl w:val="0"/>
          <w:numId w:val="23"/>
        </w:numPr>
        <w:ind w:hanging="271"/>
      </w:pPr>
      <w:r>
        <w:rPr>
          <w:b/>
        </w:rPr>
        <w:t>Taveninou</w:t>
      </w:r>
      <w:r>
        <w:t xml:space="preserve"> se stává jakákoli hmotná substance, která je při běžných teplotách v tuhém stavu a působením tepla přechází do stavu tekutého (např. sklo, kovy, litina, ocel, čedič). </w:t>
      </w:r>
      <w:r>
        <w:rPr>
          <w:b/>
        </w:rPr>
        <w:t xml:space="preserve"> </w:t>
      </w:r>
    </w:p>
    <w:p w:rsidR="007043CB" w:rsidRDefault="004B5C2E">
      <w:pPr>
        <w:numPr>
          <w:ilvl w:val="0"/>
          <w:numId w:val="23"/>
        </w:numPr>
        <w:ind w:hanging="271"/>
      </w:pPr>
      <w:r>
        <w:rPr>
          <w:b/>
        </w:rPr>
        <w:t>Tíhou sněhu nebo námrazy</w:t>
      </w:r>
      <w:r>
        <w:t xml:space="preserve"> se rozumí destruktivní působení jejich nadměrné hmotnosti na konstrukce budov. Za nadměrnou se považuje taková tíha sněhu nebo námrazy, která se v dané oblasti místa pojištění běžně nevyskytuje. Za škody způsobené tíhou sněhu nebo námrazy se nepovažuje působení rozpínavosti ledu a prosakování tajícího sněhu nebo ledu. </w:t>
      </w:r>
      <w:r>
        <w:rPr>
          <w:b/>
        </w:rPr>
        <w:t xml:space="preserve"> </w:t>
      </w:r>
    </w:p>
    <w:p w:rsidR="007043CB" w:rsidRDefault="004B5C2E">
      <w:pPr>
        <w:numPr>
          <w:ilvl w:val="0"/>
          <w:numId w:val="23"/>
        </w:numPr>
        <w:spacing w:after="108"/>
        <w:ind w:hanging="271"/>
      </w:pPr>
      <w:r>
        <w:rPr>
          <w:b/>
        </w:rPr>
        <w:t>Úderem blesku</w:t>
      </w:r>
      <w:r>
        <w:t xml:space="preserve"> se rozumí přímé a bezprostřední působení energie blesku nebo teploty jeho výboje na věci. Škoda vzniklá úderem blesku musí být zjistitelná podle viditelných destrukčních účinků na věci nebo na budově, v níž byla věc v době pojistné události uložena. Úderem blesku není dočasné přepětí v elektrorozvodné nebo komunikační síti, k němuž došlo v důsledku působení blesku na tato vedení. </w:t>
      </w:r>
      <w:r>
        <w:rPr>
          <w:b/>
        </w:rPr>
        <w:t xml:space="preserve"> </w:t>
      </w:r>
    </w:p>
    <w:p w:rsidR="007043CB" w:rsidRDefault="004B5C2E">
      <w:pPr>
        <w:numPr>
          <w:ilvl w:val="0"/>
          <w:numId w:val="23"/>
        </w:numPr>
        <w:ind w:hanging="271"/>
      </w:pPr>
      <w:r>
        <w:rPr>
          <w:b/>
        </w:rPr>
        <w:t>Ukončením činnosti pojištěného</w:t>
      </w:r>
      <w:r>
        <w:t xml:space="preserve"> se rozumí zánik jeho oprávnění k podnikatelské činnosti. </w:t>
      </w:r>
      <w:r>
        <w:rPr>
          <w:rFonts w:ascii="Arial" w:eastAsia="Arial" w:hAnsi="Arial" w:cs="Arial"/>
          <w:sz w:val="28"/>
        </w:rPr>
        <w:t xml:space="preserve"> </w:t>
      </w:r>
    </w:p>
    <w:p w:rsidR="007043CB" w:rsidRDefault="004B5C2E">
      <w:pPr>
        <w:numPr>
          <w:ilvl w:val="0"/>
          <w:numId w:val="23"/>
        </w:numPr>
        <w:ind w:hanging="271"/>
      </w:pPr>
      <w:r>
        <w:rPr>
          <w:b/>
        </w:rPr>
        <w:t>Uzavřená kabela nebo kufřík</w:t>
      </w:r>
      <w:r>
        <w:t xml:space="preserve"> musí být opatřena minimálně jedním uzávěrem nebo zámkem a nesmí být zhotovena z látky, silonu a obdobných měkkých materiálů.</w:t>
      </w:r>
      <w:r>
        <w:rPr>
          <w:b/>
        </w:rPr>
        <w:t xml:space="preserve"> </w:t>
      </w:r>
    </w:p>
    <w:p w:rsidR="007043CB" w:rsidRDefault="004B5C2E">
      <w:pPr>
        <w:numPr>
          <w:ilvl w:val="0"/>
          <w:numId w:val="23"/>
        </w:numPr>
        <w:ind w:hanging="271"/>
      </w:pPr>
      <w:r>
        <w:rPr>
          <w:b/>
        </w:rPr>
        <w:t>Užíváním věci</w:t>
      </w:r>
      <w:r>
        <w:t xml:space="preserve"> se rozumí stav, kdy pojistník nebo pojištěný uvedený v pojistné smlouvě má movitou věc (nikoli nemovitou) po právu ve své moci a je oprávněn využívat její užitné vlastnosti. </w:t>
      </w:r>
      <w:r>
        <w:rPr>
          <w:b/>
        </w:rPr>
        <w:t xml:space="preserve"> </w:t>
      </w:r>
    </w:p>
    <w:p w:rsidR="007043CB" w:rsidRDefault="004B5C2E">
      <w:pPr>
        <w:numPr>
          <w:ilvl w:val="0"/>
          <w:numId w:val="23"/>
        </w:numPr>
        <w:ind w:hanging="271"/>
      </w:pPr>
      <w:r>
        <w:t xml:space="preserve">Za </w:t>
      </w:r>
      <w:r>
        <w:rPr>
          <w:b/>
        </w:rPr>
        <w:t>„vandalismus“</w:t>
      </w:r>
      <w:r>
        <w:t>se považuje úmyslné poškození nebo úmyslné zničení pojištěné věci.</w:t>
      </w:r>
      <w:r>
        <w:rPr>
          <w:b/>
        </w:rPr>
        <w:t xml:space="preserve">  </w:t>
      </w:r>
    </w:p>
    <w:p w:rsidR="007043CB" w:rsidRDefault="004B5C2E">
      <w:pPr>
        <w:numPr>
          <w:ilvl w:val="0"/>
          <w:numId w:val="23"/>
        </w:numPr>
        <w:spacing w:after="106"/>
        <w:ind w:hanging="271"/>
      </w:pPr>
      <w:r>
        <w:rPr>
          <w:b/>
        </w:rPr>
        <w:t>Věcí sloužící provozu</w:t>
      </w:r>
      <w:r>
        <w:t xml:space="preserve"> se rozumí hmotný majetek užívaný pojištěným k podnikatelské činnosti.</w:t>
      </w:r>
      <w:r>
        <w:rPr>
          <w:b/>
        </w:rPr>
        <w:t xml:space="preserve">  </w:t>
      </w:r>
    </w:p>
    <w:p w:rsidR="007043CB" w:rsidRDefault="004B5C2E">
      <w:pPr>
        <w:numPr>
          <w:ilvl w:val="0"/>
          <w:numId w:val="23"/>
        </w:numPr>
        <w:ind w:hanging="271"/>
      </w:pPr>
      <w:r>
        <w:t xml:space="preserve">Za </w:t>
      </w:r>
      <w:r>
        <w:rPr>
          <w:b/>
        </w:rPr>
        <w:t>„vichřici“</w:t>
      </w:r>
      <w:r>
        <w:t xml:space="preserve"> se považuje vichřice nebo krupobití.</w:t>
      </w:r>
      <w:r>
        <w:rPr>
          <w:rFonts w:ascii="Arial" w:eastAsia="Arial" w:hAnsi="Arial" w:cs="Arial"/>
          <w:sz w:val="28"/>
        </w:rPr>
        <w:t xml:space="preserve"> </w:t>
      </w:r>
    </w:p>
    <w:p w:rsidR="007043CB" w:rsidRDefault="004B5C2E">
      <w:pPr>
        <w:numPr>
          <w:ilvl w:val="0"/>
          <w:numId w:val="23"/>
        </w:numPr>
        <w:ind w:hanging="271"/>
      </w:pPr>
      <w:r>
        <w:rPr>
          <w:b/>
        </w:rPr>
        <w:t>Vichřicí</w:t>
      </w:r>
      <w:r>
        <w:t xml:space="preserve"> se rozumí dynamické působení hmoty vzduchu, která se pohybuje rychlostí 20,8 m/s a vyšší. Za škodu způsobenou vichřicí se dále považují i škody způsobené vržením jiného předmětu vichřicí na věc.</w:t>
      </w:r>
      <w:r>
        <w:rPr>
          <w:b/>
        </w:rPr>
        <w:t xml:space="preserve">  </w:t>
      </w:r>
    </w:p>
    <w:p w:rsidR="007043CB" w:rsidRDefault="004B5C2E">
      <w:pPr>
        <w:numPr>
          <w:ilvl w:val="0"/>
          <w:numId w:val="23"/>
        </w:numPr>
        <w:spacing w:after="107"/>
        <w:ind w:hanging="271"/>
      </w:pPr>
      <w:r>
        <w:t>Za „</w:t>
      </w:r>
      <w:r>
        <w:rPr>
          <w:b/>
        </w:rPr>
        <w:t xml:space="preserve">vodovod“ </w:t>
      </w:r>
      <w:r>
        <w:t>se považuje kapalina unikající z vodovodního zařízení a médiem vytékajícím v důsledku poruchy ze stabilních hasicích zařízení.</w:t>
      </w:r>
      <w:r>
        <w:rPr>
          <w:b/>
        </w:rPr>
        <w:t xml:space="preserve">  </w:t>
      </w:r>
    </w:p>
    <w:p w:rsidR="007043CB" w:rsidRDefault="004B5C2E">
      <w:pPr>
        <w:ind w:left="271" w:firstLine="0"/>
      </w:pPr>
      <w:r>
        <w:t>Je-li proti tomuto nebezpečí pojištěna budova, vzniká právo na plnění také za poškození nebo zničení:</w:t>
      </w:r>
      <w:r>
        <w:rPr>
          <w:rFonts w:ascii="Arial" w:eastAsia="Arial" w:hAnsi="Arial" w:cs="Arial"/>
          <w:sz w:val="28"/>
        </w:rPr>
        <w:t xml:space="preserve"> </w:t>
      </w:r>
    </w:p>
    <w:p w:rsidR="007043CB" w:rsidRDefault="004B5C2E">
      <w:pPr>
        <w:numPr>
          <w:ilvl w:val="1"/>
          <w:numId w:val="23"/>
        </w:numPr>
        <w:ind w:hanging="274"/>
      </w:pPr>
      <w:r>
        <w:t xml:space="preserve">potrubí nebo topných těles vodovodních zařízení včetně armatur, došlo-li k němu přetlakem nebo zamrznutím kapaliny v nich, </w:t>
      </w:r>
    </w:p>
    <w:p w:rsidR="007043CB" w:rsidRDefault="004B5C2E">
      <w:pPr>
        <w:numPr>
          <w:ilvl w:val="1"/>
          <w:numId w:val="23"/>
        </w:numPr>
        <w:ind w:hanging="274"/>
      </w:pPr>
      <w:r>
        <w:t xml:space="preserve">kotlů, nádrží a výměníkových stanic vytápěcích systémů, došlo-li k němu zamrznutím kapaliny v nich. </w:t>
      </w:r>
    </w:p>
    <w:p w:rsidR="007043CB" w:rsidRDefault="004B5C2E">
      <w:pPr>
        <w:numPr>
          <w:ilvl w:val="0"/>
          <w:numId w:val="23"/>
        </w:numPr>
        <w:spacing w:after="103" w:line="250" w:lineRule="auto"/>
        <w:ind w:hanging="271"/>
      </w:pPr>
      <w:r>
        <w:rPr>
          <w:b/>
        </w:rPr>
        <w:t xml:space="preserve">Vodovodním zařízením </w:t>
      </w:r>
      <w:r>
        <w:t>se rozumí:</w:t>
      </w:r>
      <w:r>
        <w:rPr>
          <w:b/>
        </w:rPr>
        <w:t xml:space="preserve">  </w:t>
      </w:r>
    </w:p>
    <w:p w:rsidR="007043CB" w:rsidRDefault="004B5C2E">
      <w:pPr>
        <w:numPr>
          <w:ilvl w:val="1"/>
          <w:numId w:val="23"/>
        </w:numPr>
        <w:ind w:hanging="274"/>
      </w:pPr>
      <w:r>
        <w:t>potrubí pro přívod, rozvod a odvod vody včetně armatur a zařízení na ně připojených,</w:t>
      </w:r>
      <w:r>
        <w:rPr>
          <w:rFonts w:ascii="Arial" w:eastAsia="Arial" w:hAnsi="Arial" w:cs="Arial"/>
          <w:sz w:val="28"/>
        </w:rPr>
        <w:t xml:space="preserve"> </w:t>
      </w:r>
    </w:p>
    <w:p w:rsidR="007043CB" w:rsidRDefault="004B5C2E">
      <w:pPr>
        <w:numPr>
          <w:ilvl w:val="1"/>
          <w:numId w:val="23"/>
        </w:numPr>
        <w:ind w:hanging="274"/>
      </w:pPr>
      <w:r>
        <w:t xml:space="preserve">rozvody topných a klimatizačních systémů včetně těles a zařízení na ně připojených. </w:t>
      </w:r>
    </w:p>
    <w:p w:rsidR="007043CB" w:rsidRDefault="004B5C2E">
      <w:pPr>
        <w:ind w:left="271" w:firstLine="0"/>
      </w:pPr>
      <w:r>
        <w:t xml:space="preserve">Za vodovodní zařízení se nepovažují střešní žlaby a vnější dešťové svody. </w:t>
      </w:r>
    </w:p>
    <w:p w:rsidR="007043CB" w:rsidRDefault="004B5C2E">
      <w:pPr>
        <w:numPr>
          <w:ilvl w:val="0"/>
          <w:numId w:val="23"/>
        </w:numPr>
        <w:ind w:hanging="271"/>
      </w:pPr>
      <w:r>
        <w:rPr>
          <w:b/>
        </w:rPr>
        <w:t>Výbavou</w:t>
      </w:r>
      <w:r>
        <w:t xml:space="preserve"> se rozumí základní výbava dodávaná k danému typu stroje nebo věci výrobcem, jakož i výbava předepsaná právní normou. Za výbavu stroje se nepovažují data.</w:t>
      </w:r>
      <w:r>
        <w:rPr>
          <w:b/>
        </w:rPr>
        <w:t xml:space="preserve"> </w:t>
      </w:r>
    </w:p>
    <w:p w:rsidR="007043CB" w:rsidRDefault="004B5C2E">
      <w:pPr>
        <w:numPr>
          <w:ilvl w:val="0"/>
          <w:numId w:val="23"/>
        </w:numPr>
        <w:ind w:hanging="271"/>
      </w:pPr>
      <w:r>
        <w:rPr>
          <w:b/>
        </w:rPr>
        <w:t>Výbuchem</w:t>
      </w:r>
      <w:r>
        <w:t xml:space="preserve"> se rozumí náhlý ničivý projev tlakové síly spočívající v rozpínavosti plynů nebo par. Výbuchem se dále rozumí prudké vyrovnání tlaku (imploze). Výbuchem není aerodynamický třesk nebo výbuch ve spalovacím prostoru spalovacího motoru a jiných zařízení, ve kterých se energie výbuchu cílevědomě využívá. </w:t>
      </w:r>
      <w:r>
        <w:rPr>
          <w:b/>
        </w:rPr>
        <w:t xml:space="preserve"> </w:t>
      </w:r>
    </w:p>
    <w:p w:rsidR="007043CB" w:rsidRDefault="004B5C2E">
      <w:pPr>
        <w:numPr>
          <w:ilvl w:val="0"/>
          <w:numId w:val="23"/>
        </w:numPr>
        <w:ind w:hanging="271"/>
      </w:pPr>
      <w:r>
        <w:rPr>
          <w:b/>
        </w:rPr>
        <w:t>Výměnné nosiče dat</w:t>
      </w:r>
      <w:r>
        <w:t xml:space="preserve"> jsou nosiče dat, které nejsou pevnou součástí zařízení výpočetní techniky, např. diskety, optické disky, výměnné disky, magnetooptické disky, magnetické pásky.</w:t>
      </w:r>
      <w:r>
        <w:rPr>
          <w:b/>
        </w:rPr>
        <w:t xml:space="preserve">  </w:t>
      </w:r>
    </w:p>
    <w:p w:rsidR="007043CB" w:rsidRDefault="004B5C2E">
      <w:pPr>
        <w:numPr>
          <w:ilvl w:val="0"/>
          <w:numId w:val="23"/>
        </w:numPr>
        <w:ind w:hanging="271"/>
      </w:pPr>
      <w:r>
        <w:rPr>
          <w:b/>
        </w:rPr>
        <w:t>Výrobkem</w:t>
      </w:r>
      <w:r>
        <w:t xml:space="preserve"> se rozumí jakákoli movitá věc, která byla vyrobena, vytěžena nebo jinak získána bez ohledu na stupeň jejího zpracování, včetně obalu a k ní poskytnutým návodům k použití, a to i tehdy, je-li součástí jiné movité nebo nemovité věci.</w:t>
      </w:r>
      <w:r>
        <w:rPr>
          <w:b/>
        </w:rPr>
        <w:t xml:space="preserve">  </w:t>
      </w:r>
    </w:p>
    <w:p w:rsidR="007043CB" w:rsidRDefault="004B5C2E">
      <w:pPr>
        <w:numPr>
          <w:ilvl w:val="0"/>
          <w:numId w:val="23"/>
        </w:numPr>
        <w:ind w:hanging="271"/>
      </w:pPr>
      <w:r>
        <w:rPr>
          <w:b/>
        </w:rPr>
        <w:t>Záplavou</w:t>
      </w:r>
      <w:r>
        <w:t xml:space="preserve"> se rozumí vytvoření souvislé vodní plochy, která po určitou dobu stojí nebo proudí v místě pojištění.</w:t>
      </w:r>
      <w:r>
        <w:rPr>
          <w:b/>
        </w:rPr>
        <w:t xml:space="preserve">  </w:t>
      </w:r>
    </w:p>
    <w:p w:rsidR="007043CB" w:rsidRDefault="004B5C2E">
      <w:pPr>
        <w:numPr>
          <w:ilvl w:val="0"/>
          <w:numId w:val="23"/>
        </w:numPr>
        <w:ind w:hanging="271"/>
      </w:pPr>
      <w:r>
        <w:rPr>
          <w:b/>
        </w:rPr>
        <w:t>Zatajením věci</w:t>
      </w:r>
      <w:r>
        <w:t xml:space="preserve"> se rozumí přivlastnění si věci, která se dostala do moci pachatele nálezem, omylem nebo jinak bez svolení pojistníka nebo pojištěného uvedeného v pojistné smlouvě.</w:t>
      </w:r>
      <w:r>
        <w:rPr>
          <w:b/>
        </w:rPr>
        <w:t xml:space="preserve">  </w:t>
      </w:r>
    </w:p>
    <w:p w:rsidR="007043CB" w:rsidRDefault="004B5C2E">
      <w:pPr>
        <w:numPr>
          <w:ilvl w:val="0"/>
          <w:numId w:val="23"/>
        </w:numPr>
        <w:ind w:hanging="271"/>
      </w:pPr>
      <w:r>
        <w:rPr>
          <w:b/>
        </w:rPr>
        <w:t xml:space="preserve">Zemětřesením </w:t>
      </w:r>
      <w:r>
        <w:t xml:space="preserve">se rozumí otřesy zemského povrchu vyvolané pohyby zemské kůry, dosahující intenzity alespoň 6. stupně mezinárodní stupnice MSK - 64, udávající makroseismické účinky zemětřesení, a to v místě pojištění (nikoli v epicentru). </w:t>
      </w:r>
      <w:r>
        <w:rPr>
          <w:rFonts w:ascii="Arial" w:eastAsia="Arial" w:hAnsi="Arial" w:cs="Arial"/>
          <w:sz w:val="28"/>
        </w:rPr>
        <w:t xml:space="preserve"> </w:t>
      </w:r>
    </w:p>
    <w:p w:rsidR="007043CB" w:rsidRDefault="004B5C2E">
      <w:pPr>
        <w:numPr>
          <w:ilvl w:val="0"/>
          <w:numId w:val="23"/>
        </w:numPr>
        <w:ind w:hanging="271"/>
      </w:pPr>
      <w:r>
        <w:rPr>
          <w:b/>
        </w:rPr>
        <w:t>Znečištěním životního prostředí</w:t>
      </w:r>
      <w:r>
        <w:t xml:space="preserve"> se rozumí poškození životního prostředí či jeho složek (např. kontaminace půdy, hornin, ovzduší, povrchových a podzemních vod, živých organismů – flóry a fauny). Za škodu způsobenou znečištěním životního prostředí se považuje i následná škoda, která vznikla v příčinné souvislosti se znečištěním životního prostředí (např. úhyn ryb a zvířat v důsledku kontaminace vod, zničení úrody plodin v důsledku kontaminace půdy). Kontaminací se rozumí jakékoli zamoření, znečištění či jiné zhoršení jakosti, bonity, kvality jednotlivých složek životního prostředí. </w:t>
      </w:r>
      <w:r>
        <w:rPr>
          <w:b/>
        </w:rPr>
        <w:t xml:space="preserve"> </w:t>
      </w:r>
    </w:p>
    <w:p w:rsidR="007043CB" w:rsidRDefault="004B5C2E">
      <w:pPr>
        <w:numPr>
          <w:ilvl w:val="0"/>
          <w:numId w:val="23"/>
        </w:numPr>
        <w:ind w:hanging="271"/>
      </w:pPr>
      <w:r>
        <w:rPr>
          <w:b/>
        </w:rPr>
        <w:t>Znovuzřízením věci</w:t>
      </w:r>
      <w:r>
        <w:t xml:space="preserve"> se rozumí dosažení stavu, v jakém se věc nacházela před pojistnou událostí. Za odpovídající náklad se považuje:</w:t>
      </w:r>
      <w:r>
        <w:rPr>
          <w:b/>
        </w:rPr>
        <w:t xml:space="preserve">  </w:t>
      </w:r>
    </w:p>
    <w:p w:rsidR="007043CB" w:rsidRDefault="004B5C2E">
      <w:pPr>
        <w:numPr>
          <w:ilvl w:val="1"/>
          <w:numId w:val="23"/>
        </w:numPr>
        <w:ind w:hanging="274"/>
      </w:pPr>
      <w:r>
        <w:lastRenderedPageBreak/>
        <w:t>u staveb částka, kterou je třeba obvykle vynaložit k vybudování novostavby téhož druhu, rozsahu a kvality v daném místě, včetně nákladů na zpracování projektové dokumentace,</w:t>
      </w:r>
      <w:r>
        <w:rPr>
          <w:rFonts w:ascii="Arial" w:eastAsia="Arial" w:hAnsi="Arial" w:cs="Arial"/>
          <w:sz w:val="28"/>
        </w:rPr>
        <w:t xml:space="preserve"> </w:t>
      </w:r>
    </w:p>
    <w:p w:rsidR="007043CB" w:rsidRDefault="004B5C2E">
      <w:pPr>
        <w:numPr>
          <w:ilvl w:val="1"/>
          <w:numId w:val="23"/>
        </w:numPr>
        <w:ind w:hanging="274"/>
      </w:pPr>
      <w:r>
        <w:t xml:space="preserve">u movitých věcí částka, kterou je třeba vynaložit na obnovu věci nebo částka, kterou je třeba vynaložit na výrobu nové věci stejného druhu a kvality v daném místě; určující je ta částka, která je ze zjištěných částek nižší.  </w:t>
      </w:r>
    </w:p>
    <w:p w:rsidR="007043CB" w:rsidRDefault="004B5C2E">
      <w:pPr>
        <w:numPr>
          <w:ilvl w:val="0"/>
          <w:numId w:val="23"/>
        </w:numPr>
        <w:ind w:hanging="271"/>
      </w:pPr>
      <w:r>
        <w:rPr>
          <w:b/>
        </w:rPr>
        <w:t>Zpronevěrou</w:t>
      </w:r>
      <w:r>
        <w:t xml:space="preserve"> se rozumí přivlastnění si svěřené pojištěné věci. </w:t>
      </w:r>
    </w:p>
    <w:p w:rsidR="007043CB" w:rsidRDefault="004B5C2E">
      <w:pPr>
        <w:numPr>
          <w:ilvl w:val="0"/>
          <w:numId w:val="23"/>
        </w:numPr>
        <w:spacing w:after="187"/>
        <w:ind w:hanging="271"/>
      </w:pPr>
      <w:r>
        <w:rPr>
          <w:b/>
        </w:rPr>
        <w:t xml:space="preserve">Ztrátou věci </w:t>
      </w:r>
      <w:r>
        <w:t>se rozumí stav, kdy oprávněná osoba pozbyla nezávisle na své vůli možnost s věcí disponovat.</w:t>
      </w:r>
      <w:r>
        <w:rPr>
          <w:b/>
        </w:rPr>
        <w:t xml:space="preserve"> </w:t>
      </w:r>
    </w:p>
    <w:p w:rsidR="007043CB" w:rsidRDefault="004B5C2E">
      <w:pPr>
        <w:spacing w:after="79" w:line="259" w:lineRule="auto"/>
        <w:ind w:left="0" w:firstLine="0"/>
        <w:jc w:val="left"/>
      </w:pPr>
      <w:r>
        <w:rPr>
          <w:b/>
        </w:rPr>
        <w:t xml:space="preserve"> </w:t>
      </w:r>
    </w:p>
    <w:p w:rsidR="007043CB" w:rsidRDefault="004B5C2E">
      <w:pPr>
        <w:spacing w:after="36" w:line="250" w:lineRule="auto"/>
        <w:ind w:left="-5" w:hanging="10"/>
        <w:jc w:val="left"/>
      </w:pPr>
      <w:r>
        <w:rPr>
          <w:b/>
        </w:rPr>
        <w:t>Doložka DOB5 - Tíha sněhu, námraza</w:t>
      </w:r>
      <w:r>
        <w:t xml:space="preserve"> - Vymezení podmínek (1201)</w:t>
      </w:r>
      <w:r>
        <w:rPr>
          <w:rFonts w:ascii="Times New Roman" w:eastAsia="Times New Roman" w:hAnsi="Times New Roman" w:cs="Times New Roman"/>
          <w:sz w:val="20"/>
        </w:rPr>
        <w:t xml:space="preserve"> </w:t>
      </w:r>
    </w:p>
    <w:p w:rsidR="007043CB" w:rsidRDefault="004B5C2E">
      <w:pPr>
        <w:numPr>
          <w:ilvl w:val="0"/>
          <w:numId w:val="24"/>
        </w:numPr>
        <w:ind w:hanging="271"/>
      </w:pPr>
      <w:r>
        <w:t xml:space="preserve">Pojištění sjednané pro pojistné nebezpečí tíha sněhu nebo námraza se nevztahuje na poškození nebo zničení nosné konstrukce střech budov a/nebo krytiny, která plní funkci protiexplozivního opatření např. při zpracování výbušnin. </w:t>
      </w:r>
    </w:p>
    <w:p w:rsidR="007043CB" w:rsidRDefault="004B5C2E">
      <w:pPr>
        <w:numPr>
          <w:ilvl w:val="0"/>
          <w:numId w:val="24"/>
        </w:numPr>
        <w:ind w:hanging="271"/>
      </w:pPr>
      <w:r>
        <w:t xml:space="preserve">Pojistitel je oprávněn snížit pojistné plnění v případě pojistné události, ke které dojde na zcela či z části zchátralých, shnilých nebo jinak poškozených nosných konstrukcí střech budov nebo krytinách a/nebo s přispěním takového stavu nosných konstrukcí střech budov nebo krytin ke vzniku škodné události. </w:t>
      </w:r>
    </w:p>
    <w:p w:rsidR="007043CB" w:rsidRDefault="004B5C2E">
      <w:pPr>
        <w:numPr>
          <w:ilvl w:val="0"/>
          <w:numId w:val="24"/>
        </w:numPr>
        <w:ind w:hanging="271"/>
      </w:pPr>
      <w:r>
        <w:t xml:space="preserve">Pojistitel je dále oprávněn snížit pojistné plnění v případě, kdy v době vzniku škodné události výška sněhové vrstvy kdekoli na ploše střechy pojištěné budovy přesahovala výšku 40cm. Toto ustanovení se týká pouze střech plochých a střech se sklonem střešních rovin do 15-ti stupňů. </w:t>
      </w:r>
    </w:p>
    <w:p w:rsidR="007043CB" w:rsidRDefault="004B5C2E">
      <w:pPr>
        <w:spacing w:after="0" w:line="259" w:lineRule="auto"/>
        <w:ind w:left="0" w:firstLine="0"/>
        <w:jc w:val="left"/>
      </w:pPr>
      <w:r>
        <w:t xml:space="preserve"> </w:t>
      </w:r>
    </w:p>
    <w:p w:rsidR="007043CB" w:rsidRDefault="004B5C2E">
      <w:pPr>
        <w:ind w:left="-15" w:firstLine="0"/>
      </w:pPr>
      <w:r>
        <w:t xml:space="preserve">Střecha, nebo také střešní konstrukce, patří mezi obvodové konstrukce objektu. Dělí se na střešní plášť a na nosnou konstrukci střech. </w:t>
      </w:r>
    </w:p>
    <w:p w:rsidR="007043CB" w:rsidRDefault="004B5C2E">
      <w:pPr>
        <w:ind w:left="-15" w:firstLine="0"/>
      </w:pPr>
      <w:r>
        <w:t xml:space="preserve">Nosná konstrukce střech je část střechy, která přenáší zatížení od vlastní hmotnosti, hmotnosti střešního pláště, od klimatických vnějších vlivů (sníh, vítr, voda), zatížení od provozu zařízení, do ostatních nosných systémů objektu. </w:t>
      </w:r>
    </w:p>
    <w:p w:rsidR="007043CB" w:rsidRDefault="004B5C2E">
      <w:pPr>
        <w:ind w:left="-15" w:firstLine="0"/>
      </w:pPr>
      <w:r>
        <w:t xml:space="preserve">Střešní plášť je část střechy, která kromě základní nosné vrstvy a krytiny může obsahovat řadu doplňkových vrstev (např. tepelná izolace). </w:t>
      </w:r>
    </w:p>
    <w:p w:rsidR="007043CB" w:rsidRDefault="004B5C2E">
      <w:pPr>
        <w:spacing w:after="39" w:line="259" w:lineRule="auto"/>
        <w:ind w:left="0" w:firstLine="0"/>
        <w:jc w:val="left"/>
      </w:pPr>
      <w:r>
        <w:rPr>
          <w:b/>
        </w:rPr>
        <w:t xml:space="preserve"> </w:t>
      </w:r>
    </w:p>
    <w:p w:rsidR="007043CB" w:rsidRDefault="004B5C2E">
      <w:pPr>
        <w:spacing w:after="39" w:line="259" w:lineRule="auto"/>
        <w:ind w:left="0" w:firstLine="0"/>
        <w:jc w:val="left"/>
      </w:pPr>
      <w:r>
        <w:rPr>
          <w:b/>
        </w:rPr>
        <w:t xml:space="preserve"> </w:t>
      </w:r>
    </w:p>
    <w:p w:rsidR="007043CB" w:rsidRDefault="004B5C2E">
      <w:pPr>
        <w:spacing w:after="51"/>
        <w:ind w:left="-15" w:firstLine="0"/>
      </w:pPr>
      <w:r>
        <w:rPr>
          <w:b/>
        </w:rPr>
        <w:t>Doložka DOB6 - Bonifikace</w:t>
      </w:r>
      <w:r>
        <w:t xml:space="preserve"> - Vymezení podmínek (1201)</w:t>
      </w:r>
      <w:r>
        <w:rPr>
          <w:b/>
        </w:rPr>
        <w:t xml:space="preserve"> </w:t>
      </w:r>
    </w:p>
    <w:p w:rsidR="007043CB" w:rsidRDefault="004B5C2E">
      <w:pPr>
        <w:numPr>
          <w:ilvl w:val="0"/>
          <w:numId w:val="25"/>
        </w:numPr>
        <w:ind w:hanging="271"/>
      </w:pPr>
      <w:r>
        <w:t xml:space="preserve">Nárok na přiznání bonifikace ve výši uvedené v předmětné pojistné smlouvě vzniká při dosažení stanoveného škodného průběhu, jehož výše je uvedena v příslušném článku předmětné pojistné smlouvy, a to v hodnoceném období. </w:t>
      </w:r>
    </w:p>
    <w:p w:rsidR="007043CB" w:rsidRDefault="004B5C2E">
      <w:pPr>
        <w:numPr>
          <w:ilvl w:val="0"/>
          <w:numId w:val="25"/>
        </w:numPr>
        <w:ind w:hanging="271"/>
      </w:pPr>
      <w:r>
        <w:t xml:space="preserve">Škodný průběh je poměr mezi vyplaceným plněním (vč. rezervy na škody vzniklé, nahlášené, ale v době výpočtu škodného průběhu nevyplacené) a zaplaceným pojistným za hodnocené období specifikované v předmětné pojistné smlouvě vyjádřený v procentech. Od vyplaceného plnění pojistitel odečítá přijaté regresy.  </w:t>
      </w:r>
    </w:p>
    <w:p w:rsidR="007043CB" w:rsidRDefault="004B5C2E">
      <w:pPr>
        <w:numPr>
          <w:ilvl w:val="0"/>
          <w:numId w:val="25"/>
        </w:numPr>
        <w:ind w:hanging="271"/>
      </w:pPr>
      <w:r>
        <w:t xml:space="preserve">Na bonifikaci stanovenou v předmětné pojistné smlouvě nemá pojistník nárok, pokud v předchozím hodnoceném období byl škodný průběh z předmětné smlouvy vyšší než 55 % nebo pojištění z této pojistné smlouvy v dalším pojistném roce nepokračuje.  </w:t>
      </w:r>
    </w:p>
    <w:p w:rsidR="007043CB" w:rsidRDefault="004B5C2E">
      <w:pPr>
        <w:numPr>
          <w:ilvl w:val="0"/>
          <w:numId w:val="25"/>
        </w:numPr>
        <w:ind w:hanging="271"/>
      </w:pPr>
      <w:r>
        <w:t xml:space="preserve">Uplatnit nárok na bonifikaci lze do šesti měsíců po uplynutí hodnoceného období. Na základě žádosti vyhodnotí pojistitel škodný průběh za účelem stanovení nároku na bonifikaci, nejdříve však tři měsíce po uplynutí hodnoceného období. </w:t>
      </w:r>
    </w:p>
    <w:p w:rsidR="007043CB" w:rsidRDefault="004B5C2E">
      <w:pPr>
        <w:numPr>
          <w:ilvl w:val="0"/>
          <w:numId w:val="25"/>
        </w:numPr>
        <w:ind w:hanging="271"/>
      </w:pPr>
      <w:r>
        <w:t xml:space="preserve">Podmínkou pro vyplacení bonifikace je uhrazení předepsaného pojistného za hodnocené období. Nárok na bonifikaci nevznikne při ukončení platnosti pojistné smlouvy před uplynutím jednoho pojistného roku.  </w:t>
      </w:r>
    </w:p>
    <w:p w:rsidR="007043CB" w:rsidRDefault="004B5C2E">
      <w:pPr>
        <w:numPr>
          <w:ilvl w:val="0"/>
          <w:numId w:val="25"/>
        </w:numPr>
        <w:ind w:hanging="271"/>
      </w:pPr>
      <w:r>
        <w:t xml:space="preserve">Pojistitel započte bonifikaci ve prospěch neuhrazeného předpisu pojistného následujícího pojistného roku nebo na dlužnou splátku pojistného, případně poukáže  jednorázově bonifikaci pojistníkovi do tří měsíců ode dne, kdy o ni pojistník požádal, nejdříve však tři měsíce po uplynutí hodnoceného období. </w:t>
      </w:r>
    </w:p>
    <w:p w:rsidR="007043CB" w:rsidRDefault="004B5C2E">
      <w:pPr>
        <w:numPr>
          <w:ilvl w:val="0"/>
          <w:numId w:val="25"/>
        </w:numPr>
        <w:ind w:hanging="271"/>
      </w:pPr>
      <w:r>
        <w:t xml:space="preserve">V případě, že pojistník po uzavření hodnoceného období uplatní nárok na plnění z pojistné události v takové výši, která zpětně ruší nárok na bonifikaci nebo mění výši bonifikace, sníží pojistitel plnění z pojistné události o částku odpovídající přeplacené bonifikaci, nebo pojistník vrátí celou bonifikaci nebo část odpovídající přeplatku.  </w:t>
      </w:r>
    </w:p>
    <w:p w:rsidR="007043CB" w:rsidRDefault="004B5C2E">
      <w:pPr>
        <w:spacing w:after="39" w:line="259" w:lineRule="auto"/>
        <w:ind w:left="0" w:firstLine="0"/>
        <w:jc w:val="left"/>
      </w:pPr>
      <w:r>
        <w:rPr>
          <w:b/>
        </w:rPr>
        <w:t xml:space="preserve"> </w:t>
      </w:r>
    </w:p>
    <w:p w:rsidR="007043CB" w:rsidRDefault="004B5C2E">
      <w:pPr>
        <w:spacing w:after="39" w:line="259" w:lineRule="auto"/>
        <w:ind w:left="0" w:firstLine="0"/>
        <w:jc w:val="left"/>
      </w:pPr>
      <w:r>
        <w:rPr>
          <w:b/>
        </w:rPr>
        <w:t xml:space="preserve"> </w:t>
      </w:r>
    </w:p>
    <w:p w:rsidR="007043CB" w:rsidRDefault="004B5C2E">
      <w:pPr>
        <w:spacing w:after="50" w:line="250" w:lineRule="auto"/>
        <w:ind w:left="-5" w:hanging="10"/>
        <w:jc w:val="left"/>
      </w:pPr>
      <w:r>
        <w:rPr>
          <w:b/>
        </w:rPr>
        <w:t xml:space="preserve">Doložka DOB7 - Definice jedné pojistné události pro pojistná nebezpečí povodeň, záplava, vichřice, krupobití </w:t>
      </w:r>
      <w:r>
        <w:t xml:space="preserve">(1201) </w:t>
      </w:r>
    </w:p>
    <w:p w:rsidR="007043CB" w:rsidRDefault="004B5C2E">
      <w:pPr>
        <w:ind w:left="-15" w:firstLine="0"/>
      </w:pPr>
      <w:r>
        <w:t xml:space="preserve">Ujednává se, že škody způsobené katastrofickými pojistnými nebezpečími povodeň nebo záplava nastalé z jedné příčiny během 72 hodin, vichřicí nebo krupobitím nastalé z jedné příčiny během 48 hodin se považují za jednu pojistnou událost. Netýká se pojištění přerušení nebo omezení provozu. </w:t>
      </w:r>
    </w:p>
    <w:p w:rsidR="007043CB" w:rsidRDefault="004B5C2E">
      <w:pPr>
        <w:spacing w:after="39" w:line="259" w:lineRule="auto"/>
        <w:ind w:left="0" w:firstLine="0"/>
        <w:jc w:val="left"/>
      </w:pPr>
      <w:r>
        <w:rPr>
          <w:b/>
        </w:rPr>
        <w:t xml:space="preserve"> </w:t>
      </w:r>
    </w:p>
    <w:p w:rsidR="007043CB" w:rsidRDefault="004B5C2E">
      <w:pPr>
        <w:spacing w:after="39" w:line="259" w:lineRule="auto"/>
        <w:ind w:left="0" w:firstLine="0"/>
        <w:jc w:val="left"/>
      </w:pPr>
      <w:r>
        <w:rPr>
          <w:b/>
        </w:rPr>
        <w:t xml:space="preserve"> </w:t>
      </w:r>
    </w:p>
    <w:p w:rsidR="007043CB" w:rsidRDefault="004B5C2E">
      <w:pPr>
        <w:spacing w:after="39" w:line="259" w:lineRule="auto"/>
        <w:ind w:left="0" w:firstLine="0"/>
        <w:jc w:val="left"/>
      </w:pPr>
      <w:r>
        <w:rPr>
          <w:b/>
        </w:rPr>
        <w:t xml:space="preserve"> </w:t>
      </w:r>
    </w:p>
    <w:p w:rsidR="007043CB" w:rsidRDefault="004B5C2E">
      <w:pPr>
        <w:spacing w:after="39" w:line="259" w:lineRule="auto"/>
        <w:ind w:left="0" w:firstLine="0"/>
        <w:jc w:val="left"/>
      </w:pPr>
      <w:r>
        <w:rPr>
          <w:b/>
        </w:rPr>
        <w:t xml:space="preserve"> </w:t>
      </w:r>
    </w:p>
    <w:p w:rsidR="007043CB" w:rsidRDefault="004B5C2E">
      <w:pPr>
        <w:spacing w:after="39" w:line="259" w:lineRule="auto"/>
        <w:ind w:left="0" w:firstLine="0"/>
        <w:jc w:val="left"/>
      </w:pPr>
      <w:r>
        <w:rPr>
          <w:b/>
        </w:rPr>
        <w:t xml:space="preserve"> </w:t>
      </w:r>
    </w:p>
    <w:p w:rsidR="007043CB" w:rsidRDefault="004B5C2E">
      <w:pPr>
        <w:spacing w:after="39" w:line="259" w:lineRule="auto"/>
        <w:ind w:left="0" w:firstLine="0"/>
        <w:jc w:val="left"/>
      </w:pPr>
      <w:r>
        <w:rPr>
          <w:b/>
        </w:rPr>
        <w:t xml:space="preserve"> </w:t>
      </w:r>
    </w:p>
    <w:p w:rsidR="007043CB" w:rsidRDefault="004B5C2E">
      <w:pPr>
        <w:spacing w:after="39" w:line="259" w:lineRule="auto"/>
        <w:ind w:left="0" w:firstLine="0"/>
        <w:jc w:val="left"/>
      </w:pPr>
      <w:r>
        <w:rPr>
          <w:b/>
        </w:rPr>
        <w:t xml:space="preserve"> </w:t>
      </w:r>
    </w:p>
    <w:p w:rsidR="007043CB" w:rsidRDefault="004B5C2E">
      <w:pPr>
        <w:spacing w:after="39" w:line="259" w:lineRule="auto"/>
        <w:ind w:left="0" w:firstLine="0"/>
        <w:jc w:val="left"/>
      </w:pPr>
      <w:r>
        <w:rPr>
          <w:b/>
        </w:rPr>
        <w:t xml:space="preserve"> </w:t>
      </w:r>
    </w:p>
    <w:p w:rsidR="007043CB" w:rsidRDefault="004B5C2E">
      <w:pPr>
        <w:spacing w:after="39" w:line="259" w:lineRule="auto"/>
        <w:ind w:left="0" w:firstLine="0"/>
        <w:jc w:val="left"/>
      </w:pPr>
      <w:r>
        <w:rPr>
          <w:b/>
        </w:rPr>
        <w:t xml:space="preserve"> </w:t>
      </w:r>
    </w:p>
    <w:p w:rsidR="007043CB" w:rsidRDefault="004B5C2E">
      <w:pPr>
        <w:spacing w:after="0" w:line="259" w:lineRule="auto"/>
        <w:ind w:left="0" w:firstLine="0"/>
        <w:jc w:val="left"/>
      </w:pPr>
      <w:r>
        <w:rPr>
          <w:b/>
        </w:rPr>
        <w:t xml:space="preserve"> </w:t>
      </w:r>
    </w:p>
    <w:p w:rsidR="007043CB" w:rsidRDefault="004B5C2E">
      <w:pPr>
        <w:spacing w:after="7" w:line="250" w:lineRule="auto"/>
        <w:ind w:left="-5" w:hanging="10"/>
        <w:jc w:val="left"/>
      </w:pPr>
      <w:r>
        <w:rPr>
          <w:b/>
        </w:rPr>
        <w:t xml:space="preserve">Doložka DODP2 - Pojištění obecné odpovědnosti za škodu a za škodu způsobenou vadou výrobku </w:t>
      </w:r>
      <w:r>
        <w:t xml:space="preserve">- Základní rozsah pojištění </w:t>
      </w:r>
    </w:p>
    <w:p w:rsidR="007043CB" w:rsidRDefault="004B5C2E">
      <w:pPr>
        <w:spacing w:after="47"/>
        <w:ind w:left="-15" w:firstLine="0"/>
      </w:pPr>
      <w:r>
        <w:t xml:space="preserve">(1201) </w:t>
      </w:r>
    </w:p>
    <w:p w:rsidR="007043CB" w:rsidRDefault="004B5C2E">
      <w:pPr>
        <w:ind w:left="-15" w:firstLine="0"/>
      </w:pPr>
      <w:r>
        <w:lastRenderedPageBreak/>
        <w:t xml:space="preserve">Činností nebo vztahem podle čl. I. odst. (1) ZPP P - 600/05 jsou činnosti nebo vztahy vyplývající z předmětu podnikání pojištěného uvedeného v přiložené listině (např. živnostenský list, koncesní listina, výpis z obchodního rejstříku, apod.). </w:t>
      </w:r>
    </w:p>
    <w:p w:rsidR="007043CB" w:rsidRDefault="004B5C2E">
      <w:pPr>
        <w:spacing w:after="0" w:line="259" w:lineRule="auto"/>
        <w:ind w:left="0" w:firstLine="0"/>
        <w:jc w:val="left"/>
      </w:pPr>
      <w:r>
        <w:t xml:space="preserve"> </w:t>
      </w:r>
    </w:p>
    <w:p w:rsidR="007043CB" w:rsidRDefault="004B5C2E">
      <w:pPr>
        <w:ind w:left="-15" w:firstLine="0"/>
      </w:pPr>
      <w:r>
        <w:t xml:space="preserve">Pokud některý z předmětů podnikání pojištěného zahrnuje více oborů, podskupin apod. (dále jen „obory činnosti“) – např. obory činností živnosti volné, považují se u něj za předmět podnikání pouze ty obory činnosti, které jsou výslovně uvedeny v pojistné smlouvě (včetně jejích příloh, přiložených listin); nejsou-li obory činnosti v pojistné smlouvě výslovně uvedeny, považují se u něj za předmět podnikání pouze ty obory činnosti, které má pojištěný zapsány/uvedeny v příslušném předmět podnikání evidujícím rejstříku, registru nebo jiném informačním systému veřejné správy či obdobné veřejné evidenci ke dni sjednání pojištění. </w:t>
      </w:r>
    </w:p>
    <w:p w:rsidR="007043CB" w:rsidRDefault="004B5C2E">
      <w:pPr>
        <w:spacing w:after="0" w:line="259" w:lineRule="auto"/>
        <w:ind w:left="0" w:firstLine="0"/>
        <w:jc w:val="left"/>
      </w:pPr>
      <w:r>
        <w:t xml:space="preserve"> </w:t>
      </w:r>
    </w:p>
    <w:p w:rsidR="007043CB" w:rsidRDefault="004B5C2E">
      <w:pPr>
        <w:ind w:left="-15" w:firstLine="0"/>
      </w:pPr>
      <w:r>
        <w:t xml:space="preserve">Ve smyslu čl. I. odst. (5) ZPP P - 600/05 se pojištění vztahuje i na odpovědnost za škodu způsobenou vadou výrobku a za škodu způsobenou vadou vykonané práce, která se projeví po jejím předání.  </w:t>
      </w:r>
    </w:p>
    <w:p w:rsidR="007043CB" w:rsidRDefault="004B5C2E">
      <w:pPr>
        <w:spacing w:after="0" w:line="259" w:lineRule="auto"/>
        <w:ind w:left="0" w:firstLine="0"/>
        <w:jc w:val="left"/>
      </w:pPr>
      <w:r>
        <w:t xml:space="preserve"> </w:t>
      </w:r>
    </w:p>
    <w:p w:rsidR="007043CB" w:rsidRDefault="004B5C2E">
      <w:pPr>
        <w:ind w:left="-15" w:firstLine="0"/>
      </w:pPr>
      <w:r>
        <w:t xml:space="preserve">Pojištění se vztahuje na všechny výrobky pojištěného, pokud není v pojistné smlouvě uvedeno jinak. </w:t>
      </w:r>
    </w:p>
    <w:p w:rsidR="007043CB" w:rsidRDefault="004B5C2E">
      <w:pPr>
        <w:spacing w:after="0" w:line="259" w:lineRule="auto"/>
        <w:ind w:left="0" w:firstLine="0"/>
        <w:jc w:val="left"/>
      </w:pPr>
      <w:r>
        <w:t xml:space="preserve"> </w:t>
      </w:r>
    </w:p>
    <w:p w:rsidR="007043CB" w:rsidRDefault="004B5C2E">
      <w:pPr>
        <w:ind w:left="-15" w:firstLine="0"/>
      </w:pPr>
      <w:r>
        <w:t xml:space="preserve">Pojištění se vztahuje i na regresní náhradu, kterou je pojištěný povinen zaplatit orgánu nemocenského pojištění, pokud v důsledku jeho zaviněného protiprávního jednání zjištěného soudem nebo správním úřadem došlo ke skutečnostem rozhodným pro vznik nároku na dávku nemocenského pojištění, jestliže z odpovědnosti za škodu na zdraví nebo na životě, se kterou tato dávka souvisí, vznikl nárok na plnění z pojištění sjednaného pojistnou smlouvou. </w:t>
      </w:r>
    </w:p>
    <w:p w:rsidR="007043CB" w:rsidRDefault="004B5C2E">
      <w:pPr>
        <w:spacing w:after="39" w:line="259" w:lineRule="auto"/>
        <w:ind w:left="0" w:firstLine="0"/>
        <w:jc w:val="left"/>
      </w:pPr>
      <w:r>
        <w:rPr>
          <w:b/>
        </w:rPr>
        <w:t xml:space="preserve"> </w:t>
      </w:r>
    </w:p>
    <w:p w:rsidR="007043CB" w:rsidRDefault="004B5C2E">
      <w:pPr>
        <w:spacing w:after="39" w:line="259" w:lineRule="auto"/>
        <w:ind w:left="0" w:firstLine="0"/>
        <w:jc w:val="left"/>
      </w:pPr>
      <w:r>
        <w:rPr>
          <w:b/>
        </w:rPr>
        <w:t xml:space="preserve"> </w:t>
      </w:r>
    </w:p>
    <w:p w:rsidR="007043CB" w:rsidRDefault="004B5C2E">
      <w:pPr>
        <w:spacing w:after="51"/>
        <w:ind w:left="-15" w:firstLine="0"/>
      </w:pPr>
      <w:r>
        <w:rPr>
          <w:b/>
        </w:rPr>
        <w:t>Doložka DODP3 - Cizí věci převzaté</w:t>
      </w:r>
      <w:r>
        <w:t xml:space="preserve"> - Rozšíření rozsahu pojištění (1201) </w:t>
      </w:r>
    </w:p>
    <w:p w:rsidR="007043CB" w:rsidRDefault="004B5C2E">
      <w:pPr>
        <w:ind w:left="-15" w:firstLine="0"/>
      </w:pPr>
      <w:r>
        <w:t xml:space="preserve">Pojištění se vztahuje i na odpovědnost za škodu způsobenou na movité věci, kterou pojištěný převzal v souvislosti s činností nebo vztahem podle čl. I. odst. (1) ZPP P - 600/05 za účelem provedení objednané činnosti. </w:t>
      </w:r>
    </w:p>
    <w:p w:rsidR="007043CB" w:rsidRDefault="004B5C2E">
      <w:pPr>
        <w:spacing w:after="39" w:line="259" w:lineRule="auto"/>
        <w:ind w:left="0" w:firstLine="0"/>
        <w:jc w:val="left"/>
      </w:pPr>
      <w:r>
        <w:rPr>
          <w:b/>
        </w:rPr>
        <w:t xml:space="preserve"> </w:t>
      </w:r>
    </w:p>
    <w:p w:rsidR="007043CB" w:rsidRDefault="004B5C2E">
      <w:pPr>
        <w:spacing w:after="39" w:line="259" w:lineRule="auto"/>
        <w:ind w:left="0" w:firstLine="0"/>
        <w:jc w:val="left"/>
      </w:pPr>
      <w:r>
        <w:rPr>
          <w:b/>
        </w:rPr>
        <w:t xml:space="preserve"> </w:t>
      </w:r>
    </w:p>
    <w:p w:rsidR="007043CB" w:rsidRDefault="004B5C2E">
      <w:pPr>
        <w:spacing w:after="48"/>
        <w:ind w:left="-15" w:firstLine="0"/>
      </w:pPr>
      <w:r>
        <w:rPr>
          <w:b/>
        </w:rPr>
        <w:t>Doložka DODP4 - Cizí věci užívané</w:t>
      </w:r>
      <w:r>
        <w:t xml:space="preserve"> - Rozšíření rozsahu pojištění (1201)</w:t>
      </w:r>
      <w:r>
        <w:rPr>
          <w:b/>
        </w:rPr>
        <w:t xml:space="preserve"> </w:t>
      </w:r>
    </w:p>
    <w:p w:rsidR="007043CB" w:rsidRDefault="004B5C2E">
      <w:pPr>
        <w:ind w:left="-15" w:firstLine="0"/>
      </w:pPr>
      <w:r>
        <w:t xml:space="preserve">Pojištění se vztahuje i na odpovědnost za škodu způsobenou na movité věci, kterou pojištěný oprávněně užívá v souvislosti s činností nebo vztahem podle čl. I. odst. (1) ZPP P - 600/05, s výjimkou škody způsobené na užívaném motorovém vozidle. </w:t>
      </w:r>
    </w:p>
    <w:p w:rsidR="007043CB" w:rsidRDefault="004B5C2E">
      <w:pPr>
        <w:spacing w:after="39" w:line="259" w:lineRule="auto"/>
        <w:ind w:left="0" w:firstLine="0"/>
        <w:jc w:val="left"/>
      </w:pPr>
      <w:r>
        <w:rPr>
          <w:b/>
        </w:rPr>
        <w:t xml:space="preserve"> </w:t>
      </w:r>
    </w:p>
    <w:p w:rsidR="007043CB" w:rsidRDefault="004B5C2E">
      <w:pPr>
        <w:spacing w:after="39" w:line="259" w:lineRule="auto"/>
        <w:ind w:left="0" w:firstLine="0"/>
        <w:jc w:val="left"/>
      </w:pPr>
      <w:r>
        <w:rPr>
          <w:b/>
        </w:rPr>
        <w:t xml:space="preserve"> </w:t>
      </w:r>
    </w:p>
    <w:p w:rsidR="007043CB" w:rsidRDefault="004B5C2E">
      <w:pPr>
        <w:spacing w:after="49" w:line="250" w:lineRule="auto"/>
        <w:ind w:left="-5" w:hanging="10"/>
        <w:jc w:val="left"/>
      </w:pPr>
      <w:r>
        <w:rPr>
          <w:b/>
        </w:rPr>
        <w:t>Doložka DODP5 - Náklady zdravotní pojišťovny</w:t>
      </w:r>
      <w:r>
        <w:t xml:space="preserve"> - Rozšíření rozsahu pojištění (1201)</w:t>
      </w:r>
      <w:r>
        <w:rPr>
          <w:b/>
        </w:rPr>
        <w:t xml:space="preserve"> </w:t>
      </w:r>
    </w:p>
    <w:p w:rsidR="007043CB" w:rsidRDefault="004B5C2E">
      <w:pPr>
        <w:ind w:left="-15" w:firstLine="0"/>
      </w:pPr>
      <w:r>
        <w:t xml:space="preserve">Pojištění se vztahuje i na náhradu nákladů léčení vynaložených zdravotní pojišťovnou na zdravotní péči poskytovanou zaměstnanci pojištěného, který utrpěl tělesnou újmu v důsledku pracovního úrazu nebo nemoci z povolání v souvislosti s činností nebo vztahem pojištěného podle čl. I. odst. (1) ZPP P - 600/05. </w:t>
      </w:r>
    </w:p>
    <w:p w:rsidR="007043CB" w:rsidRDefault="004B5C2E">
      <w:pPr>
        <w:spacing w:after="39" w:line="259" w:lineRule="auto"/>
        <w:ind w:left="0" w:firstLine="0"/>
        <w:jc w:val="left"/>
      </w:pPr>
      <w:r>
        <w:rPr>
          <w:b/>
        </w:rPr>
        <w:t xml:space="preserve"> </w:t>
      </w:r>
    </w:p>
    <w:p w:rsidR="007043CB" w:rsidRDefault="004B5C2E">
      <w:pPr>
        <w:spacing w:after="39" w:line="259" w:lineRule="auto"/>
        <w:ind w:left="0" w:firstLine="0"/>
        <w:jc w:val="left"/>
      </w:pPr>
      <w:r>
        <w:rPr>
          <w:b/>
        </w:rPr>
        <w:t xml:space="preserve"> </w:t>
      </w:r>
    </w:p>
    <w:p w:rsidR="007043CB" w:rsidRDefault="004B5C2E">
      <w:pPr>
        <w:spacing w:after="51"/>
        <w:ind w:left="-15" w:firstLine="0"/>
      </w:pPr>
      <w:r>
        <w:rPr>
          <w:b/>
        </w:rPr>
        <w:t>Doložka DODP6 - Křížová odpovědnost</w:t>
      </w:r>
      <w:r>
        <w:t xml:space="preserve"> - Rozšíření rozsahu pojištění (1201)</w:t>
      </w:r>
      <w:r>
        <w:rPr>
          <w:b/>
        </w:rPr>
        <w:t xml:space="preserve"> </w:t>
      </w:r>
    </w:p>
    <w:p w:rsidR="007043CB" w:rsidRDefault="004B5C2E">
      <w:pPr>
        <w:ind w:left="-15" w:firstLine="0"/>
      </w:pPr>
      <w:r>
        <w:t xml:space="preserve">Odchylně od čl. IV. odst. (4) písm. c) ZPP P – 600/05 se pojištění vztahuje i na škodu, za kterou pojištěný odpovídá právnické osobě, se kterou je majetkově propojen. </w:t>
      </w:r>
    </w:p>
    <w:p w:rsidR="007043CB" w:rsidRDefault="004B5C2E">
      <w:pPr>
        <w:spacing w:after="39" w:line="259" w:lineRule="auto"/>
        <w:ind w:left="0" w:firstLine="0"/>
        <w:jc w:val="left"/>
      </w:pPr>
      <w:r>
        <w:rPr>
          <w:b/>
        </w:rPr>
        <w:t xml:space="preserve"> </w:t>
      </w:r>
    </w:p>
    <w:p w:rsidR="007043CB" w:rsidRDefault="004B5C2E">
      <w:pPr>
        <w:spacing w:after="39" w:line="259" w:lineRule="auto"/>
        <w:ind w:left="0" w:firstLine="0"/>
        <w:jc w:val="left"/>
      </w:pPr>
      <w:r>
        <w:rPr>
          <w:b/>
        </w:rPr>
        <w:t xml:space="preserve"> </w:t>
      </w:r>
    </w:p>
    <w:p w:rsidR="007043CB" w:rsidRDefault="004B5C2E">
      <w:pPr>
        <w:spacing w:after="47" w:line="250" w:lineRule="auto"/>
        <w:ind w:left="-5" w:hanging="10"/>
        <w:jc w:val="left"/>
      </w:pPr>
      <w:r>
        <w:rPr>
          <w:b/>
        </w:rPr>
        <w:t>Doložka DODP8 - Regresy dávek nemocenského pojištění</w:t>
      </w:r>
      <w:r>
        <w:t xml:space="preserve"> - rozšíření rozsahu pojištění (1201) </w:t>
      </w:r>
    </w:p>
    <w:p w:rsidR="007043CB" w:rsidRDefault="004B5C2E">
      <w:pPr>
        <w:ind w:left="-15" w:firstLine="0"/>
      </w:pPr>
      <w:r>
        <w:t xml:space="preserve">Pojištění se vztahuje i na regresní náhradu, kterou je pojištěný povinen zaplatit orgánu nemocenského pojištění, pokud v důsledku jeho zaviněného protiprávního jednání zjištěného soudem nebo správním úřadem došlo ke skutečnostem rozhodným pro vznik nároku na dávku nemocenského pojištění v důsledku pracovního úrazu nebo nemoci z povolání zaměstnance pojištěného v souvislosti s činností nebo vztahem pojištěného podle čl. I. odst. (1) ZPP P - 600/05. </w:t>
      </w:r>
    </w:p>
    <w:p w:rsidR="007043CB" w:rsidRDefault="004B5C2E">
      <w:pPr>
        <w:spacing w:after="0" w:line="259" w:lineRule="auto"/>
        <w:ind w:left="0" w:firstLine="0"/>
        <w:jc w:val="left"/>
      </w:pPr>
      <w:r>
        <w:t xml:space="preserve"> </w:t>
      </w:r>
    </w:p>
    <w:p w:rsidR="007043CB" w:rsidRDefault="004B5C2E">
      <w:pPr>
        <w:ind w:left="425" w:hanging="425"/>
        <w:jc w:val="left"/>
      </w:pPr>
      <w:r>
        <w:rPr>
          <w:b/>
          <w:sz w:val="20"/>
        </w:rPr>
        <w:t xml:space="preserve"> Doložka DX1 pro pojištění odpovědnosti obce za škodu způsobenou při výkonu veřejné moci rozhodnutím nebo nesprávným úředním postupem </w:t>
      </w:r>
      <w:r>
        <w:rPr>
          <w:sz w:val="20"/>
        </w:rPr>
        <w:t>(1201)</w:t>
      </w:r>
      <w:r>
        <w:rPr>
          <w:b/>
          <w:sz w:val="20"/>
        </w:rPr>
        <w:t xml:space="preserve"> </w:t>
      </w:r>
    </w:p>
    <w:p w:rsidR="007043CB" w:rsidRDefault="004B5C2E">
      <w:pPr>
        <w:ind w:left="435" w:right="403" w:hanging="10"/>
      </w:pPr>
      <w:r>
        <w:rPr>
          <w:sz w:val="19"/>
        </w:rPr>
        <w:t xml:space="preserve">Toto pojištění se odchylně od čl. VII., odst. 1, písm. b) VPP P-100/09 vztahuje rovněž na odpovědnost obce za škodu vyplývající ze zákona č. 82/1998 Sb., o odpovědnosti za škodu způsobenou při výkonu veřejné moci rozhodnutím nebo nesprávným úředním postupem a o změně zákona České národní rady č. 358/1992 Sb., o notářích a jejich činnosti (notářský řád). </w:t>
      </w:r>
    </w:p>
    <w:p w:rsidR="007043CB" w:rsidRDefault="004B5C2E">
      <w:pPr>
        <w:ind w:left="435" w:right="403" w:hanging="10"/>
      </w:pPr>
      <w:r>
        <w:rPr>
          <w:sz w:val="19"/>
        </w:rPr>
        <w:t xml:space="preserve">Z pojištění odpovědnosti za škodu ve výše uvedeném rozsahu má pojištěný právo, aby za něj pojistitel odchylně od čl. I., odst. 2, písm. a) ZPP P-600/05 uhradil v případě vzniku pojistné události rovněž škodu, která nemá povahu škody na zdraví, na životě nebo na věci ani z takové škody nevyplývá. </w:t>
      </w:r>
    </w:p>
    <w:p w:rsidR="007043CB" w:rsidRDefault="004B5C2E">
      <w:pPr>
        <w:ind w:left="435" w:right="403" w:hanging="10"/>
      </w:pPr>
      <w:r>
        <w:rPr>
          <w:sz w:val="19"/>
        </w:rPr>
        <w:t xml:space="preserve">Toto pojištění se ve výše uvedené rozsahu vztahuje v souladu s čl. I., odst. 5 ZPP P-600/05 i na odpovědnost za škodu způsobenou vadou vykonané práce, která se projeví po jejím předání. </w:t>
      </w:r>
    </w:p>
    <w:p w:rsidR="007043CB" w:rsidRDefault="004B5C2E">
      <w:pPr>
        <w:spacing w:after="141" w:line="259" w:lineRule="auto"/>
        <w:ind w:left="425" w:firstLine="0"/>
        <w:jc w:val="left"/>
      </w:pPr>
      <w:r>
        <w:rPr>
          <w:sz w:val="4"/>
        </w:rPr>
        <w:t xml:space="preserve"> </w:t>
      </w:r>
    </w:p>
    <w:p w:rsidR="007043CB" w:rsidRDefault="004B5C2E">
      <w:pPr>
        <w:ind w:left="435" w:right="403" w:hanging="10"/>
      </w:pPr>
      <w:r>
        <w:rPr>
          <w:sz w:val="19"/>
        </w:rPr>
        <w:lastRenderedPageBreak/>
        <w:t xml:space="preserve">Odchylně od čl. IV. odst. (3) písm. d) a nad rámec čl. I. odst. (2) písm. a) bodu i) až iii) ZPP P - 600/05 se pojištění vztahuje též na povinnost pojištěného poskytnout peněžitou náhradu nemajetkové újmy uloženou pravomocným rozhodnutím soudu podle § 13 odst. 2, 3 občanského zákoníku z důvodu neoprávněného zásahu pojištěného do práva na ochranu osobnosti podle § 11 a násl. občanského zákoníku, k němuž došlo v souvislosti s činností nebo vztahem pojištěného, na které se vztahuje pojištění odpovědnosti za škodu sjednané touto pojistnou smlouvou. </w:t>
      </w:r>
    </w:p>
    <w:p w:rsidR="007043CB" w:rsidRDefault="004B5C2E">
      <w:pPr>
        <w:ind w:left="435" w:right="403" w:hanging="10"/>
      </w:pPr>
      <w:r>
        <w:rPr>
          <w:sz w:val="19"/>
        </w:rPr>
        <w:t xml:space="preserve">Pojistitel je povinen poskytnout pojistné plnění pouze za předpokladu, že jsou současně splněny následující podmínky: </w:t>
      </w:r>
    </w:p>
    <w:p w:rsidR="007043CB" w:rsidRDefault="004B5C2E">
      <w:pPr>
        <w:numPr>
          <w:ilvl w:val="0"/>
          <w:numId w:val="26"/>
        </w:numPr>
        <w:ind w:right="403" w:hanging="341"/>
      </w:pPr>
      <w:r>
        <w:rPr>
          <w:sz w:val="19"/>
        </w:rPr>
        <w:t xml:space="preserve">k neoprávněnému zásahu do práva na ochranu osobnosti došlo po dni 01.01.2011 </w:t>
      </w:r>
    </w:p>
    <w:p w:rsidR="007043CB" w:rsidRDefault="004B5C2E">
      <w:pPr>
        <w:numPr>
          <w:ilvl w:val="0"/>
          <w:numId w:val="26"/>
        </w:numPr>
        <w:ind w:right="403" w:hanging="341"/>
      </w:pPr>
      <w:r>
        <w:rPr>
          <w:sz w:val="19"/>
        </w:rPr>
        <w:t xml:space="preserve">nárok na peněžitou náhradu nemajetkové újmy byl proti pojištěnému poprvé písemně uplatněn v době trvání tohoto pojištění, </w:t>
      </w:r>
    </w:p>
    <w:p w:rsidR="007043CB" w:rsidRDefault="004B5C2E">
      <w:pPr>
        <w:numPr>
          <w:ilvl w:val="0"/>
          <w:numId w:val="26"/>
        </w:numPr>
        <w:ind w:right="403" w:hanging="341"/>
      </w:pPr>
      <w:r>
        <w:rPr>
          <w:sz w:val="19"/>
        </w:rPr>
        <w:t xml:space="preserve">pojištěný uplatnil nárok na plnění proti pojistiteli do 60 dní po zániku tohoto pojištění. </w:t>
      </w:r>
    </w:p>
    <w:p w:rsidR="007043CB" w:rsidRDefault="004B5C2E">
      <w:pPr>
        <w:ind w:left="435" w:right="403" w:hanging="10"/>
      </w:pPr>
      <w:r>
        <w:rPr>
          <w:sz w:val="19"/>
        </w:rPr>
        <w:t xml:space="preserve">Nárok na peněžitou náhradu nemajetkové újmy způsobené neoprávněným zásahem do práva na ochranu osobnosti se pro účely tohoto pojištění posuzuje obdobně jako nárok na náhradu škody a platí pro něj přiměřeně příslušná ustanovení pojistných podmínek vztahující se k pojištění odpovědnosti za škodu sjednanému touto pojistnou smlouvou.  </w:t>
      </w:r>
    </w:p>
    <w:p w:rsidR="007043CB" w:rsidRDefault="004B5C2E">
      <w:pPr>
        <w:ind w:left="435" w:right="403" w:hanging="10"/>
      </w:pPr>
      <w:r>
        <w:rPr>
          <w:sz w:val="19"/>
        </w:rPr>
        <w:t xml:space="preserve">Mimo výluk a omezení pojistného plnění vyplývajících z příslušných ustanovení této pojistné smlouvy a pojistných podmínek vztahujících se k pojištění odpovědnosti za škodu sjednanému touto pojistnou smlouvou se toto pojištění dále nevztahuje na povinnost k peněžité náhradě nemajetkové újmy způsobené: a) urážkou, pomluvou, </w:t>
      </w:r>
    </w:p>
    <w:p w:rsidR="007043CB" w:rsidRDefault="004B5C2E">
      <w:pPr>
        <w:numPr>
          <w:ilvl w:val="0"/>
          <w:numId w:val="27"/>
        </w:numPr>
        <w:ind w:right="403" w:hanging="341"/>
      </w:pPr>
      <w:r>
        <w:rPr>
          <w:sz w:val="19"/>
        </w:rPr>
        <w:t xml:space="preserve">sexuálním obtěžováním nebo zneužíváním, </w:t>
      </w:r>
    </w:p>
    <w:p w:rsidR="007043CB" w:rsidRDefault="004B5C2E">
      <w:pPr>
        <w:numPr>
          <w:ilvl w:val="0"/>
          <w:numId w:val="27"/>
        </w:numPr>
        <w:ind w:right="403" w:hanging="341"/>
      </w:pPr>
      <w:r>
        <w:rPr>
          <w:sz w:val="19"/>
        </w:rPr>
        <w:t xml:space="preserve">porušením práv z průmyslového nebo jiného duševního vlastnictví. </w:t>
      </w:r>
    </w:p>
    <w:p w:rsidR="007043CB" w:rsidRDefault="004B5C2E">
      <w:pPr>
        <w:ind w:left="435" w:right="403" w:hanging="10"/>
      </w:pPr>
      <w:r>
        <w:rPr>
          <w:sz w:val="19"/>
        </w:rPr>
        <w:t xml:space="preserve">Sublimit pojistného plnění (horní hranice pojistného plnění z jedné pojistné události a ze všech pojistných událostí vzniklých během jednoho pojistného roku, který se sjednává v rámci limitu pojistného plnění pro pojištění obecné odpovědnosti činí pro toto pojištění 5 000 000,- Kč. </w:t>
      </w:r>
    </w:p>
    <w:p w:rsidR="007043CB" w:rsidRDefault="004B5C2E">
      <w:pPr>
        <w:ind w:left="435" w:right="403" w:hanging="10"/>
      </w:pPr>
      <w:r>
        <w:rPr>
          <w:sz w:val="19"/>
        </w:rPr>
        <w:t xml:space="preserve">Spoluúčast pojištěného na plnění z každé pojistné události činí pro toto pojištění 5.000,- Kč. </w:t>
      </w:r>
    </w:p>
    <w:p w:rsidR="007043CB" w:rsidRDefault="004B5C2E">
      <w:pPr>
        <w:spacing w:after="0" w:line="259" w:lineRule="auto"/>
        <w:ind w:left="425" w:firstLine="0"/>
        <w:jc w:val="left"/>
      </w:pPr>
      <w:r>
        <w:rPr>
          <w:b/>
          <w:sz w:val="20"/>
        </w:rPr>
        <w:t xml:space="preserve"> </w:t>
      </w:r>
    </w:p>
    <w:p w:rsidR="007043CB" w:rsidRDefault="004B5C2E">
      <w:pPr>
        <w:spacing w:after="0" w:line="259" w:lineRule="auto"/>
        <w:ind w:left="425" w:firstLine="0"/>
        <w:jc w:val="left"/>
      </w:pPr>
      <w:r>
        <w:rPr>
          <w:b/>
          <w:sz w:val="20"/>
        </w:rPr>
        <w:t xml:space="preserve"> </w:t>
      </w:r>
    </w:p>
    <w:p w:rsidR="007043CB" w:rsidRDefault="004B5C2E">
      <w:pPr>
        <w:spacing w:after="0" w:line="259" w:lineRule="auto"/>
        <w:ind w:left="425" w:firstLine="0"/>
        <w:jc w:val="left"/>
      </w:pPr>
      <w:r>
        <w:rPr>
          <w:b/>
          <w:sz w:val="20"/>
        </w:rPr>
        <w:t xml:space="preserve"> </w:t>
      </w:r>
    </w:p>
    <w:p w:rsidR="007043CB" w:rsidRDefault="004B5C2E">
      <w:pPr>
        <w:spacing w:after="0" w:line="259" w:lineRule="auto"/>
        <w:ind w:left="425" w:firstLine="0"/>
        <w:jc w:val="left"/>
      </w:pPr>
      <w:r>
        <w:rPr>
          <w:b/>
          <w:sz w:val="20"/>
        </w:rPr>
        <w:t xml:space="preserve"> </w:t>
      </w:r>
    </w:p>
    <w:p w:rsidR="007043CB" w:rsidRDefault="004B5C2E">
      <w:pPr>
        <w:spacing w:after="0" w:line="259" w:lineRule="auto"/>
        <w:ind w:left="0" w:firstLine="0"/>
        <w:jc w:val="left"/>
      </w:pPr>
      <w:r>
        <w:rPr>
          <w:b/>
          <w:sz w:val="20"/>
        </w:rPr>
        <w:t xml:space="preserve"> </w:t>
      </w:r>
      <w:r>
        <w:rPr>
          <w:b/>
          <w:sz w:val="20"/>
        </w:rPr>
        <w:tab/>
        <w:t xml:space="preserve"> </w:t>
      </w:r>
    </w:p>
    <w:p w:rsidR="007043CB" w:rsidRDefault="004B5C2E">
      <w:pPr>
        <w:ind w:left="435" w:hanging="10"/>
        <w:jc w:val="left"/>
      </w:pPr>
      <w:r>
        <w:rPr>
          <w:b/>
          <w:sz w:val="20"/>
        </w:rPr>
        <w:t xml:space="preserve">Doložka DX2 pro pojištění odpovědnosti obce za škodu vyplývající ze zákona o obecní policii </w:t>
      </w:r>
      <w:r>
        <w:rPr>
          <w:sz w:val="20"/>
        </w:rPr>
        <w:t>(1201)</w:t>
      </w:r>
      <w:r>
        <w:rPr>
          <w:b/>
          <w:sz w:val="20"/>
        </w:rPr>
        <w:t xml:space="preserve"> </w:t>
      </w:r>
    </w:p>
    <w:p w:rsidR="007043CB" w:rsidRDefault="004B5C2E">
      <w:pPr>
        <w:ind w:left="435" w:right="403" w:hanging="10"/>
      </w:pPr>
      <w:r>
        <w:rPr>
          <w:sz w:val="19"/>
        </w:rPr>
        <w:t xml:space="preserve">Toto pojištění se odchylně od čl. VII., odst. 1, písm. b) VPP P-100/09 vztahuje rovněž na odpovědnost obce za škodu vzniklou následkem zásahu veřejné správy v rozsahu vyplývajícím z § 24 zákona č. 553/1991 Sb., o obecní policii </w:t>
      </w:r>
    </w:p>
    <w:p w:rsidR="007043CB" w:rsidRDefault="004B5C2E">
      <w:pPr>
        <w:spacing w:after="0" w:line="259" w:lineRule="auto"/>
        <w:ind w:left="0" w:firstLine="0"/>
        <w:jc w:val="left"/>
      </w:pPr>
      <w:r>
        <w:rPr>
          <w:b/>
          <w:sz w:val="20"/>
        </w:rPr>
        <w:t xml:space="preserve"> </w:t>
      </w:r>
      <w:r>
        <w:rPr>
          <w:b/>
          <w:sz w:val="20"/>
        </w:rPr>
        <w:tab/>
        <w:t xml:space="preserve"> </w:t>
      </w:r>
    </w:p>
    <w:p w:rsidR="007043CB" w:rsidRDefault="004B5C2E">
      <w:pPr>
        <w:spacing w:after="0" w:line="259" w:lineRule="auto"/>
        <w:ind w:left="0" w:firstLine="0"/>
        <w:jc w:val="left"/>
      </w:pPr>
      <w:r>
        <w:rPr>
          <w:b/>
          <w:sz w:val="20"/>
        </w:rPr>
        <w:t xml:space="preserve"> </w:t>
      </w:r>
      <w:r>
        <w:rPr>
          <w:b/>
          <w:sz w:val="20"/>
        </w:rPr>
        <w:tab/>
        <w:t xml:space="preserve"> </w:t>
      </w:r>
    </w:p>
    <w:p w:rsidR="007043CB" w:rsidRDefault="004B5C2E">
      <w:pPr>
        <w:spacing w:after="0" w:line="259" w:lineRule="auto"/>
        <w:ind w:left="425" w:firstLine="0"/>
        <w:jc w:val="left"/>
      </w:pPr>
      <w:r>
        <w:rPr>
          <w:b/>
          <w:sz w:val="20"/>
        </w:rPr>
        <w:t xml:space="preserve"> </w:t>
      </w:r>
    </w:p>
    <w:p w:rsidR="007043CB" w:rsidRDefault="004B5C2E">
      <w:pPr>
        <w:spacing w:after="0" w:line="259" w:lineRule="auto"/>
        <w:ind w:left="425" w:firstLine="0"/>
        <w:jc w:val="left"/>
      </w:pPr>
      <w:r>
        <w:rPr>
          <w:b/>
          <w:sz w:val="20"/>
        </w:rPr>
        <w:t xml:space="preserve"> </w:t>
      </w:r>
    </w:p>
    <w:p w:rsidR="007043CB" w:rsidRDefault="004B5C2E">
      <w:pPr>
        <w:spacing w:after="0" w:line="259" w:lineRule="auto"/>
        <w:ind w:left="425" w:firstLine="0"/>
        <w:jc w:val="left"/>
      </w:pPr>
      <w:r>
        <w:rPr>
          <w:b/>
          <w:sz w:val="20"/>
        </w:rPr>
        <w:t xml:space="preserve"> </w:t>
      </w:r>
    </w:p>
    <w:p w:rsidR="007043CB" w:rsidRDefault="004B5C2E">
      <w:pPr>
        <w:spacing w:after="0" w:line="259" w:lineRule="auto"/>
        <w:ind w:left="425" w:firstLine="0"/>
        <w:jc w:val="left"/>
      </w:pPr>
      <w:r>
        <w:rPr>
          <w:b/>
          <w:sz w:val="20"/>
        </w:rPr>
        <w:t xml:space="preserve"> </w:t>
      </w:r>
    </w:p>
    <w:p w:rsidR="007043CB" w:rsidRDefault="004B5C2E">
      <w:pPr>
        <w:spacing w:after="0" w:line="259" w:lineRule="auto"/>
        <w:ind w:left="425" w:firstLine="0"/>
        <w:jc w:val="left"/>
      </w:pPr>
      <w:r>
        <w:rPr>
          <w:b/>
          <w:sz w:val="20"/>
        </w:rPr>
        <w:t xml:space="preserve"> </w:t>
      </w:r>
    </w:p>
    <w:p w:rsidR="007043CB" w:rsidRDefault="004B5C2E">
      <w:pPr>
        <w:spacing w:after="0" w:line="259" w:lineRule="auto"/>
        <w:ind w:left="425" w:firstLine="0"/>
        <w:jc w:val="left"/>
      </w:pPr>
      <w:r>
        <w:rPr>
          <w:b/>
          <w:sz w:val="20"/>
        </w:rPr>
        <w:t xml:space="preserve"> </w:t>
      </w:r>
    </w:p>
    <w:p w:rsidR="007043CB" w:rsidRDefault="004B5C2E">
      <w:pPr>
        <w:spacing w:after="0" w:line="259" w:lineRule="auto"/>
        <w:ind w:left="425" w:firstLine="0"/>
        <w:jc w:val="left"/>
      </w:pPr>
      <w:r>
        <w:rPr>
          <w:b/>
          <w:sz w:val="20"/>
        </w:rPr>
        <w:t xml:space="preserve"> </w:t>
      </w:r>
    </w:p>
    <w:p w:rsidR="007043CB" w:rsidRDefault="004B5C2E">
      <w:pPr>
        <w:spacing w:after="0" w:line="259" w:lineRule="auto"/>
        <w:ind w:left="425" w:firstLine="0"/>
        <w:jc w:val="left"/>
      </w:pPr>
      <w:r>
        <w:rPr>
          <w:b/>
          <w:sz w:val="20"/>
        </w:rPr>
        <w:t xml:space="preserve"> </w:t>
      </w:r>
    </w:p>
    <w:p w:rsidR="007043CB" w:rsidRDefault="004B5C2E">
      <w:pPr>
        <w:spacing w:after="0" w:line="259" w:lineRule="auto"/>
        <w:ind w:left="425" w:firstLine="0"/>
        <w:jc w:val="left"/>
      </w:pPr>
      <w:r>
        <w:rPr>
          <w:b/>
          <w:sz w:val="20"/>
        </w:rPr>
        <w:t xml:space="preserve"> </w:t>
      </w:r>
    </w:p>
    <w:p w:rsidR="007043CB" w:rsidRDefault="004B5C2E">
      <w:pPr>
        <w:spacing w:after="0" w:line="259" w:lineRule="auto"/>
        <w:ind w:left="425" w:firstLine="0"/>
        <w:jc w:val="left"/>
      </w:pPr>
      <w:r>
        <w:rPr>
          <w:b/>
          <w:sz w:val="20"/>
        </w:rPr>
        <w:t xml:space="preserve"> </w:t>
      </w:r>
    </w:p>
    <w:p w:rsidR="007043CB" w:rsidRDefault="004B5C2E">
      <w:pPr>
        <w:spacing w:after="0" w:line="259" w:lineRule="auto"/>
        <w:ind w:left="425" w:firstLine="0"/>
        <w:jc w:val="left"/>
      </w:pPr>
      <w:r>
        <w:rPr>
          <w:b/>
          <w:sz w:val="20"/>
        </w:rPr>
        <w:t xml:space="preserve"> </w:t>
      </w:r>
    </w:p>
    <w:p w:rsidR="007043CB" w:rsidRDefault="004B5C2E">
      <w:pPr>
        <w:spacing w:after="0" w:line="259" w:lineRule="auto"/>
        <w:ind w:left="425" w:firstLine="0"/>
        <w:jc w:val="left"/>
      </w:pPr>
      <w:r>
        <w:rPr>
          <w:b/>
          <w:sz w:val="20"/>
        </w:rPr>
        <w:t xml:space="preserve"> </w:t>
      </w:r>
    </w:p>
    <w:p w:rsidR="007043CB" w:rsidRDefault="004B5C2E">
      <w:pPr>
        <w:spacing w:after="0" w:line="259" w:lineRule="auto"/>
        <w:ind w:left="425" w:firstLine="0"/>
        <w:jc w:val="left"/>
      </w:pPr>
      <w:r>
        <w:rPr>
          <w:b/>
          <w:sz w:val="20"/>
        </w:rPr>
        <w:t xml:space="preserve"> </w:t>
      </w:r>
    </w:p>
    <w:p w:rsidR="007043CB" w:rsidRDefault="004B5C2E">
      <w:pPr>
        <w:spacing w:after="0" w:line="259" w:lineRule="auto"/>
        <w:ind w:left="425" w:firstLine="0"/>
        <w:jc w:val="left"/>
      </w:pPr>
      <w:r>
        <w:rPr>
          <w:b/>
          <w:sz w:val="20"/>
        </w:rPr>
        <w:t xml:space="preserve"> </w:t>
      </w:r>
    </w:p>
    <w:p w:rsidR="007043CB" w:rsidRDefault="004B5C2E">
      <w:pPr>
        <w:spacing w:after="0" w:line="259" w:lineRule="auto"/>
        <w:ind w:left="425" w:firstLine="0"/>
        <w:jc w:val="left"/>
      </w:pPr>
      <w:r>
        <w:rPr>
          <w:b/>
          <w:sz w:val="20"/>
        </w:rPr>
        <w:t xml:space="preserve"> </w:t>
      </w:r>
    </w:p>
    <w:p w:rsidR="007043CB" w:rsidRDefault="004B5C2E">
      <w:pPr>
        <w:spacing w:after="0" w:line="239" w:lineRule="auto"/>
        <w:ind w:left="425" w:right="414" w:firstLine="0"/>
      </w:pPr>
      <w:r>
        <w:rPr>
          <w:b/>
          <w:sz w:val="20"/>
        </w:rPr>
        <w:t>Doložka pro pojištění odpovědnosti za škodu - Poskytování zdravotních služeb poskytovatelem sociálních služeb bez potřeby oprávnění dle zákona o zdravotních službách</w:t>
      </w:r>
      <w:r>
        <w:rPr>
          <w:sz w:val="20"/>
        </w:rPr>
        <w:t>- rozšíření rozsahu pojištění  (1201)</w:t>
      </w:r>
      <w:r>
        <w:rPr>
          <w:b/>
          <w:sz w:val="20"/>
        </w:rPr>
        <w:t xml:space="preserve"> </w:t>
      </w:r>
    </w:p>
    <w:p w:rsidR="007043CB" w:rsidRDefault="004B5C2E">
      <w:pPr>
        <w:ind w:left="435" w:right="403" w:hanging="10"/>
      </w:pPr>
      <w:r>
        <w:rPr>
          <w:sz w:val="19"/>
        </w:rPr>
        <w:t xml:space="preserve">Odchylně od čl. IV. odst. (2) písm. d) ZPP P - 600/05 se pojištění odpovědnosti za škodu způsobenou v souvislosti s poskytováním sociálních služeb vztahuje i na odpovědnost za škodu způsobenou v souvislosti s oprávněným poskytováním zdravotních služeb pojištěným poskytovatelem sociálních služeb v rozsahu, v jakém k němu pojištěný z titulu svého postavení poskytovatele sociálních služeb nepotřebuje oprávnění k poskytování zdravotních služeb dle zákona o zdravotních službách. </w:t>
      </w:r>
    </w:p>
    <w:p w:rsidR="007043CB" w:rsidRDefault="004B5C2E">
      <w:pPr>
        <w:ind w:left="435" w:right="403" w:hanging="10"/>
      </w:pPr>
      <w:r>
        <w:rPr>
          <w:sz w:val="19"/>
        </w:rPr>
        <w:t xml:space="preserve">Odchylně od čl. II. odst. (2) i (3) ZPP P - 600/05 je pojistitel povinen poskytnout pojistné plnění z pojištění podle této doložky za předpokladu, že jsou současně splněny následující podmínky: </w:t>
      </w:r>
    </w:p>
    <w:p w:rsidR="007043CB" w:rsidRDefault="004B5C2E">
      <w:pPr>
        <w:numPr>
          <w:ilvl w:val="0"/>
          <w:numId w:val="28"/>
        </w:numPr>
        <w:ind w:right="403" w:hanging="10"/>
      </w:pPr>
      <w:r>
        <w:rPr>
          <w:sz w:val="19"/>
        </w:rPr>
        <w:t xml:space="preserve">právní skutečnost, v jejímž důsledku škoda vznikla, nastala po retroaktivním datu; není-li ujednáno jinak, je retroaktivní datum shodné s datem vzniku pojištění podle této doložky, resp. s retroaktivním datem sjednaným v pojistné smlouvě pro pojištění odpovědnosti za škodu způsobenou při poskytování sociálních služeb, pokud je takové retroaktivní datum v pojistné smlouvě sjednáno, </w:t>
      </w:r>
    </w:p>
    <w:p w:rsidR="007043CB" w:rsidRDefault="004B5C2E">
      <w:pPr>
        <w:numPr>
          <w:ilvl w:val="0"/>
          <w:numId w:val="28"/>
        </w:numPr>
        <w:ind w:right="403" w:hanging="10"/>
      </w:pPr>
      <w:r>
        <w:rPr>
          <w:sz w:val="19"/>
        </w:rPr>
        <w:lastRenderedPageBreak/>
        <w:t xml:space="preserve">poškozený poprvé písemně uplatnil nárok na náhradu škody proti pojištěnému v době trvání pojištění podle této doložky, </w:t>
      </w:r>
    </w:p>
    <w:p w:rsidR="007043CB" w:rsidRDefault="004B5C2E">
      <w:pPr>
        <w:numPr>
          <w:ilvl w:val="0"/>
          <w:numId w:val="28"/>
        </w:numPr>
        <w:ind w:right="403" w:hanging="10"/>
      </w:pPr>
      <w:r>
        <w:rPr>
          <w:sz w:val="19"/>
        </w:rPr>
        <w:t xml:space="preserve">pojištěný uplatnil nárok na plnění proti pojistiteli do 60 dní po zániku pojištění podle této doložky. Mimo výluk a omezení pojistného plnění vyplývajících z pojistné smlouvy a pojistných podmínek vztahujících se k pojištění odpovědnosti za škodu se pojištění podle této doložky dále nevztahuje na odpovědnost za škodu způsobenou: </w:t>
      </w:r>
    </w:p>
    <w:p w:rsidR="007043CB" w:rsidRDefault="004B5C2E">
      <w:pPr>
        <w:numPr>
          <w:ilvl w:val="0"/>
          <w:numId w:val="29"/>
        </w:numPr>
        <w:ind w:right="403" w:hanging="10"/>
      </w:pPr>
      <w:r>
        <w:rPr>
          <w:sz w:val="19"/>
        </w:rPr>
        <w:t xml:space="preserve">poskytováním zdravotních služeb / výkonem zdravotní péče, pro které pojištěný nebo osoby pro pojištěného činné nemají kvalifikaci ve smyslu příslušných právních předpisů, </w:t>
      </w:r>
    </w:p>
    <w:p w:rsidR="007043CB" w:rsidRDefault="004B5C2E">
      <w:pPr>
        <w:numPr>
          <w:ilvl w:val="0"/>
          <w:numId w:val="29"/>
        </w:numPr>
        <w:ind w:right="403" w:hanging="10"/>
      </w:pPr>
      <w:r>
        <w:rPr>
          <w:sz w:val="19"/>
        </w:rPr>
        <w:t xml:space="preserve">členy managementu poskytovatele sociálních služeb při jejich rozhodování, které není poskytováním zdravotních služeb / výkonem zdravotní péče, n) porušením povinnosti mlčenlivosti, </w:t>
      </w:r>
    </w:p>
    <w:p w:rsidR="007043CB" w:rsidRDefault="004B5C2E">
      <w:pPr>
        <w:numPr>
          <w:ilvl w:val="0"/>
          <w:numId w:val="30"/>
        </w:numPr>
        <w:ind w:right="403" w:hanging="341"/>
      </w:pPr>
      <w:r>
        <w:rPr>
          <w:sz w:val="19"/>
        </w:rPr>
        <w:t xml:space="preserve">činností krevní banky, </w:t>
      </w:r>
    </w:p>
    <w:p w:rsidR="007043CB" w:rsidRDefault="004B5C2E">
      <w:pPr>
        <w:numPr>
          <w:ilvl w:val="0"/>
          <w:numId w:val="30"/>
        </w:numPr>
        <w:ind w:right="403" w:hanging="341"/>
      </w:pPr>
      <w:r>
        <w:rPr>
          <w:sz w:val="19"/>
        </w:rPr>
        <w:t xml:space="preserve">lékařským a biologickým výzkumem včetně klinického hodnocení léčiv a zdravotnických prostředků, </w:t>
      </w:r>
    </w:p>
    <w:p w:rsidR="007043CB" w:rsidRDefault="004B5C2E">
      <w:pPr>
        <w:numPr>
          <w:ilvl w:val="0"/>
          <w:numId w:val="30"/>
        </w:numPr>
        <w:ind w:right="403" w:hanging="341"/>
      </w:pPr>
      <w:r>
        <w:rPr>
          <w:sz w:val="19"/>
        </w:rPr>
        <w:t xml:space="preserve">při ověřování nových poznatků na živém člověku použitím metod dosud nezavedených v klinické praxi, r) genetickým poškozením jakéhokoli původu, </w:t>
      </w:r>
    </w:p>
    <w:p w:rsidR="007043CB" w:rsidRDefault="004B5C2E">
      <w:pPr>
        <w:numPr>
          <w:ilvl w:val="0"/>
          <w:numId w:val="31"/>
        </w:numPr>
        <w:ind w:right="403" w:hanging="341"/>
      </w:pPr>
      <w:r>
        <w:rPr>
          <w:sz w:val="19"/>
        </w:rPr>
        <w:t xml:space="preserve">přenosem viru HIV, </w:t>
      </w:r>
    </w:p>
    <w:p w:rsidR="007043CB" w:rsidRDefault="004B5C2E">
      <w:pPr>
        <w:numPr>
          <w:ilvl w:val="0"/>
          <w:numId w:val="31"/>
        </w:numPr>
        <w:ind w:right="403" w:hanging="341"/>
      </w:pPr>
      <w:r>
        <w:rPr>
          <w:sz w:val="19"/>
        </w:rPr>
        <w:t xml:space="preserve">zářením všeho druhu; to však ? bez ohledu na jiné výluky vyplývající z pojistných podmínek vztahujících se k pojištění odpovědnosti za škodu ? neplatí, pokud došlo k nenadálé poruše ochranného zařízení sloužícího k vyšetřování nebo léčení, není-li ujednáno jinak, </w:t>
      </w:r>
    </w:p>
    <w:p w:rsidR="007043CB" w:rsidRDefault="004B5C2E">
      <w:pPr>
        <w:numPr>
          <w:ilvl w:val="0"/>
          <w:numId w:val="31"/>
        </w:numPr>
        <w:ind w:right="403" w:hanging="341"/>
      </w:pPr>
      <w:r>
        <w:rPr>
          <w:sz w:val="19"/>
        </w:rPr>
        <w:t xml:space="preserve">výkonem plastické nebo kosmetické chirurgie pouze pro estetické účely, </w:t>
      </w:r>
    </w:p>
    <w:p w:rsidR="007043CB" w:rsidRDefault="004B5C2E">
      <w:pPr>
        <w:numPr>
          <w:ilvl w:val="0"/>
          <w:numId w:val="31"/>
        </w:numPr>
        <w:ind w:right="403" w:hanging="341"/>
      </w:pPr>
      <w:r>
        <w:rPr>
          <w:sz w:val="19"/>
        </w:rPr>
        <w:t xml:space="preserve">umělým přerušením těhotenství, jedná-li se o zdravotní výkon neposkytovaný na základě zdravotního pojištění, tzn. výkon za přímou finanční úhradu. </w:t>
      </w:r>
    </w:p>
    <w:p w:rsidR="007043CB" w:rsidRDefault="004B5C2E">
      <w:pPr>
        <w:spacing w:after="0" w:line="259" w:lineRule="auto"/>
        <w:ind w:left="425" w:firstLine="0"/>
        <w:jc w:val="left"/>
      </w:pPr>
      <w:r>
        <w:rPr>
          <w:b/>
          <w:sz w:val="19"/>
        </w:rPr>
        <w:t xml:space="preserve"> </w:t>
      </w:r>
    </w:p>
    <w:p w:rsidR="007043CB" w:rsidRDefault="004B5C2E">
      <w:pPr>
        <w:spacing w:after="0" w:line="259" w:lineRule="auto"/>
        <w:ind w:left="425" w:firstLine="0"/>
        <w:jc w:val="left"/>
      </w:pPr>
      <w:r>
        <w:rPr>
          <w:b/>
          <w:sz w:val="20"/>
        </w:rPr>
        <w:t xml:space="preserve"> </w:t>
      </w:r>
    </w:p>
    <w:p w:rsidR="007043CB" w:rsidRDefault="004B5C2E">
      <w:pPr>
        <w:ind w:left="425" w:hanging="425"/>
        <w:jc w:val="left"/>
      </w:pPr>
      <w:r>
        <w:rPr>
          <w:b/>
          <w:sz w:val="20"/>
        </w:rPr>
        <w:t xml:space="preserve"> Doložka pro pojištění odpovědnosti za škodu – Nemajetková újma - ochrana osobnosti</w:t>
      </w:r>
      <w:r>
        <w:rPr>
          <w:sz w:val="20"/>
        </w:rPr>
        <w:t xml:space="preserve"> - rozšíření rozsahu pojištění (1201) </w:t>
      </w:r>
    </w:p>
    <w:p w:rsidR="007043CB" w:rsidRDefault="004B5C2E">
      <w:pPr>
        <w:ind w:left="435" w:right="403" w:hanging="10"/>
      </w:pPr>
      <w:r>
        <w:rPr>
          <w:sz w:val="19"/>
        </w:rPr>
        <w:t xml:space="preserve">Odchylně od čl. IV. odst. (3) písm. d) a nad rámec čl. I. odst. (2) písm. a) bodu i) až iii) ZPP P ? 600/05 se pojištění vztahuje též na povinnost pojištěného poskytnout peněžitou náhradu nemajetkové újmy uloženou pravomocným rozhodnutím soudu podle § 13 odst. 2, 3 občanského zákoníku z důvodu neoprávněného zásahu pojištěného do práva na ochranu osobnosti podle § 11 a násl. Občanského zákoníku, k němuž došlo v souvislosti s činností nebo vztahem pojištěného, na které se vztahuje pojištění odpovědnosti za škodu sjednané touto pojistnou smlouvou. </w:t>
      </w:r>
    </w:p>
    <w:p w:rsidR="007043CB" w:rsidRDefault="004B5C2E">
      <w:pPr>
        <w:ind w:left="435" w:right="1091" w:hanging="10"/>
      </w:pPr>
      <w:r>
        <w:rPr>
          <w:sz w:val="19"/>
        </w:rPr>
        <w:t xml:space="preserve">Pojistitel je povinen poskytnout pojistné plnění pouze za předpokladu splnění následující podmínky: a) k neoprávněnému zásahu do práva na ochranu osobnosti došlo po dni  </w:t>
      </w:r>
      <w:r>
        <w:rPr>
          <w:b/>
          <w:sz w:val="19"/>
        </w:rPr>
        <w:t>01.07.2009</w:t>
      </w:r>
      <w:r>
        <w:rPr>
          <w:sz w:val="19"/>
        </w:rPr>
        <w:t xml:space="preserve"> </w:t>
      </w:r>
    </w:p>
    <w:p w:rsidR="007043CB" w:rsidRDefault="004B5C2E">
      <w:pPr>
        <w:numPr>
          <w:ilvl w:val="0"/>
          <w:numId w:val="32"/>
        </w:numPr>
        <w:ind w:right="403" w:hanging="341"/>
      </w:pPr>
      <w:r>
        <w:rPr>
          <w:sz w:val="19"/>
        </w:rPr>
        <w:t xml:space="preserve">nárok na peněžitou náhradu nemajetkové újmy byl proti pojištěnému poprvé písemně uplatněn v době trvání tohoto pojištění, </w:t>
      </w:r>
    </w:p>
    <w:p w:rsidR="007043CB" w:rsidRDefault="004B5C2E">
      <w:pPr>
        <w:numPr>
          <w:ilvl w:val="0"/>
          <w:numId w:val="32"/>
        </w:numPr>
        <w:ind w:right="403" w:hanging="341"/>
      </w:pPr>
      <w:r>
        <w:rPr>
          <w:sz w:val="19"/>
        </w:rPr>
        <w:t xml:space="preserve">pojištěný uplatnil nárok na plnění proti pojistiteli do 60 dní po zániku tohoto pojištění. </w:t>
      </w:r>
    </w:p>
    <w:p w:rsidR="007043CB" w:rsidRDefault="004B5C2E">
      <w:pPr>
        <w:ind w:left="435" w:right="403" w:hanging="10"/>
      </w:pPr>
      <w:r>
        <w:rPr>
          <w:sz w:val="19"/>
        </w:rPr>
        <w:t xml:space="preserve">Nárok na peněžitou náhradu nemajetkové újmy způsobené neoprávněným zásahem do práva na ochranu osobnosti se pro účely tohoto pojištění posuzuje obdobně jako nárok na náhradu škody a platí pro něj přiměřeně příslušná ustanovení pojistných podmínek vztahující se k pojištění odpovědnosti za škodu sjednanému touto pojistnou smlouvou.  </w:t>
      </w:r>
    </w:p>
    <w:p w:rsidR="007043CB" w:rsidRDefault="004B5C2E">
      <w:pPr>
        <w:ind w:left="435" w:right="403" w:hanging="10"/>
      </w:pPr>
      <w:r>
        <w:rPr>
          <w:sz w:val="19"/>
        </w:rPr>
        <w:t xml:space="preserve">Mimo výluk a omezení pojistného plnění vyplývajících z příslušných ustanovení této pojistné smlouvy a pojistných podmínek vztahujících se k pojištění odpovědnosti za škodu sjednanému touto pojistnou smlouvou se toto pojištění dále nevztahuje na povinnost k peněžité náhradě nemajetkové újmy způsobené: a) urážkou, pomluvou, </w:t>
      </w:r>
    </w:p>
    <w:p w:rsidR="007043CB" w:rsidRDefault="004B5C2E">
      <w:pPr>
        <w:numPr>
          <w:ilvl w:val="0"/>
          <w:numId w:val="33"/>
        </w:numPr>
        <w:ind w:right="403" w:hanging="341"/>
      </w:pPr>
      <w:r>
        <w:rPr>
          <w:sz w:val="19"/>
        </w:rPr>
        <w:t xml:space="preserve">sexuálním obtěžováním nebo zneužíváním, </w:t>
      </w:r>
    </w:p>
    <w:p w:rsidR="007043CB" w:rsidRDefault="004B5C2E">
      <w:pPr>
        <w:numPr>
          <w:ilvl w:val="0"/>
          <w:numId w:val="33"/>
        </w:numPr>
        <w:ind w:right="403" w:hanging="341"/>
      </w:pPr>
      <w:r>
        <w:rPr>
          <w:sz w:val="19"/>
        </w:rPr>
        <w:t xml:space="preserve">porušením práv z průmyslového nebo jiného duševního vlastnictví. </w:t>
      </w:r>
    </w:p>
    <w:p w:rsidR="007043CB" w:rsidRDefault="004B5C2E">
      <w:pPr>
        <w:ind w:left="435" w:right="403" w:hanging="10"/>
      </w:pPr>
      <w:r>
        <w:rPr>
          <w:sz w:val="19"/>
        </w:rPr>
        <w:t xml:space="preserve">Sublimit pojistného plnění (horní hranice pojistného plnění z jedné pojistné události a ze všech pojistných událostí vzniklých během jednoho pojistného roku ), který se sjednává v rámci limitu pojistného plnění pro pojištění obecné odpovědnosti, činí pro toto pojištění  </w:t>
      </w:r>
      <w:r>
        <w:rPr>
          <w:b/>
          <w:sz w:val="19"/>
        </w:rPr>
        <w:t xml:space="preserve">5 000 000,- Kč. </w:t>
      </w:r>
    </w:p>
    <w:p w:rsidR="007043CB" w:rsidRDefault="004B5C2E">
      <w:pPr>
        <w:ind w:left="435" w:right="403" w:hanging="10"/>
      </w:pPr>
      <w:r>
        <w:rPr>
          <w:sz w:val="19"/>
        </w:rPr>
        <w:t xml:space="preserve">Spoluúčast  pojištěného na plnění z každé pojistné události činí pro toto pojištění </w:t>
      </w:r>
      <w:r>
        <w:rPr>
          <w:b/>
          <w:sz w:val="19"/>
        </w:rPr>
        <w:t>1 000,- Kč</w:t>
      </w:r>
      <w:r>
        <w:rPr>
          <w:sz w:val="19"/>
        </w:rPr>
        <w:t xml:space="preserve"> . </w:t>
      </w:r>
    </w:p>
    <w:p w:rsidR="007043CB" w:rsidRDefault="004B5C2E">
      <w:pPr>
        <w:spacing w:after="0" w:line="259" w:lineRule="auto"/>
        <w:ind w:left="425" w:firstLine="0"/>
        <w:jc w:val="left"/>
      </w:pPr>
      <w:r>
        <w:rPr>
          <w:b/>
          <w:sz w:val="20"/>
        </w:rPr>
        <w:t xml:space="preserve"> </w:t>
      </w:r>
    </w:p>
    <w:p w:rsidR="007043CB" w:rsidRDefault="004B5C2E">
      <w:pPr>
        <w:ind w:left="10" w:hanging="10"/>
        <w:jc w:val="left"/>
      </w:pPr>
      <w:r>
        <w:rPr>
          <w:b/>
          <w:sz w:val="20"/>
        </w:rPr>
        <w:t>Doložka pro pojištění odpovědnosti za škodu - Připojištění odpovědnosti členů orgánů za jinou než čistou finanční újmu</w:t>
      </w:r>
      <w:r>
        <w:rPr>
          <w:sz w:val="20"/>
        </w:rPr>
        <w:t xml:space="preserve"> – Rozšíření rozsahu pojištění</w:t>
      </w:r>
      <w:r>
        <w:rPr>
          <w:b/>
          <w:sz w:val="20"/>
        </w:rPr>
        <w:t xml:space="preserve"> </w:t>
      </w:r>
    </w:p>
    <w:p w:rsidR="007043CB" w:rsidRDefault="004B5C2E">
      <w:pPr>
        <w:spacing w:after="86" w:line="259" w:lineRule="auto"/>
        <w:ind w:left="0" w:firstLine="0"/>
        <w:jc w:val="left"/>
      </w:pPr>
      <w:r>
        <w:rPr>
          <w:sz w:val="10"/>
        </w:rPr>
        <w:t xml:space="preserve"> </w:t>
      </w:r>
    </w:p>
    <w:p w:rsidR="007043CB" w:rsidRDefault="004B5C2E">
      <w:pPr>
        <w:pStyle w:val="Nadpis2"/>
        <w:ind w:left="10" w:right="11"/>
      </w:pPr>
      <w:r>
        <w:t xml:space="preserve">Článek 1 Úvodní ustanovení </w:t>
      </w:r>
    </w:p>
    <w:p w:rsidR="007043CB" w:rsidRDefault="004B5C2E">
      <w:pPr>
        <w:spacing w:after="115" w:line="259" w:lineRule="auto"/>
        <w:ind w:left="0" w:firstLine="0"/>
        <w:jc w:val="left"/>
      </w:pPr>
      <w:r>
        <w:rPr>
          <w:sz w:val="10"/>
        </w:rPr>
        <w:t xml:space="preserve"> </w:t>
      </w:r>
    </w:p>
    <w:p w:rsidR="007043CB" w:rsidRDefault="004B5C2E">
      <w:pPr>
        <w:numPr>
          <w:ilvl w:val="0"/>
          <w:numId w:val="34"/>
        </w:numPr>
        <w:ind w:right="1" w:hanging="283"/>
      </w:pPr>
      <w:r>
        <w:rPr>
          <w:sz w:val="20"/>
        </w:rPr>
        <w:t xml:space="preserve">Připojištění odpovědnosti členů orgánů za jinou než čistou finanční újmu se sjednává jako připojištění k pojištění odpovědnosti obchodní korporace, případně jiné právnické osoby, </w:t>
      </w:r>
      <w:r>
        <w:rPr>
          <w:color w:val="FF0000"/>
          <w:sz w:val="20"/>
        </w:rPr>
        <w:t>s výjimkou státu</w:t>
      </w:r>
      <w:r>
        <w:rPr>
          <w:sz w:val="20"/>
        </w:rPr>
        <w:t>, pro kterou je pojistnou smlouvou sjednáno pojištění odpovědnosti za škodu (dále jen „</w:t>
      </w:r>
      <w:r>
        <w:rPr>
          <w:b/>
          <w:sz w:val="20"/>
        </w:rPr>
        <w:t>pojištěná právnická osoba</w:t>
      </w:r>
      <w:r>
        <w:rPr>
          <w:sz w:val="20"/>
        </w:rPr>
        <w:t xml:space="preserve">“). Právnickou osobou ve smyslu předchozí věty se rozumí i </w:t>
      </w:r>
      <w:r>
        <w:rPr>
          <w:color w:val="FF0000"/>
          <w:sz w:val="20"/>
        </w:rPr>
        <w:t>obec nebo jiný územní samosprávný celek</w:t>
      </w:r>
      <w:r>
        <w:rPr>
          <w:sz w:val="20"/>
        </w:rPr>
        <w:t xml:space="preserve">. </w:t>
      </w:r>
    </w:p>
    <w:p w:rsidR="007043CB" w:rsidRDefault="004B5C2E">
      <w:pPr>
        <w:spacing w:after="114" w:line="259" w:lineRule="auto"/>
        <w:ind w:left="0" w:firstLine="0"/>
        <w:jc w:val="left"/>
      </w:pPr>
      <w:r>
        <w:rPr>
          <w:sz w:val="10"/>
        </w:rPr>
        <w:t xml:space="preserve"> </w:t>
      </w:r>
    </w:p>
    <w:p w:rsidR="007043CB" w:rsidRDefault="004B5C2E">
      <w:pPr>
        <w:numPr>
          <w:ilvl w:val="0"/>
          <w:numId w:val="34"/>
        </w:numPr>
        <w:ind w:right="1" w:hanging="283"/>
      </w:pPr>
      <w:r>
        <w:rPr>
          <w:b/>
          <w:sz w:val="20"/>
        </w:rPr>
        <w:t xml:space="preserve">Jinou než čistou finanční újmou </w:t>
      </w:r>
      <w:r>
        <w:rPr>
          <w:sz w:val="20"/>
        </w:rPr>
        <w:t xml:space="preserve">se rozumí: </w:t>
      </w:r>
    </w:p>
    <w:p w:rsidR="007043CB" w:rsidRDefault="004B5C2E">
      <w:pPr>
        <w:numPr>
          <w:ilvl w:val="1"/>
          <w:numId w:val="34"/>
        </w:numPr>
        <w:ind w:right="1" w:hanging="284"/>
      </w:pPr>
      <w:r>
        <w:rPr>
          <w:sz w:val="20"/>
        </w:rPr>
        <w:t xml:space="preserve">v případě újmy na životě nebo zdraví člověka:  </w:t>
      </w:r>
    </w:p>
    <w:p w:rsidR="007043CB" w:rsidRDefault="004B5C2E">
      <w:pPr>
        <w:numPr>
          <w:ilvl w:val="2"/>
          <w:numId w:val="34"/>
        </w:numPr>
        <w:ind w:right="1" w:hanging="427"/>
      </w:pPr>
      <w:r>
        <w:rPr>
          <w:sz w:val="20"/>
        </w:rPr>
        <w:lastRenderedPageBreak/>
        <w:t xml:space="preserve">nemajetková újma způsobená zásahem do práva poškozeného na ochranu jeho zdraví (např. bolestné, ztížení společenského uplatnění) </w:t>
      </w:r>
    </w:p>
    <w:p w:rsidR="007043CB" w:rsidRDefault="004B5C2E">
      <w:pPr>
        <w:numPr>
          <w:ilvl w:val="2"/>
          <w:numId w:val="34"/>
        </w:numPr>
        <w:ind w:right="1" w:hanging="427"/>
      </w:pPr>
      <w:r>
        <w:rPr>
          <w:sz w:val="20"/>
        </w:rPr>
        <w:t xml:space="preserve">duševní útrapy manžela, rodiče, dítěte nebo jiné osoby blízké poškozenému v případě usmrcení nebo zvlášť závažného ublížení na zdraví poškozeného, </w:t>
      </w:r>
    </w:p>
    <w:p w:rsidR="007043CB" w:rsidRDefault="004B5C2E">
      <w:pPr>
        <w:numPr>
          <w:ilvl w:val="2"/>
          <w:numId w:val="34"/>
        </w:numPr>
        <w:ind w:right="1" w:hanging="427"/>
      </w:pPr>
      <w:r>
        <w:rPr>
          <w:sz w:val="20"/>
        </w:rPr>
        <w:t xml:space="preserve">následná finanční škoda, která vznikla jako přímý důsledek újmy na životě nebo zdraví člověka, pokud se na takovou újmu vztahuje pojištění odpovědnosti za škodu pojištěné právnické osoby (např. ztráta na výdělku, ušlý zisk, náklady léčení, náklady pohřbu), </w:t>
      </w:r>
    </w:p>
    <w:p w:rsidR="007043CB" w:rsidRDefault="004B5C2E">
      <w:pPr>
        <w:numPr>
          <w:ilvl w:val="1"/>
          <w:numId w:val="34"/>
        </w:numPr>
        <w:ind w:right="1" w:hanging="284"/>
      </w:pPr>
      <w:r>
        <w:rPr>
          <w:sz w:val="20"/>
        </w:rPr>
        <w:t>v případě újmy na hmotné věci (dále jen „</w:t>
      </w:r>
      <w:r>
        <w:rPr>
          <w:b/>
          <w:sz w:val="20"/>
        </w:rPr>
        <w:t>věc</w:t>
      </w:r>
      <w:r>
        <w:rPr>
          <w:sz w:val="20"/>
        </w:rPr>
        <w:t xml:space="preserve">“): </w:t>
      </w:r>
    </w:p>
    <w:p w:rsidR="007043CB" w:rsidRDefault="004B5C2E">
      <w:pPr>
        <w:numPr>
          <w:ilvl w:val="2"/>
          <w:numId w:val="34"/>
        </w:numPr>
        <w:ind w:right="1" w:hanging="427"/>
      </w:pPr>
      <w:r>
        <w:rPr>
          <w:sz w:val="20"/>
        </w:rPr>
        <w:t xml:space="preserve">škoda způsobená na věci jejím poškozením, zničením nebo ztrátou, </w:t>
      </w:r>
    </w:p>
    <w:p w:rsidR="007043CB" w:rsidRDefault="004B5C2E">
      <w:pPr>
        <w:numPr>
          <w:ilvl w:val="2"/>
          <w:numId w:val="34"/>
        </w:numPr>
        <w:ind w:right="1" w:hanging="427"/>
      </w:pPr>
      <w:r>
        <w:rPr>
          <w:sz w:val="20"/>
        </w:rPr>
        <w:t xml:space="preserve">následná finanční škoda, která vznikla vlastníkovi věci nebo osobě oprávněně užívající věc na základě smlouvy jako přímý důsledek škody uvedené v bodu i), pokud se na škodu na takové věci vztahuje pojištění odpovědnosti za škodu pojištěné právnické osoby (např. ušlý zisk, náklady na likvidaci zničené věci, půjčovné za náhradní stroj), </w:t>
      </w:r>
    </w:p>
    <w:p w:rsidR="007043CB" w:rsidRDefault="004B5C2E">
      <w:pPr>
        <w:numPr>
          <w:ilvl w:val="1"/>
          <w:numId w:val="34"/>
        </w:numPr>
        <w:ind w:right="1" w:hanging="284"/>
      </w:pPr>
      <w:r>
        <w:rPr>
          <w:sz w:val="20"/>
        </w:rPr>
        <w:t>v případě újmy na živém zvířeti (dále jen „</w:t>
      </w:r>
      <w:r>
        <w:rPr>
          <w:b/>
          <w:sz w:val="20"/>
        </w:rPr>
        <w:t>zvíře</w:t>
      </w:r>
      <w:r>
        <w:rPr>
          <w:sz w:val="20"/>
        </w:rPr>
        <w:t xml:space="preserve">“): </w:t>
      </w:r>
    </w:p>
    <w:p w:rsidR="007043CB" w:rsidRDefault="004B5C2E">
      <w:pPr>
        <w:numPr>
          <w:ilvl w:val="2"/>
          <w:numId w:val="34"/>
        </w:numPr>
        <w:ind w:right="1" w:hanging="427"/>
      </w:pPr>
      <w:r>
        <w:rPr>
          <w:sz w:val="20"/>
        </w:rPr>
        <w:t xml:space="preserve">škoda způsobená usmrcením, ztrátou nebo zraněním zvířete, </w:t>
      </w:r>
    </w:p>
    <w:p w:rsidR="007043CB" w:rsidRDefault="004B5C2E">
      <w:pPr>
        <w:numPr>
          <w:ilvl w:val="2"/>
          <w:numId w:val="34"/>
        </w:numPr>
        <w:ind w:right="1" w:hanging="427"/>
      </w:pPr>
      <w:r>
        <w:rPr>
          <w:sz w:val="20"/>
        </w:rPr>
        <w:t xml:space="preserve">následná finanční škoda, která vznikla vlastníkovi zvířete nebo osobě oprávněně užívající zvíře na základě smlouvy jako přímý důsledek škody uvedené v bodu i) pokud se na škodu na zvířeti vztahuje pojištění odpovědnosti za škodu pojištěné právnické osoby (např. ušlý zisk); účelně vynaložené náklady spojené s péčí o zdraví zraněného zvířete se hradí tomu, kdo je vynaložil, </w:t>
      </w:r>
    </w:p>
    <w:p w:rsidR="007043CB" w:rsidRDefault="004B5C2E">
      <w:pPr>
        <w:numPr>
          <w:ilvl w:val="1"/>
          <w:numId w:val="34"/>
        </w:numPr>
        <w:ind w:right="1" w:hanging="284"/>
      </w:pPr>
      <w:r>
        <w:rPr>
          <w:sz w:val="20"/>
        </w:rPr>
        <w:t xml:space="preserve">náhrada nákladů na hrazené služby vynaložené zdravotní pojišťovnou, pokud povinnost pojištěného nahradit tyto náklady vznikla v důsledku újmy na zdraví nebo životě člověka, na kterou se vztahuje pojištění odpovědnosti za škodu pojištěné právnické osoby, </w:t>
      </w:r>
    </w:p>
    <w:p w:rsidR="007043CB" w:rsidRDefault="004B5C2E">
      <w:pPr>
        <w:numPr>
          <w:ilvl w:val="1"/>
          <w:numId w:val="34"/>
        </w:numPr>
        <w:ind w:right="1" w:hanging="284"/>
      </w:pPr>
      <w:r>
        <w:rPr>
          <w:sz w:val="20"/>
        </w:rPr>
        <w:t xml:space="preserve">regresní náhrada, kterou je pojištěný povinen zaplatit orgánu nemocenského pojištění v souvislosti se vznikem nároku na dávku nemocenského pojištění, pokud taková povinnost vznikla v důsledku újmy na zdraví nebo životě člověka, na kterou se vztahuje pojištění odpovědnosti za škodu pojištěné právnické osoby. </w:t>
      </w:r>
    </w:p>
    <w:p w:rsidR="007043CB" w:rsidRDefault="004B5C2E">
      <w:pPr>
        <w:ind w:left="293" w:right="1" w:hanging="10"/>
      </w:pPr>
      <w:r>
        <w:rPr>
          <w:sz w:val="20"/>
        </w:rPr>
        <w:t xml:space="preserve">Náhrady podle písm. d) a e) se pro účely připojištění posuzují obdobně jako náhrada újmy podle písm. a) až c) a platí pro ně přiměřeně podmínky tohoto připojištění a pojištění odpovědnosti za škodu. </w:t>
      </w:r>
    </w:p>
    <w:p w:rsidR="007043CB" w:rsidRDefault="004B5C2E">
      <w:pPr>
        <w:spacing w:after="7" w:line="259" w:lineRule="auto"/>
        <w:ind w:left="283" w:firstLine="0"/>
        <w:jc w:val="left"/>
      </w:pPr>
      <w:r>
        <w:rPr>
          <w:sz w:val="20"/>
        </w:rPr>
        <w:t xml:space="preserve"> </w:t>
      </w:r>
    </w:p>
    <w:p w:rsidR="007043CB" w:rsidRDefault="004B5C2E">
      <w:pPr>
        <w:numPr>
          <w:ilvl w:val="0"/>
          <w:numId w:val="34"/>
        </w:numPr>
        <w:ind w:right="1" w:hanging="283"/>
      </w:pPr>
      <w:r>
        <w:rPr>
          <w:sz w:val="20"/>
        </w:rPr>
        <w:t xml:space="preserve">Připojištění odpovědnosti členů orgánů za jinou než čistou finanční újmu se řídí pojistnou smlouvou, jejíž je tato doložka přílohou, a pojistnými podmínkami vztahujícími se k pojištění odpovědnosti pojištěné právnické osoby za škodu a příslušnými právními předpisy. </w:t>
      </w:r>
    </w:p>
    <w:p w:rsidR="007043CB" w:rsidRDefault="004B5C2E">
      <w:pPr>
        <w:spacing w:after="0" w:line="259" w:lineRule="auto"/>
        <w:ind w:left="0" w:firstLine="0"/>
        <w:jc w:val="left"/>
      </w:pPr>
      <w:r>
        <w:rPr>
          <w:sz w:val="20"/>
        </w:rPr>
        <w:t xml:space="preserve"> </w:t>
      </w:r>
    </w:p>
    <w:p w:rsidR="007043CB" w:rsidRDefault="004B5C2E">
      <w:pPr>
        <w:pStyle w:val="Nadpis2"/>
        <w:ind w:left="10" w:right="11"/>
      </w:pPr>
      <w:r>
        <w:t xml:space="preserve">Článek 2 Okruh pojištěných </w:t>
      </w:r>
    </w:p>
    <w:p w:rsidR="007043CB" w:rsidRDefault="004B5C2E">
      <w:pPr>
        <w:spacing w:after="6" w:line="259" w:lineRule="auto"/>
        <w:ind w:left="0" w:firstLine="0"/>
        <w:jc w:val="left"/>
      </w:pPr>
      <w:r>
        <w:rPr>
          <w:sz w:val="20"/>
        </w:rPr>
        <w:t xml:space="preserve"> </w:t>
      </w:r>
    </w:p>
    <w:p w:rsidR="007043CB" w:rsidRDefault="004B5C2E">
      <w:pPr>
        <w:numPr>
          <w:ilvl w:val="0"/>
          <w:numId w:val="35"/>
        </w:numPr>
        <w:ind w:right="1" w:hanging="283"/>
      </w:pPr>
      <w:r>
        <w:rPr>
          <w:sz w:val="20"/>
        </w:rPr>
        <w:t xml:space="preserve">Pojištěnými jsou pro účely tohoto připojištění: </w:t>
      </w:r>
    </w:p>
    <w:p w:rsidR="007043CB" w:rsidRDefault="004B5C2E">
      <w:pPr>
        <w:numPr>
          <w:ilvl w:val="1"/>
          <w:numId w:val="35"/>
        </w:numPr>
        <w:ind w:right="1" w:hanging="284"/>
      </w:pPr>
      <w:r>
        <w:rPr>
          <w:sz w:val="20"/>
        </w:rPr>
        <w:t xml:space="preserve">členové statutárního orgánu, prokuristé nebo členové kontrolního orgánu pojištěné právnické osoby, včetně statutárních ředitelů a členů správní nebo dozorčí rady, </w:t>
      </w:r>
    </w:p>
    <w:p w:rsidR="007043CB" w:rsidRDefault="004B5C2E">
      <w:pPr>
        <w:numPr>
          <w:ilvl w:val="1"/>
          <w:numId w:val="35"/>
        </w:numPr>
        <w:ind w:right="1" w:hanging="284"/>
      </w:pPr>
      <w:r>
        <w:rPr>
          <w:sz w:val="20"/>
        </w:rPr>
        <w:t xml:space="preserve">členové zastupitelstva obce nebo jiného územního samosprávného celku nebo fyzické osoby plnící funkce členů zvláštního orgánu kraje, je-li pojištěnou právnickou osobou územní samosprávný celek, </w:t>
      </w:r>
    </w:p>
    <w:p w:rsidR="007043CB" w:rsidRDefault="004B5C2E">
      <w:pPr>
        <w:ind w:left="293" w:right="1" w:hanging="10"/>
      </w:pPr>
      <w:r>
        <w:rPr>
          <w:sz w:val="20"/>
        </w:rPr>
        <w:t>pokud nevykonávají svoji funkci v pracovněprávním, služebním nebo obdobném vztahu (dále jen „</w:t>
      </w:r>
      <w:r>
        <w:rPr>
          <w:b/>
          <w:sz w:val="20"/>
        </w:rPr>
        <w:t>členové orgánu</w:t>
      </w:r>
      <w:r>
        <w:rPr>
          <w:sz w:val="20"/>
        </w:rPr>
        <w:t xml:space="preserve">“). </w:t>
      </w:r>
    </w:p>
    <w:p w:rsidR="007043CB" w:rsidRDefault="004B5C2E">
      <w:pPr>
        <w:spacing w:after="7" w:line="259" w:lineRule="auto"/>
        <w:ind w:left="0" w:firstLine="0"/>
        <w:jc w:val="left"/>
      </w:pPr>
      <w:r>
        <w:rPr>
          <w:sz w:val="20"/>
        </w:rPr>
        <w:t xml:space="preserve"> </w:t>
      </w:r>
    </w:p>
    <w:p w:rsidR="007043CB" w:rsidRDefault="004B5C2E">
      <w:pPr>
        <w:numPr>
          <w:ilvl w:val="0"/>
          <w:numId w:val="35"/>
        </w:numPr>
        <w:ind w:right="1" w:hanging="283"/>
      </w:pPr>
      <w:r>
        <w:rPr>
          <w:sz w:val="20"/>
        </w:rPr>
        <w:t xml:space="preserve">Pojištěným je každá osoba, která v době trvání připojištění byla, je nebo bude členem orgánu. Připojištění se vztahuje také na všechny nové členy orgánů, jejichž funkce vznikla v době trvání připojištění. </w:t>
      </w:r>
    </w:p>
    <w:p w:rsidR="007043CB" w:rsidRDefault="004B5C2E">
      <w:pPr>
        <w:spacing w:after="0" w:line="259" w:lineRule="auto"/>
        <w:ind w:left="567" w:firstLine="0"/>
        <w:jc w:val="left"/>
      </w:pPr>
      <w:r>
        <w:rPr>
          <w:sz w:val="22"/>
        </w:rPr>
        <w:t xml:space="preserve"> </w:t>
      </w:r>
    </w:p>
    <w:p w:rsidR="007043CB" w:rsidRDefault="004B5C2E">
      <w:pPr>
        <w:spacing w:after="0" w:line="259" w:lineRule="auto"/>
        <w:ind w:left="567" w:firstLine="0"/>
        <w:jc w:val="left"/>
      </w:pPr>
      <w:r>
        <w:rPr>
          <w:sz w:val="22"/>
        </w:rPr>
        <w:t xml:space="preserve"> </w:t>
      </w:r>
    </w:p>
    <w:p w:rsidR="007043CB" w:rsidRDefault="004B5C2E">
      <w:pPr>
        <w:spacing w:after="0" w:line="259" w:lineRule="auto"/>
        <w:ind w:left="567" w:firstLine="0"/>
        <w:jc w:val="left"/>
      </w:pPr>
      <w:r>
        <w:rPr>
          <w:sz w:val="22"/>
        </w:rPr>
        <w:t xml:space="preserve"> </w:t>
      </w:r>
    </w:p>
    <w:p w:rsidR="007043CB" w:rsidRDefault="004B5C2E">
      <w:pPr>
        <w:pStyle w:val="Nadpis2"/>
        <w:ind w:left="10" w:right="11"/>
      </w:pPr>
      <w:r>
        <w:t xml:space="preserve">Článek 3 Rozsah připojištění </w:t>
      </w:r>
    </w:p>
    <w:p w:rsidR="007043CB" w:rsidRDefault="004B5C2E">
      <w:pPr>
        <w:spacing w:after="7" w:line="259" w:lineRule="auto"/>
        <w:ind w:left="567" w:firstLine="0"/>
        <w:jc w:val="left"/>
      </w:pPr>
      <w:r>
        <w:rPr>
          <w:sz w:val="20"/>
        </w:rPr>
        <w:t xml:space="preserve"> </w:t>
      </w:r>
    </w:p>
    <w:p w:rsidR="007043CB" w:rsidRDefault="004B5C2E">
      <w:pPr>
        <w:numPr>
          <w:ilvl w:val="0"/>
          <w:numId w:val="36"/>
        </w:numPr>
        <w:ind w:right="1" w:hanging="283"/>
      </w:pPr>
      <w:r>
        <w:rPr>
          <w:sz w:val="20"/>
        </w:rPr>
        <w:t xml:space="preserve">Toto připojištění se vztahuje na právním předpisem stanovenou povinnost pojištěného člena orgánu nahradit jinou než čistou finanční újmu způsobenou v souvislosti s výkonem jeho funkce, a to za podmínky, že: </w:t>
      </w:r>
    </w:p>
    <w:p w:rsidR="007043CB" w:rsidRDefault="004B5C2E">
      <w:pPr>
        <w:numPr>
          <w:ilvl w:val="1"/>
          <w:numId w:val="36"/>
        </w:numPr>
        <w:ind w:right="1" w:hanging="284"/>
      </w:pPr>
      <w:r>
        <w:rPr>
          <w:sz w:val="20"/>
        </w:rPr>
        <w:t xml:space="preserve">pojištěný způsobil újmu na movité věci (nebo zvířeti), kterou oprávněně užívá v souvislosti s výkonem své funkce nebo kterou v souvislosti s výkonem své funkce převzal za účelem splnění závazku,  a to i v případě, že se nejedná o věc ve vlastnictví pojištěné právnické osoby,  </w:t>
      </w:r>
    </w:p>
    <w:p w:rsidR="007043CB" w:rsidRDefault="004B5C2E">
      <w:pPr>
        <w:numPr>
          <w:ilvl w:val="1"/>
          <w:numId w:val="36"/>
        </w:numPr>
        <w:ind w:right="1" w:hanging="284"/>
      </w:pPr>
      <w:r>
        <w:rPr>
          <w:sz w:val="20"/>
        </w:rPr>
        <w:t xml:space="preserve">pojištěný způsobil újmu na jiné věci (nebo zvířeti) ve vlastnictví pojištěné právnické osoby, než která je uvedena v písm. a), nebo </w:t>
      </w:r>
    </w:p>
    <w:p w:rsidR="007043CB" w:rsidRDefault="004B5C2E">
      <w:pPr>
        <w:numPr>
          <w:ilvl w:val="1"/>
          <w:numId w:val="36"/>
        </w:numPr>
        <w:ind w:right="1" w:hanging="284"/>
      </w:pPr>
      <w:r>
        <w:rPr>
          <w:sz w:val="20"/>
        </w:rPr>
        <w:t xml:space="preserve">v důsledku způsobení újmy na zdraví, životě nebo věci (nebo zvířeti) pojištěným poskytla pojištěná právnická osoba na základě své povinnosti vyplývající z obecně závazných právních předpisů náhradu újmy osobě, která je k ní v pracovněprávním, služebním nebo obdobném vztahu nebo vykonává funkci člena jejího orgánu a která tuto újmu </w:t>
      </w:r>
      <w:r>
        <w:rPr>
          <w:sz w:val="20"/>
        </w:rPr>
        <w:lastRenderedPageBreak/>
        <w:t>utrpěla při plnění úkolů v rámci takového vztahu (funkce) nebo v přímé souvislosti s jejich plněním („</w:t>
      </w:r>
      <w:r>
        <w:rPr>
          <w:b/>
          <w:sz w:val="20"/>
        </w:rPr>
        <w:t>regres pracovněprávní újmy</w:t>
      </w:r>
      <w:r>
        <w:rPr>
          <w:sz w:val="20"/>
        </w:rPr>
        <w:t xml:space="preserve">“).  </w:t>
      </w:r>
    </w:p>
    <w:p w:rsidR="007043CB" w:rsidRDefault="004B5C2E">
      <w:pPr>
        <w:ind w:left="577" w:right="1" w:hanging="10"/>
      </w:pPr>
      <w:r>
        <w:rPr>
          <w:sz w:val="20"/>
        </w:rPr>
        <w:t xml:space="preserve">Připojištění podle tohoto písmene se vztahuje i na případy, kdy v souvislosti se způsobením újmy uvedené v předchozí větě vznikla pojištěné právnické osobě povinnost poskytnout jinému subjektu náhradu jím vyplacených prostředků vyplývající ze zvláštního právního předpisu (např. náhrada nákladů na hrazené služby vynaložených zdravotní pojišťovnou, regresní náhrada orgánu nemocenského pojištění, náhrada plnění z pojištění odpovědnosti zaměstnavatele za škodu způsobenou pracovním úrazem nebo nemocí z povolání). </w:t>
      </w:r>
    </w:p>
    <w:p w:rsidR="007043CB" w:rsidRDefault="004B5C2E">
      <w:pPr>
        <w:spacing w:after="7" w:line="259" w:lineRule="auto"/>
        <w:ind w:left="0" w:firstLine="0"/>
        <w:jc w:val="left"/>
      </w:pPr>
      <w:r>
        <w:rPr>
          <w:sz w:val="20"/>
        </w:rPr>
        <w:t xml:space="preserve"> </w:t>
      </w:r>
    </w:p>
    <w:p w:rsidR="007043CB" w:rsidRDefault="004B5C2E">
      <w:pPr>
        <w:numPr>
          <w:ilvl w:val="0"/>
          <w:numId w:val="36"/>
        </w:numPr>
        <w:ind w:right="1" w:hanging="283"/>
      </w:pPr>
      <w:r>
        <w:rPr>
          <w:sz w:val="20"/>
        </w:rPr>
        <w:t xml:space="preserve">Připojištění se vztahuje také na náhradu nákladů nutných k právní ochraně proti uplatněnému nároku na náhradu jiné než čisté finanční újmy, pokud se na ni vztahuje toto připojištění, a to v rozsahu vyplývajícím z čl. III. ZPP P-600/05. </w:t>
      </w:r>
    </w:p>
    <w:p w:rsidR="007043CB" w:rsidRDefault="004B5C2E">
      <w:pPr>
        <w:spacing w:after="0" w:line="259" w:lineRule="auto"/>
        <w:ind w:left="283" w:firstLine="0"/>
        <w:jc w:val="left"/>
      </w:pPr>
      <w:r>
        <w:rPr>
          <w:sz w:val="20"/>
        </w:rPr>
        <w:t xml:space="preserve"> </w:t>
      </w:r>
    </w:p>
    <w:p w:rsidR="007043CB" w:rsidRDefault="004B5C2E">
      <w:pPr>
        <w:spacing w:after="0" w:line="259" w:lineRule="auto"/>
        <w:ind w:left="43" w:firstLine="0"/>
        <w:jc w:val="center"/>
      </w:pPr>
      <w:r>
        <w:rPr>
          <w:sz w:val="20"/>
        </w:rPr>
        <w:t xml:space="preserve"> </w:t>
      </w:r>
    </w:p>
    <w:p w:rsidR="007043CB" w:rsidRDefault="004B5C2E">
      <w:pPr>
        <w:pStyle w:val="Nadpis2"/>
        <w:ind w:left="10" w:right="11"/>
      </w:pPr>
      <w:r>
        <w:t xml:space="preserve">Článek 4 Výluky z připojištění </w:t>
      </w:r>
    </w:p>
    <w:p w:rsidR="007043CB" w:rsidRDefault="004B5C2E">
      <w:pPr>
        <w:spacing w:after="0" w:line="259" w:lineRule="auto"/>
        <w:ind w:left="0" w:firstLine="0"/>
        <w:jc w:val="left"/>
      </w:pPr>
      <w:r>
        <w:rPr>
          <w:sz w:val="22"/>
        </w:rPr>
        <w:t xml:space="preserve"> </w:t>
      </w:r>
    </w:p>
    <w:p w:rsidR="007043CB" w:rsidRDefault="004B5C2E">
      <w:pPr>
        <w:numPr>
          <w:ilvl w:val="0"/>
          <w:numId w:val="37"/>
        </w:numPr>
        <w:ind w:right="1" w:hanging="283"/>
      </w:pPr>
      <w:r>
        <w:rPr>
          <w:sz w:val="20"/>
        </w:rPr>
        <w:t xml:space="preserve">Vedle výluk a omezení pojistného plnění vyplývajících z příslušných ustanovení pojistné smlouvy a pojistných podmínek se na toto připojištění vztahují také výluky uvedené v tomto článku. </w:t>
      </w:r>
    </w:p>
    <w:p w:rsidR="007043CB" w:rsidRDefault="004B5C2E">
      <w:pPr>
        <w:spacing w:after="0" w:line="259" w:lineRule="auto"/>
        <w:ind w:left="720" w:firstLine="0"/>
        <w:jc w:val="left"/>
      </w:pPr>
      <w:r>
        <w:rPr>
          <w:sz w:val="22"/>
        </w:rPr>
        <w:t xml:space="preserve"> </w:t>
      </w:r>
    </w:p>
    <w:p w:rsidR="007043CB" w:rsidRDefault="004B5C2E">
      <w:pPr>
        <w:numPr>
          <w:ilvl w:val="0"/>
          <w:numId w:val="37"/>
        </w:numPr>
        <w:ind w:right="1" w:hanging="283"/>
      </w:pPr>
      <w:r>
        <w:rPr>
          <w:sz w:val="20"/>
        </w:rPr>
        <w:t xml:space="preserve">Připojištění se nevztahuje na povinnost pojištěného nahradit újmu způsobenou: </w:t>
      </w:r>
    </w:p>
    <w:p w:rsidR="007043CB" w:rsidRDefault="004B5C2E">
      <w:pPr>
        <w:numPr>
          <w:ilvl w:val="1"/>
          <w:numId w:val="37"/>
        </w:numPr>
        <w:ind w:right="1" w:hanging="284"/>
      </w:pPr>
      <w:r>
        <w:rPr>
          <w:sz w:val="20"/>
        </w:rPr>
        <w:t xml:space="preserve">po požití alkoholu nebo aplikaci omamných nebo psychotropních látek, </w:t>
      </w:r>
    </w:p>
    <w:p w:rsidR="007043CB" w:rsidRDefault="004B5C2E">
      <w:pPr>
        <w:numPr>
          <w:ilvl w:val="1"/>
          <w:numId w:val="37"/>
        </w:numPr>
        <w:ind w:right="1" w:hanging="284"/>
      </w:pPr>
      <w:r>
        <w:rPr>
          <w:sz w:val="20"/>
        </w:rPr>
        <w:t xml:space="preserve">vyrobením vadného výrobku nebo vadně provedenou prací při montážích, opravách, úpravách a stavebních pracích, </w:t>
      </w:r>
    </w:p>
    <w:p w:rsidR="007043CB" w:rsidRDefault="004B5C2E">
      <w:pPr>
        <w:numPr>
          <w:ilvl w:val="1"/>
          <w:numId w:val="37"/>
        </w:numPr>
        <w:ind w:right="1" w:hanging="284"/>
      </w:pPr>
      <w:r>
        <w:rPr>
          <w:sz w:val="20"/>
        </w:rPr>
        <w:t xml:space="preserve">zanedbáním stanovené obsluhy a údržby, </w:t>
      </w:r>
    </w:p>
    <w:p w:rsidR="007043CB" w:rsidRDefault="004B5C2E">
      <w:pPr>
        <w:numPr>
          <w:ilvl w:val="1"/>
          <w:numId w:val="37"/>
        </w:numPr>
        <w:ind w:right="1" w:hanging="284"/>
      </w:pPr>
      <w:r>
        <w:rPr>
          <w:sz w:val="20"/>
        </w:rPr>
        <w:t xml:space="preserve">zničením, poškozením nebo ztrátou záznamů na zvukových, obrazových a datových nosičích, </w:t>
      </w:r>
    </w:p>
    <w:p w:rsidR="007043CB" w:rsidRDefault="004B5C2E">
      <w:pPr>
        <w:numPr>
          <w:ilvl w:val="1"/>
          <w:numId w:val="37"/>
        </w:numPr>
        <w:ind w:right="1" w:hanging="284"/>
      </w:pPr>
      <w:r>
        <w:rPr>
          <w:sz w:val="20"/>
        </w:rPr>
        <w:t xml:space="preserve">v souvislosti s výkonem funkce člena orgánu jiné právnické osoby, než je pojištěná právnická osoba, </w:t>
      </w:r>
    </w:p>
    <w:p w:rsidR="007043CB" w:rsidRDefault="004B5C2E">
      <w:pPr>
        <w:numPr>
          <w:ilvl w:val="1"/>
          <w:numId w:val="37"/>
        </w:numPr>
        <w:ind w:right="1" w:hanging="284"/>
      </w:pPr>
      <w:r>
        <w:rPr>
          <w:sz w:val="20"/>
        </w:rPr>
        <w:t>ztrátou věci (</w:t>
      </w:r>
      <w:r>
        <w:rPr>
          <w:rFonts w:ascii="Corbel" w:eastAsia="Corbel" w:hAnsi="Corbel" w:cs="Corbel"/>
          <w:sz w:val="20"/>
        </w:rPr>
        <w:t>nebo zvířete)</w:t>
      </w:r>
      <w:r>
        <w:rPr>
          <w:sz w:val="20"/>
        </w:rPr>
        <w:t xml:space="preserve"> </w:t>
      </w:r>
      <w:r>
        <w:rPr>
          <w:rFonts w:ascii="Corbel" w:eastAsia="Corbel" w:hAnsi="Corbel" w:cs="Corbel"/>
          <w:sz w:val="20"/>
        </w:rPr>
        <w:t>[</w:t>
      </w:r>
      <w:r>
        <w:rPr>
          <w:sz w:val="20"/>
        </w:rPr>
        <w:t>včetně ztráty užívané nebo převzaté věci (nebo zvířete)</w:t>
      </w:r>
      <w:r>
        <w:rPr>
          <w:rFonts w:ascii="Corbel" w:eastAsia="Corbel" w:hAnsi="Corbel" w:cs="Corbel"/>
          <w:sz w:val="20"/>
        </w:rPr>
        <w:t>]</w:t>
      </w:r>
      <w:r>
        <w:rPr>
          <w:sz w:val="20"/>
        </w:rPr>
        <w:t xml:space="preserve">, kterou se rozumí ztráta možnosti s nimi nakládat, a to včetně ztráty této možnosti v důsledku jejich odcizení nebo jiného úmyslného protiprávního jednání třetí osoby, pokud pojištěný odcizení nebo jiné úmyslné protiprávní jednání třetí osoby umožnil nebo k němu přispěl zaviněným porušením své povinnosti, </w:t>
      </w:r>
    </w:p>
    <w:p w:rsidR="007043CB" w:rsidRDefault="004B5C2E">
      <w:pPr>
        <w:numPr>
          <w:ilvl w:val="1"/>
          <w:numId w:val="37"/>
        </w:numPr>
        <w:ind w:right="1" w:hanging="284"/>
      </w:pPr>
      <w:r>
        <w:rPr>
          <w:sz w:val="20"/>
        </w:rPr>
        <w:t xml:space="preserve">schodkem na svěřených hodnotách. </w:t>
      </w:r>
    </w:p>
    <w:p w:rsidR="007043CB" w:rsidRDefault="004B5C2E">
      <w:pPr>
        <w:spacing w:after="6" w:line="259" w:lineRule="auto"/>
        <w:ind w:left="0" w:firstLine="0"/>
        <w:jc w:val="left"/>
      </w:pPr>
      <w:r>
        <w:rPr>
          <w:sz w:val="20"/>
        </w:rPr>
        <w:t xml:space="preserve"> </w:t>
      </w:r>
    </w:p>
    <w:p w:rsidR="007043CB" w:rsidRDefault="004B5C2E">
      <w:pPr>
        <w:numPr>
          <w:ilvl w:val="0"/>
          <w:numId w:val="37"/>
        </w:numPr>
        <w:ind w:right="1" w:hanging="283"/>
      </w:pPr>
      <w:r>
        <w:rPr>
          <w:sz w:val="20"/>
        </w:rPr>
        <w:t xml:space="preserve">Pojistitel neposkytne plnění za újmu, za kterou pojištěný odpovídá: </w:t>
      </w:r>
    </w:p>
    <w:p w:rsidR="007043CB" w:rsidRDefault="004B5C2E">
      <w:pPr>
        <w:numPr>
          <w:ilvl w:val="1"/>
          <w:numId w:val="37"/>
        </w:numPr>
        <w:ind w:right="1" w:hanging="284"/>
      </w:pPr>
      <w:r>
        <w:rPr>
          <w:sz w:val="20"/>
        </w:rPr>
        <w:t xml:space="preserve">podle jiného než českého práva, </w:t>
      </w:r>
    </w:p>
    <w:p w:rsidR="007043CB" w:rsidRDefault="004B5C2E">
      <w:pPr>
        <w:numPr>
          <w:ilvl w:val="1"/>
          <w:numId w:val="37"/>
        </w:numPr>
        <w:ind w:right="1" w:hanging="284"/>
      </w:pPr>
      <w:r>
        <w:rPr>
          <w:sz w:val="20"/>
        </w:rPr>
        <w:t xml:space="preserve">právnické osobě, ve které má pojištěný, jeho manžel, registrovaný partner, sourozenec, příbuzný v řadě přímé nebo osoba, která žije s pojištěným ve společné domácnosti, většinovou majetkovou účast (větší než 50 %). </w:t>
      </w:r>
    </w:p>
    <w:p w:rsidR="007043CB" w:rsidRDefault="004B5C2E">
      <w:pPr>
        <w:spacing w:after="4" w:line="225" w:lineRule="auto"/>
        <w:ind w:left="0" w:right="9366" w:firstLine="0"/>
        <w:jc w:val="left"/>
      </w:pPr>
      <w:r>
        <w:rPr>
          <w:sz w:val="20"/>
        </w:rPr>
        <w:t xml:space="preserve"> </w:t>
      </w:r>
      <w:r>
        <w:rPr>
          <w:sz w:val="22"/>
        </w:rPr>
        <w:t xml:space="preserve"> </w:t>
      </w:r>
    </w:p>
    <w:p w:rsidR="007043CB" w:rsidRDefault="004B5C2E">
      <w:pPr>
        <w:pStyle w:val="Nadpis2"/>
        <w:ind w:left="10" w:right="11"/>
      </w:pPr>
      <w:r>
        <w:t xml:space="preserve">Článek 5 Podmínky pojištění odpovědnosti v souvislosti s provozem motorového vozidla </w:t>
      </w:r>
    </w:p>
    <w:p w:rsidR="007043CB" w:rsidRDefault="004B5C2E">
      <w:pPr>
        <w:spacing w:after="7" w:line="259" w:lineRule="auto"/>
        <w:ind w:left="0" w:firstLine="0"/>
        <w:jc w:val="left"/>
      </w:pPr>
      <w:r>
        <w:rPr>
          <w:sz w:val="20"/>
        </w:rPr>
        <w:t xml:space="preserve"> </w:t>
      </w:r>
    </w:p>
    <w:p w:rsidR="007043CB" w:rsidRDefault="004B5C2E">
      <w:pPr>
        <w:numPr>
          <w:ilvl w:val="0"/>
          <w:numId w:val="38"/>
        </w:numPr>
        <w:ind w:right="1" w:hanging="283"/>
      </w:pPr>
      <w:r>
        <w:rPr>
          <w:sz w:val="20"/>
        </w:rPr>
        <w:t xml:space="preserve">Odchylně od čl. IV. odst. 1) písm. b) ZPP P-600/05 se toto připojištění vztahuje také na odpovědnost za jinou než čistou finanční újmu způsobenou v souvislosti s provozem motorového vozidla použitého pojištěným v souvislosti s výkonem jeho funkce. </w:t>
      </w:r>
    </w:p>
    <w:p w:rsidR="007043CB" w:rsidRDefault="004B5C2E">
      <w:pPr>
        <w:spacing w:after="7" w:line="259" w:lineRule="auto"/>
        <w:ind w:left="0" w:firstLine="0"/>
        <w:jc w:val="left"/>
      </w:pPr>
      <w:r>
        <w:rPr>
          <w:sz w:val="20"/>
        </w:rPr>
        <w:t xml:space="preserve"> </w:t>
      </w:r>
    </w:p>
    <w:p w:rsidR="007043CB" w:rsidRDefault="004B5C2E">
      <w:pPr>
        <w:numPr>
          <w:ilvl w:val="0"/>
          <w:numId w:val="38"/>
        </w:numPr>
        <w:ind w:right="1" w:hanging="283"/>
      </w:pPr>
      <w:r>
        <w:rPr>
          <w:sz w:val="20"/>
        </w:rPr>
        <w:t xml:space="preserve">Kromě povinností vyplývajících z pojistné smlouvy a pojistných podmínek je pojištěný v případě dopravní nehody povinen dodržovat povinnosti vyplývající z příslušných právních předpisů upravujících pravidla silničního provozu. V případě, že z právních předpisů nevyplývá povinnost oznámit dopravní nehodu policii nebo sepsat společný záznam o dopravní nehodě, je pojištěný povinen zabezpečit dostatečné důkazy o okolnostech, místu vzniku a rozsahu škody (např. fotografickým či filmovým záznamem). </w:t>
      </w:r>
    </w:p>
    <w:p w:rsidR="007043CB" w:rsidRDefault="004B5C2E">
      <w:pPr>
        <w:spacing w:after="7" w:line="259" w:lineRule="auto"/>
        <w:ind w:left="0" w:firstLine="0"/>
        <w:jc w:val="left"/>
      </w:pPr>
      <w:r>
        <w:rPr>
          <w:sz w:val="20"/>
        </w:rPr>
        <w:t xml:space="preserve"> </w:t>
      </w:r>
    </w:p>
    <w:p w:rsidR="007043CB" w:rsidRDefault="004B5C2E">
      <w:pPr>
        <w:numPr>
          <w:ilvl w:val="0"/>
          <w:numId w:val="38"/>
        </w:numPr>
        <w:ind w:right="1" w:hanging="283"/>
      </w:pPr>
      <w:r>
        <w:rPr>
          <w:sz w:val="20"/>
        </w:rPr>
        <w:t xml:space="preserve">Pojištění podle tohoto článku se však </w:t>
      </w:r>
      <w:r>
        <w:rPr>
          <w:b/>
          <w:sz w:val="20"/>
        </w:rPr>
        <w:t>nevztahuje</w:t>
      </w:r>
      <w:r>
        <w:rPr>
          <w:sz w:val="20"/>
        </w:rPr>
        <w:t xml:space="preserve"> na odpovědnost pojištěného za jinou než čistou finanční újmu, pokud: </w:t>
      </w:r>
    </w:p>
    <w:p w:rsidR="007043CB" w:rsidRDefault="004B5C2E">
      <w:pPr>
        <w:numPr>
          <w:ilvl w:val="1"/>
          <w:numId w:val="38"/>
        </w:numPr>
        <w:ind w:right="1" w:hanging="284"/>
      </w:pPr>
      <w:r>
        <w:rPr>
          <w:sz w:val="20"/>
        </w:rPr>
        <w:t xml:space="preserve">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  </w:t>
      </w:r>
    </w:p>
    <w:p w:rsidR="007043CB" w:rsidRDefault="004B5C2E">
      <w:pPr>
        <w:numPr>
          <w:ilvl w:val="1"/>
          <w:numId w:val="38"/>
        </w:numPr>
        <w:ind w:right="1" w:hanging="284"/>
      </w:pPr>
      <w:r>
        <w:rPr>
          <w:sz w:val="20"/>
        </w:rPr>
        <w:t>jde o újmu, jejíž náhrada by byla předmětem povinného pojištění odpovědnosti za újmu způsobenou provozem vozidla, ale právo na plnění z takového pojištění nemohlo být uplatněno z důvodu, že: i)</w:t>
      </w:r>
      <w:r>
        <w:rPr>
          <w:rFonts w:ascii="Arial" w:eastAsia="Arial" w:hAnsi="Arial" w:cs="Arial"/>
          <w:sz w:val="20"/>
        </w:rPr>
        <w:t xml:space="preserve"> </w:t>
      </w:r>
      <w:r>
        <w:rPr>
          <w:sz w:val="20"/>
        </w:rPr>
        <w:t xml:space="preserve">byla porušena povinnost takové pojištění uzavřít, </w:t>
      </w:r>
    </w:p>
    <w:p w:rsidR="007043CB" w:rsidRDefault="004B5C2E">
      <w:pPr>
        <w:numPr>
          <w:ilvl w:val="2"/>
          <w:numId w:val="38"/>
        </w:numPr>
        <w:ind w:right="1" w:hanging="427"/>
      </w:pPr>
      <w:r>
        <w:rPr>
          <w:sz w:val="20"/>
        </w:rPr>
        <w:t xml:space="preserve">jde o vozidlo, pro které právní předpis stanoví výjimku z povinného pojištění odpovědnosti za újmu způsobenou provozem vozidla, nebo </w:t>
      </w:r>
    </w:p>
    <w:p w:rsidR="007043CB" w:rsidRDefault="004B5C2E">
      <w:pPr>
        <w:numPr>
          <w:ilvl w:val="2"/>
          <w:numId w:val="38"/>
        </w:numPr>
        <w:ind w:right="1" w:hanging="427"/>
      </w:pPr>
      <w:r>
        <w:rPr>
          <w:sz w:val="20"/>
        </w:rPr>
        <w:t xml:space="preserve">k újmě došlo při provozu vozidla na pozemní komunikaci, na které bylo toto vozidlo provozováno v rozporu s právními předpisy, </w:t>
      </w:r>
    </w:p>
    <w:p w:rsidR="007043CB" w:rsidRDefault="004B5C2E">
      <w:pPr>
        <w:numPr>
          <w:ilvl w:val="1"/>
          <w:numId w:val="38"/>
        </w:numPr>
        <w:ind w:right="1" w:hanging="284"/>
      </w:pPr>
      <w:r>
        <w:rPr>
          <w:sz w:val="20"/>
        </w:rPr>
        <w:t xml:space="preserve">ke vzniku újmy došlo při účasti na motoristickém závodě nebo soutěži nebo v průběhu přípravy na ně, nebo </w:t>
      </w:r>
    </w:p>
    <w:p w:rsidR="007043CB" w:rsidRDefault="004B5C2E">
      <w:pPr>
        <w:numPr>
          <w:ilvl w:val="1"/>
          <w:numId w:val="38"/>
        </w:numPr>
        <w:ind w:right="1" w:hanging="284"/>
      </w:pPr>
      <w:r>
        <w:rPr>
          <w:sz w:val="20"/>
        </w:rPr>
        <w:lastRenderedPageBreak/>
        <w:t xml:space="preserve">újma byla způsobena při dopravní nehodě, kterou pojištěný v rozporu s právními předpisy neprodleně neoznámil policii nebo u které účastníci nehody neprodleně nesepsali společný záznam o dopravní nehodě. </w:t>
      </w:r>
    </w:p>
    <w:p w:rsidR="007043CB" w:rsidRDefault="004B5C2E">
      <w:pPr>
        <w:spacing w:after="7" w:line="259" w:lineRule="auto"/>
        <w:ind w:left="0" w:firstLine="0"/>
        <w:jc w:val="left"/>
      </w:pPr>
      <w:r>
        <w:rPr>
          <w:sz w:val="20"/>
        </w:rPr>
        <w:t xml:space="preserve"> </w:t>
      </w:r>
    </w:p>
    <w:p w:rsidR="007043CB" w:rsidRDefault="004B5C2E">
      <w:pPr>
        <w:numPr>
          <w:ilvl w:val="0"/>
          <w:numId w:val="38"/>
        </w:numPr>
        <w:ind w:right="1" w:hanging="283"/>
      </w:pPr>
      <w:r>
        <w:rPr>
          <w:sz w:val="20"/>
        </w:rPr>
        <w:t xml:space="preserve">Pojištění podle tohoto článku se dále </w:t>
      </w:r>
      <w:r>
        <w:rPr>
          <w:b/>
          <w:sz w:val="20"/>
        </w:rPr>
        <w:t>nevztahuje</w:t>
      </w:r>
      <w:r>
        <w:rPr>
          <w:sz w:val="20"/>
        </w:rPr>
        <w:t xml:space="preserve"> na povinnost nahradit jinou než čistou finanční újmu způsobenou na: </w:t>
      </w:r>
    </w:p>
    <w:p w:rsidR="007043CB" w:rsidRDefault="004B5C2E">
      <w:pPr>
        <w:numPr>
          <w:ilvl w:val="1"/>
          <w:numId w:val="38"/>
        </w:numPr>
        <w:ind w:right="1" w:hanging="284"/>
      </w:pPr>
      <w:r>
        <w:rPr>
          <w:sz w:val="20"/>
        </w:rPr>
        <w:t xml:space="preserve">pneumatikách a discích kol tvořících součást motorového vozidla, </w:t>
      </w:r>
    </w:p>
    <w:p w:rsidR="007043CB" w:rsidRDefault="004B5C2E">
      <w:pPr>
        <w:numPr>
          <w:ilvl w:val="1"/>
          <w:numId w:val="38"/>
        </w:numPr>
        <w:ind w:right="1" w:hanging="284"/>
      </w:pPr>
      <w:r>
        <w:rPr>
          <w:sz w:val="20"/>
        </w:rPr>
        <w:t xml:space="preserve">věcech, které byly v době vzniku újmy naloženy na nebo v silničním motorovém vozidle nebo jeho přípojném vozidle, bez ohledu na místo vzniku újmy, </w:t>
      </w:r>
    </w:p>
    <w:p w:rsidR="007043CB" w:rsidRDefault="004B5C2E">
      <w:pPr>
        <w:numPr>
          <w:ilvl w:val="1"/>
          <w:numId w:val="38"/>
        </w:numPr>
        <w:ind w:right="1" w:hanging="284"/>
      </w:pPr>
      <w:r>
        <w:rPr>
          <w:sz w:val="20"/>
        </w:rPr>
        <w:t xml:space="preserve">věcech, které byly v době vzniku újmy naloženy na nebo v jiném než silničním motorovém vozidle nebo jeho přípojném vozidle (např. vysokozdvižný vozík bez přidělené registrační značky), pokud ke škodě došlo na veřejné pozemní komunikaci. </w:t>
      </w:r>
    </w:p>
    <w:p w:rsidR="007043CB" w:rsidRDefault="004B5C2E">
      <w:pPr>
        <w:ind w:left="293" w:right="1" w:hanging="10"/>
      </w:pPr>
      <w:r>
        <w:rPr>
          <w:sz w:val="20"/>
        </w:rPr>
        <w:t xml:space="preserve">Pojištění se však vztahuje na povinnost nahradit újmu uvedenou pod písm. a) až c), pokud byla způsobena: </w:t>
      </w:r>
    </w:p>
    <w:p w:rsidR="007043CB" w:rsidRDefault="004B5C2E">
      <w:pPr>
        <w:numPr>
          <w:ilvl w:val="1"/>
          <w:numId w:val="39"/>
        </w:numPr>
        <w:ind w:right="1" w:hanging="284"/>
      </w:pPr>
      <w:r>
        <w:rPr>
          <w:sz w:val="20"/>
        </w:rPr>
        <w:t xml:space="preserve">při dopravní nehodě s více účastníky, o které byl sepsán společný záznam v souladu s obecně závazným právním předpisem, nebo </w:t>
      </w:r>
    </w:p>
    <w:p w:rsidR="007043CB" w:rsidRDefault="004B5C2E">
      <w:pPr>
        <w:numPr>
          <w:ilvl w:val="1"/>
          <w:numId w:val="39"/>
        </w:numPr>
        <w:ind w:right="1" w:hanging="284"/>
      </w:pPr>
      <w:r>
        <w:rPr>
          <w:sz w:val="20"/>
        </w:rPr>
        <w:t xml:space="preserve">při jiné dopravní nehodě, která byla oznámena a následně šetřena policií, bez ohledu na skutečnost, zda povinnost oznámit dopravní nehodu policii vyplývala v tomto případě z obecně závazného právního předpisu. </w:t>
      </w:r>
    </w:p>
    <w:p w:rsidR="007043CB" w:rsidRDefault="004B5C2E">
      <w:pPr>
        <w:spacing w:after="0" w:line="259" w:lineRule="auto"/>
        <w:ind w:left="0" w:firstLine="0"/>
        <w:jc w:val="left"/>
      </w:pPr>
      <w:r>
        <w:rPr>
          <w:sz w:val="20"/>
        </w:rPr>
        <w:t xml:space="preserve"> </w:t>
      </w:r>
    </w:p>
    <w:p w:rsidR="007043CB" w:rsidRDefault="004B5C2E">
      <w:pPr>
        <w:spacing w:after="0" w:line="259" w:lineRule="auto"/>
        <w:ind w:left="0" w:firstLine="0"/>
        <w:jc w:val="left"/>
      </w:pPr>
      <w:r>
        <w:rPr>
          <w:sz w:val="20"/>
        </w:rPr>
        <w:t xml:space="preserve"> </w:t>
      </w:r>
    </w:p>
    <w:p w:rsidR="007043CB" w:rsidRDefault="004B5C2E">
      <w:pPr>
        <w:pStyle w:val="Nadpis2"/>
        <w:ind w:left="10" w:right="11"/>
      </w:pPr>
      <w:r>
        <w:t xml:space="preserve">Článek 6 Územní platnost připojištění </w:t>
      </w:r>
    </w:p>
    <w:p w:rsidR="007043CB" w:rsidRDefault="004B5C2E">
      <w:pPr>
        <w:spacing w:after="0" w:line="259" w:lineRule="auto"/>
        <w:ind w:left="0" w:firstLine="0"/>
        <w:jc w:val="left"/>
      </w:pPr>
      <w:r>
        <w:rPr>
          <w:sz w:val="20"/>
        </w:rPr>
        <w:t xml:space="preserve"> </w:t>
      </w:r>
    </w:p>
    <w:p w:rsidR="007043CB" w:rsidRDefault="004B5C2E">
      <w:pPr>
        <w:ind w:left="-5" w:right="1" w:hanging="10"/>
      </w:pPr>
      <w:r>
        <w:rPr>
          <w:sz w:val="20"/>
        </w:rPr>
        <w:t xml:space="preserve">Předpokladem vzniku práva na plnění z tohoto připojištění je, že jsou současné splněny následující podmínky: </w:t>
      </w:r>
    </w:p>
    <w:p w:rsidR="007043CB" w:rsidRDefault="004B5C2E">
      <w:pPr>
        <w:numPr>
          <w:ilvl w:val="0"/>
          <w:numId w:val="40"/>
        </w:numPr>
        <w:ind w:right="1" w:hanging="284"/>
      </w:pPr>
      <w:r>
        <w:rPr>
          <w:sz w:val="20"/>
        </w:rPr>
        <w:t xml:space="preserve">jiná než čistá finanční újma (resp. první z na sebe navazujících újem) vznikla na území uvedeném pro účely tohoto připojištění v pojistné smlouvě (příp. není-li v ní takové území uvedeno, pak v oblasti územní platnosti pojištění sjednané pro pojištění odpovědnosti za škodu pojištěné právnické osoby), </w:t>
      </w:r>
    </w:p>
    <w:p w:rsidR="007043CB" w:rsidRDefault="004B5C2E">
      <w:pPr>
        <w:numPr>
          <w:ilvl w:val="0"/>
          <w:numId w:val="40"/>
        </w:numPr>
        <w:ind w:right="1" w:hanging="284"/>
      </w:pPr>
      <w:r>
        <w:rPr>
          <w:sz w:val="20"/>
        </w:rPr>
        <w:t xml:space="preserve">příčina vzniku jiné než čisté finanční újmy nastala na území uvedeném pro účely tohoto připojištění v pojistné smlouvě (příp. není-li v ní takové území uvedeno, pak v oblasti územní platnosti pojištění sjednané pro pojištění odpovědnosti za škodu pojištěné právnické osoby), </w:t>
      </w:r>
    </w:p>
    <w:p w:rsidR="007043CB" w:rsidRDefault="004B5C2E">
      <w:pPr>
        <w:numPr>
          <w:ilvl w:val="0"/>
          <w:numId w:val="40"/>
        </w:numPr>
        <w:ind w:right="1" w:hanging="284"/>
      </w:pPr>
      <w:r>
        <w:rPr>
          <w:sz w:val="20"/>
        </w:rPr>
        <w:t xml:space="preserve">pojištěný člen orgánu odpovídá za jinou než čistou finanční újmu pojištěné právnické osobě podle právního řádu České republiky. </w:t>
      </w:r>
    </w:p>
    <w:p w:rsidR="007043CB" w:rsidRDefault="004B5C2E">
      <w:pPr>
        <w:spacing w:after="0" w:line="259" w:lineRule="auto"/>
        <w:ind w:left="0" w:firstLine="0"/>
        <w:jc w:val="left"/>
      </w:pPr>
      <w:r>
        <w:rPr>
          <w:b/>
          <w:sz w:val="22"/>
        </w:rPr>
        <w:t xml:space="preserve"> </w:t>
      </w:r>
    </w:p>
    <w:p w:rsidR="007043CB" w:rsidRDefault="004B5C2E">
      <w:pPr>
        <w:spacing w:after="0" w:line="259" w:lineRule="auto"/>
        <w:ind w:left="0" w:firstLine="0"/>
        <w:jc w:val="left"/>
      </w:pPr>
      <w:r>
        <w:rPr>
          <w:b/>
          <w:sz w:val="22"/>
        </w:rPr>
        <w:t xml:space="preserve"> </w:t>
      </w:r>
    </w:p>
    <w:p w:rsidR="007043CB" w:rsidRDefault="004B5C2E">
      <w:pPr>
        <w:pStyle w:val="Nadpis2"/>
        <w:ind w:left="10" w:right="11"/>
      </w:pPr>
      <w:r>
        <w:t xml:space="preserve">Článek 7 Omezení výše pojistného plnění pro škody na motorových vozidlech </w:t>
      </w:r>
    </w:p>
    <w:p w:rsidR="007043CB" w:rsidRDefault="004B5C2E">
      <w:pPr>
        <w:spacing w:after="0" w:line="259" w:lineRule="auto"/>
        <w:ind w:left="0" w:firstLine="0"/>
        <w:jc w:val="left"/>
      </w:pPr>
      <w:r>
        <w:rPr>
          <w:sz w:val="20"/>
        </w:rPr>
        <w:t xml:space="preserve"> </w:t>
      </w:r>
    </w:p>
    <w:p w:rsidR="007043CB" w:rsidRDefault="004B5C2E">
      <w:pPr>
        <w:ind w:left="-5" w:right="1" w:hanging="10"/>
      </w:pPr>
      <w:r>
        <w:rPr>
          <w:sz w:val="20"/>
        </w:rPr>
        <w:t xml:space="preserve">Z pojistných událostí vyplývajících ze způsobení škody na motorovém vozidle poskytne pojistitel pojistné plnění maximálně do výše horní hranice pojistného plnění uvedené pro tento rozsah v pojistné smlouvě; není-li v ní tato horní hranice pojistného plnění uvedena, pak maximálně do </w:t>
      </w:r>
      <w:r>
        <w:rPr>
          <w:b/>
          <w:sz w:val="20"/>
        </w:rPr>
        <w:t>150 000 Kč</w:t>
      </w:r>
      <w:r>
        <w:rPr>
          <w:sz w:val="20"/>
        </w:rPr>
        <w:t xml:space="preserve"> z jedné pojistné události a současně v souhrnu maximálně do výše </w:t>
      </w:r>
      <w:r>
        <w:rPr>
          <w:b/>
          <w:sz w:val="20"/>
        </w:rPr>
        <w:t>300 000 Kč</w:t>
      </w:r>
      <w:r>
        <w:rPr>
          <w:sz w:val="20"/>
        </w:rPr>
        <w:t xml:space="preserve"> ze všech pojistných událostí nastalých v průběhu jednoho pojistného roku (resp. je-li pojištění sjednáno na dobu kratší než jeden pojistný rok, v průběhu trvání pojištění), a to v rámci horní hranice pojistného plnění sjednané pro připojištění odpovědnosti členů orgánů za jinou než čistou finanční újmu.  </w:t>
      </w:r>
    </w:p>
    <w:p w:rsidR="007043CB" w:rsidRDefault="004B5C2E">
      <w:pPr>
        <w:spacing w:after="0" w:line="259" w:lineRule="auto"/>
        <w:ind w:left="0" w:firstLine="0"/>
        <w:jc w:val="left"/>
      </w:pPr>
      <w:r>
        <w:rPr>
          <w:sz w:val="20"/>
        </w:rPr>
        <w:t xml:space="preserve"> </w:t>
      </w:r>
    </w:p>
    <w:p w:rsidR="007043CB" w:rsidRDefault="004B5C2E">
      <w:pPr>
        <w:spacing w:after="0" w:line="259" w:lineRule="auto"/>
        <w:ind w:left="0" w:firstLine="0"/>
        <w:jc w:val="left"/>
      </w:pPr>
      <w:r>
        <w:rPr>
          <w:sz w:val="20"/>
        </w:rPr>
        <w:t xml:space="preserve"> </w:t>
      </w:r>
    </w:p>
    <w:p w:rsidR="007043CB" w:rsidRDefault="004B5C2E">
      <w:pPr>
        <w:spacing w:after="0" w:line="259" w:lineRule="auto"/>
        <w:ind w:left="0" w:firstLine="0"/>
        <w:jc w:val="left"/>
      </w:pPr>
      <w:r>
        <w:rPr>
          <w:sz w:val="20"/>
        </w:rPr>
        <w:t xml:space="preserve"> </w:t>
      </w:r>
    </w:p>
    <w:p w:rsidR="007043CB" w:rsidRDefault="004B5C2E">
      <w:pPr>
        <w:spacing w:after="0" w:line="259" w:lineRule="auto"/>
        <w:ind w:left="0" w:firstLine="0"/>
        <w:jc w:val="left"/>
      </w:pPr>
      <w:r>
        <w:rPr>
          <w:sz w:val="20"/>
        </w:rPr>
        <w:t xml:space="preserve"> </w:t>
      </w:r>
    </w:p>
    <w:p w:rsidR="007043CB" w:rsidRDefault="004B5C2E">
      <w:pPr>
        <w:pStyle w:val="Nadpis2"/>
        <w:ind w:left="10" w:right="11"/>
      </w:pPr>
      <w:r>
        <w:t xml:space="preserve">Článek 8 Neuplatnění práva na náhradu plnění v případě regresu jiné než pracovněprávní újmy </w:t>
      </w:r>
    </w:p>
    <w:p w:rsidR="007043CB" w:rsidRDefault="004B5C2E">
      <w:pPr>
        <w:spacing w:after="0" w:line="259" w:lineRule="auto"/>
        <w:ind w:left="0" w:firstLine="0"/>
        <w:jc w:val="left"/>
      </w:pPr>
      <w:r>
        <w:rPr>
          <w:sz w:val="20"/>
        </w:rPr>
        <w:t xml:space="preserve"> </w:t>
      </w:r>
    </w:p>
    <w:p w:rsidR="007043CB" w:rsidRDefault="004B5C2E">
      <w:pPr>
        <w:ind w:left="-5" w:right="1" w:hanging="10"/>
      </w:pPr>
      <w:r>
        <w:rPr>
          <w:sz w:val="20"/>
        </w:rPr>
        <w:t>V případě sjednání tohoto připojištění neuplatní pojistitel vůči pojištěnému členovi orgánu právo na náhradu plnění, které na pojistitele přešlo tím, že vyplatil plnění z pojištění pojištěné právnické osoby za škodu sjednaného pojistnou smlouvou, jejíž je tato doložka přílohou, v případě, kdy pojištěné právnické osobě vznikla v důsledku způsobení jiné než čisté finanční újmy pojištěným členem orgánu v souvislosti s výkonem jeho funkce povinnost poskytnout náhradu újmy třetí osobě v jiných případech, než které jsou uvedené v čl. 3 odst. 1) písm. a) a c) této doložky, („</w:t>
      </w:r>
      <w:r>
        <w:rPr>
          <w:b/>
          <w:sz w:val="20"/>
        </w:rPr>
        <w:t>regres jiné než pracovněprávní újmy</w:t>
      </w:r>
      <w:r>
        <w:rPr>
          <w:sz w:val="20"/>
        </w:rPr>
        <w:t xml:space="preserve">“). </w:t>
      </w:r>
    </w:p>
    <w:p w:rsidR="007043CB" w:rsidRDefault="004B5C2E">
      <w:pPr>
        <w:spacing w:after="0" w:line="259" w:lineRule="auto"/>
        <w:ind w:left="0" w:firstLine="0"/>
        <w:jc w:val="left"/>
      </w:pPr>
      <w:r>
        <w:rPr>
          <w:b/>
        </w:rPr>
        <w:t xml:space="preserve"> </w:t>
      </w:r>
    </w:p>
    <w:p w:rsidR="007043CB" w:rsidRDefault="004B5C2E">
      <w:pPr>
        <w:spacing w:after="0" w:line="259" w:lineRule="auto"/>
        <w:ind w:left="0" w:firstLine="0"/>
        <w:jc w:val="left"/>
      </w:pPr>
      <w:r>
        <w:rPr>
          <w:b/>
        </w:rPr>
        <w:t xml:space="preserve"> </w:t>
      </w:r>
    </w:p>
    <w:p w:rsidR="007043CB" w:rsidRDefault="004B5C2E">
      <w:pPr>
        <w:spacing w:after="0" w:line="259" w:lineRule="auto"/>
        <w:ind w:left="0" w:firstLine="0"/>
        <w:jc w:val="left"/>
      </w:pPr>
      <w:r>
        <w:rPr>
          <w:b/>
        </w:rPr>
        <w:t xml:space="preserve"> </w:t>
      </w:r>
    </w:p>
    <w:p w:rsidR="007043CB" w:rsidRDefault="004B5C2E">
      <w:pPr>
        <w:spacing w:after="0" w:line="259" w:lineRule="auto"/>
        <w:ind w:left="0" w:firstLine="0"/>
        <w:jc w:val="left"/>
      </w:pPr>
      <w:r>
        <w:rPr>
          <w:b/>
        </w:rPr>
        <w:t xml:space="preserve"> </w:t>
      </w:r>
    </w:p>
    <w:p w:rsidR="007043CB" w:rsidRDefault="004B5C2E">
      <w:pPr>
        <w:spacing w:after="0" w:line="259" w:lineRule="auto"/>
        <w:ind w:left="0" w:firstLine="0"/>
        <w:jc w:val="left"/>
      </w:pPr>
      <w:r>
        <w:rPr>
          <w:b/>
        </w:rPr>
        <w:t xml:space="preserve"> </w:t>
      </w:r>
    </w:p>
    <w:p w:rsidR="007043CB" w:rsidRDefault="004B5C2E">
      <w:pPr>
        <w:spacing w:after="0" w:line="259" w:lineRule="auto"/>
        <w:ind w:left="0" w:firstLine="0"/>
        <w:jc w:val="left"/>
      </w:pPr>
      <w:r>
        <w:rPr>
          <w:b/>
        </w:rPr>
        <w:t xml:space="preserve"> </w:t>
      </w:r>
    </w:p>
    <w:p w:rsidR="007043CB" w:rsidRDefault="004B5C2E">
      <w:pPr>
        <w:spacing w:after="49" w:line="250" w:lineRule="auto"/>
        <w:ind w:left="-5" w:hanging="10"/>
        <w:jc w:val="left"/>
      </w:pPr>
      <w:r>
        <w:rPr>
          <w:b/>
        </w:rPr>
        <w:t xml:space="preserve">Doložka DODC1 - Poškození vnějšího kontaktního zateplovacího systému (zateplení fasády) ptactvem, hmyzem a hlodavci </w:t>
      </w:r>
      <w:r>
        <w:t xml:space="preserve">- rozšíření rozsahu pojištění (1201) </w:t>
      </w:r>
    </w:p>
    <w:p w:rsidR="007043CB" w:rsidRDefault="004B5C2E">
      <w:pPr>
        <w:numPr>
          <w:ilvl w:val="0"/>
          <w:numId w:val="41"/>
        </w:numPr>
        <w:ind w:hanging="271"/>
      </w:pPr>
      <w:r>
        <w:t xml:space="preserve">Odchylně od ZPP P - 200/05, čl. II se pojištění vztahuje i na poškození nebo zničení vnějšího kontaktního zateplovacího systému pojištěné budovy nebo stavby, pojištěné proti živelním nebezpečím touto pojistnou smlouvou, způsobené destruktivní činností hlodavců, ptactva či drobného hmyzu. </w:t>
      </w:r>
    </w:p>
    <w:p w:rsidR="007043CB" w:rsidRDefault="004B5C2E">
      <w:pPr>
        <w:numPr>
          <w:ilvl w:val="0"/>
          <w:numId w:val="41"/>
        </w:numPr>
        <w:ind w:hanging="271"/>
      </w:pPr>
      <w:r>
        <w:lastRenderedPageBreak/>
        <w:t xml:space="preserve">Pro účely pojištění podle této doložky se za vnější kontaktní zateplovací systém rozumí vnější tepelně izolační kompozitní systém s tepelnou izolací z pěnového polystyrenu nebo z minerální vlny a s konečnou povrchovou úpravou omítky nebo omítky a nátěrem.  </w:t>
      </w:r>
    </w:p>
    <w:p w:rsidR="007043CB" w:rsidRDefault="004B5C2E">
      <w:pPr>
        <w:numPr>
          <w:ilvl w:val="0"/>
          <w:numId w:val="41"/>
        </w:numPr>
        <w:ind w:hanging="271"/>
      </w:pPr>
      <w:r>
        <w:t xml:space="preserve">Pojištění se sjednává na novou cenu. </w:t>
      </w:r>
    </w:p>
    <w:p w:rsidR="007043CB" w:rsidRDefault="004B5C2E">
      <w:pPr>
        <w:numPr>
          <w:ilvl w:val="0"/>
          <w:numId w:val="41"/>
        </w:numPr>
        <w:ind w:hanging="271"/>
      </w:pPr>
      <w:r>
        <w:t xml:space="preserve">Pojištění se nevztahuje na poškození vnějšího zateplovacího systému trusem nebo jiným znečištěním.  </w:t>
      </w:r>
    </w:p>
    <w:p w:rsidR="007043CB" w:rsidRDefault="004B5C2E">
      <w:pPr>
        <w:numPr>
          <w:ilvl w:val="0"/>
          <w:numId w:val="41"/>
        </w:numPr>
        <w:ind w:hanging="271"/>
      </w:pPr>
      <w:r>
        <w:t xml:space="preserve">Pojištění se nevztahuje na jakékoliv následné škody spojené s tímto pojistným nebezpečím.  </w:t>
      </w:r>
    </w:p>
    <w:p w:rsidR="007043CB" w:rsidRDefault="004B5C2E">
      <w:pPr>
        <w:numPr>
          <w:ilvl w:val="0"/>
          <w:numId w:val="41"/>
        </w:numPr>
        <w:ind w:hanging="271"/>
      </w:pPr>
      <w:r>
        <w:t xml:space="preserve">Pojištění se sjednává se spoluúčastí a maximálním ročním limitem pojistného plnění uvedenými v pojistné smlouvě.  </w:t>
      </w:r>
    </w:p>
    <w:p w:rsidR="007043CB" w:rsidRDefault="004B5C2E">
      <w:pPr>
        <w:numPr>
          <w:ilvl w:val="0"/>
          <w:numId w:val="42"/>
        </w:numPr>
        <w:ind w:hanging="271"/>
      </w:pPr>
      <w:r>
        <w:t xml:space="preserve">Plnění pojistitele stanovené podle odst. 4. této doložky však nepřevýší částku vypočtenou podle odst. 2. nebo odst. 3. této doložky.  </w:t>
      </w:r>
    </w:p>
    <w:p w:rsidR="007043CB" w:rsidRDefault="004B5C2E">
      <w:pPr>
        <w:numPr>
          <w:ilvl w:val="0"/>
          <w:numId w:val="42"/>
        </w:numPr>
        <w:ind w:hanging="271"/>
      </w:pPr>
      <w:r>
        <w:t xml:space="preserve">V případě pojistné události uhradí pojistitel také náklady na 1-letou péči o školkařský výpěstek maximálně však do výše 10 % z pojistného plnění podle odst. 2., odst. 3. nebo 4. této doložky. O vyplacenou náhradu na 1-letou péči o školkařský výpěstek se horní hranice plnění nesnižuje. </w:t>
      </w:r>
    </w:p>
    <w:p w:rsidR="007043CB" w:rsidRDefault="004B5C2E">
      <w:pPr>
        <w:numPr>
          <w:ilvl w:val="0"/>
          <w:numId w:val="42"/>
        </w:numPr>
        <w:ind w:hanging="271"/>
      </w:pPr>
      <w:r>
        <w:t xml:space="preserve">Pojištění se nevztahuje na škody vzniklé použitím nevhodné sazenice, nedostatečným zabezpečením porostu, nedostatkem vláhy, působením choroby, nákazy nebo škůdcem a nesprávnou pěstební technikou. </w:t>
      </w:r>
    </w:p>
    <w:p w:rsidR="007043CB" w:rsidRDefault="004B5C2E">
      <w:pPr>
        <w:numPr>
          <w:ilvl w:val="0"/>
          <w:numId w:val="42"/>
        </w:numPr>
        <w:ind w:hanging="271"/>
      </w:pPr>
      <w:r>
        <w:t xml:space="preserve">Pojištění se sjednává na jinou cenu. </w:t>
      </w:r>
    </w:p>
    <w:p w:rsidR="007043CB" w:rsidRDefault="004B5C2E">
      <w:pPr>
        <w:numPr>
          <w:ilvl w:val="0"/>
          <w:numId w:val="42"/>
        </w:numPr>
        <w:ind w:hanging="271"/>
      </w:pPr>
      <w:r>
        <w:t xml:space="preserve">Pojistná hodnota je vyjádřena jinou cenou, tj. cenou, za kterou lze opětovně pořídit a vysadit okrasnou dřevinu stejného druhu a zabezpečit ji ve smyslu bodu (11) písm. c) výkladu pojmů této doložky a cenou odpovídající přiměřeným nákladům na odstranění zničené okrasné dřeviny. </w:t>
      </w:r>
    </w:p>
    <w:p w:rsidR="007043CB" w:rsidRDefault="004B5C2E">
      <w:pPr>
        <w:numPr>
          <w:ilvl w:val="0"/>
          <w:numId w:val="42"/>
        </w:numPr>
        <w:ind w:hanging="271"/>
      </w:pPr>
      <w:r>
        <w:t xml:space="preserve">Pojištění se nevztahuje na okrasné dřeviny, které v době bezprostředně před pojistnou událostí již byly zničeny, poškozeny, napadeny chorobou, nákazou nebo škůdcem. </w:t>
      </w:r>
    </w:p>
    <w:p w:rsidR="007043CB" w:rsidRDefault="004B5C2E">
      <w:pPr>
        <w:numPr>
          <w:ilvl w:val="0"/>
          <w:numId w:val="42"/>
        </w:numPr>
        <w:ind w:hanging="271"/>
      </w:pPr>
      <w:r>
        <w:t xml:space="preserve">Pro účely pojištění podle této doložky platí následující výklad pojmů: </w:t>
      </w:r>
    </w:p>
    <w:p w:rsidR="007043CB" w:rsidRDefault="004B5C2E">
      <w:pPr>
        <w:numPr>
          <w:ilvl w:val="1"/>
          <w:numId w:val="42"/>
        </w:numPr>
        <w:ind w:hanging="274"/>
      </w:pPr>
      <w:r>
        <w:t xml:space="preserve">Za </w:t>
      </w:r>
      <w:r>
        <w:rPr>
          <w:b/>
        </w:rPr>
        <w:t>okrasné dřeviny</w:t>
      </w:r>
      <w:r>
        <w:t xml:space="preserve"> se považují vytrvalé rostliny se zdřevnatělým stonkem rozlišeným či nerozlišeným v kmen a korunu, případně se zdřevnatělou jen spodní částí stonku, např. stromy a keře pěstované v místě pojištění (na určeném stanovišti parkové úpravy) pro svůj atraktivní vzhled (např. květy, listy, plody, habitus). </w:t>
      </w:r>
    </w:p>
    <w:p w:rsidR="007043CB" w:rsidRDefault="004B5C2E">
      <w:pPr>
        <w:numPr>
          <w:ilvl w:val="1"/>
          <w:numId w:val="42"/>
        </w:numPr>
        <w:ind w:hanging="274"/>
      </w:pPr>
      <w:r>
        <w:t xml:space="preserve">Za </w:t>
      </w:r>
      <w:r>
        <w:rPr>
          <w:b/>
        </w:rPr>
        <w:t>školkařský výpěstek</w:t>
      </w:r>
      <w:r>
        <w:t xml:space="preserve"> okrasné dřeviny se považuje strom s obvodem kmene, který nepřevýší 22 centimetrů ve výčetní výšce stromu nebo keř ne vyšší než 60 centimetrů. </w:t>
      </w:r>
    </w:p>
    <w:p w:rsidR="007043CB" w:rsidRDefault="004B5C2E">
      <w:pPr>
        <w:numPr>
          <w:ilvl w:val="1"/>
          <w:numId w:val="42"/>
        </w:numPr>
        <w:ind w:hanging="274"/>
      </w:pPr>
      <w:r>
        <w:t xml:space="preserve">Za </w:t>
      </w:r>
      <w:r>
        <w:rPr>
          <w:b/>
        </w:rPr>
        <w:t>zabezpečení porostu</w:t>
      </w:r>
      <w:r>
        <w:t xml:space="preserve"> se rozumí souhrn opatření pro rozvojovou a udržovací péči dřevin dle DIN 18 919, jedná se zejména o vyvázání ke kůlu, použití ochranné rohože, pokrytí okolí rostlin mulčem proti vysychání apod. </w:t>
      </w:r>
    </w:p>
    <w:p w:rsidR="007043CB" w:rsidRDefault="004B5C2E">
      <w:pPr>
        <w:numPr>
          <w:ilvl w:val="1"/>
          <w:numId w:val="42"/>
        </w:numPr>
        <w:ind w:hanging="274"/>
      </w:pPr>
      <w:r>
        <w:t xml:space="preserve">Za </w:t>
      </w:r>
      <w:r>
        <w:rPr>
          <w:b/>
        </w:rPr>
        <w:t>zničení okrasné dřeviny</w:t>
      </w:r>
      <w:r>
        <w:t xml:space="preserve"> se rozumí stav, kdy okrasné dřevině nelze zachovat její přirozenou růstovou formu a nelze ji dostupnou pěstební technikou v reálném čase uvést do původního stavu. </w:t>
      </w:r>
    </w:p>
    <w:p w:rsidR="007043CB" w:rsidRDefault="004B5C2E">
      <w:pPr>
        <w:numPr>
          <w:ilvl w:val="1"/>
          <w:numId w:val="42"/>
        </w:numPr>
        <w:ind w:hanging="274"/>
      </w:pPr>
      <w:r>
        <w:t xml:space="preserve">Za </w:t>
      </w:r>
      <w:r>
        <w:rPr>
          <w:b/>
        </w:rPr>
        <w:t>poškození okrasné dřeviny</w:t>
      </w:r>
      <w:r>
        <w:t xml:space="preserve"> se rozumí stav, kdy dostupnou pěstební technikou lze obnovit její přirozenou růstovou formu v reálném čase. </w:t>
      </w:r>
    </w:p>
    <w:p w:rsidR="007043CB" w:rsidRDefault="004B5C2E">
      <w:pPr>
        <w:spacing w:after="0" w:line="259" w:lineRule="auto"/>
        <w:ind w:left="0" w:firstLine="0"/>
        <w:jc w:val="left"/>
      </w:pPr>
      <w:r>
        <w:rPr>
          <w:b/>
        </w:rPr>
        <w:t xml:space="preserve"> </w:t>
      </w:r>
    </w:p>
    <w:p w:rsidR="007043CB" w:rsidRDefault="004B5C2E">
      <w:pPr>
        <w:spacing w:after="0" w:line="259" w:lineRule="auto"/>
        <w:ind w:left="0" w:firstLine="0"/>
        <w:jc w:val="left"/>
      </w:pPr>
      <w:r>
        <w:rPr>
          <w:b/>
        </w:rPr>
        <w:t xml:space="preserve"> </w:t>
      </w:r>
    </w:p>
    <w:p w:rsidR="007043CB" w:rsidRDefault="004B5C2E">
      <w:pPr>
        <w:spacing w:after="0" w:line="259" w:lineRule="auto"/>
        <w:ind w:left="0" w:firstLine="0"/>
        <w:jc w:val="left"/>
      </w:pPr>
      <w:r>
        <w:rPr>
          <w:b/>
        </w:rPr>
        <w:t xml:space="preserve"> </w:t>
      </w:r>
    </w:p>
    <w:p w:rsidR="007043CB" w:rsidRDefault="004B5C2E">
      <w:pPr>
        <w:spacing w:after="0" w:line="259" w:lineRule="auto"/>
        <w:ind w:left="0" w:firstLine="0"/>
        <w:jc w:val="left"/>
      </w:pPr>
      <w:r>
        <w:rPr>
          <w:b/>
        </w:rPr>
        <w:t xml:space="preserve"> </w:t>
      </w:r>
    </w:p>
    <w:p w:rsidR="007043CB" w:rsidRDefault="004B5C2E">
      <w:pPr>
        <w:spacing w:after="0" w:line="259" w:lineRule="auto"/>
        <w:ind w:left="0" w:firstLine="0"/>
        <w:jc w:val="left"/>
      </w:pPr>
      <w:r>
        <w:rPr>
          <w:b/>
        </w:rPr>
        <w:t xml:space="preserve"> </w:t>
      </w:r>
    </w:p>
    <w:p w:rsidR="007043CB" w:rsidRDefault="004B5C2E">
      <w:pPr>
        <w:spacing w:after="0" w:line="259" w:lineRule="auto"/>
        <w:ind w:left="0" w:firstLine="0"/>
        <w:jc w:val="left"/>
      </w:pPr>
      <w:r>
        <w:rPr>
          <w:b/>
        </w:rPr>
        <w:t xml:space="preserve"> </w:t>
      </w:r>
    </w:p>
    <w:p w:rsidR="007043CB" w:rsidRDefault="004B5C2E">
      <w:pPr>
        <w:spacing w:after="49" w:line="250" w:lineRule="auto"/>
        <w:ind w:left="-5" w:hanging="10"/>
        <w:jc w:val="left"/>
      </w:pPr>
      <w:r>
        <w:rPr>
          <w:b/>
        </w:rPr>
        <w:t xml:space="preserve">Doložka DODC2 - Malby, nástřiky nebo polepení </w:t>
      </w:r>
      <w:r>
        <w:t>- Rozšíření rozsahu pojištění (1301)</w:t>
      </w:r>
      <w:r>
        <w:rPr>
          <w:b/>
        </w:rPr>
        <w:t xml:space="preserve"> </w:t>
      </w:r>
    </w:p>
    <w:p w:rsidR="007043CB" w:rsidRDefault="004B5C2E">
      <w:pPr>
        <w:numPr>
          <w:ilvl w:val="0"/>
          <w:numId w:val="43"/>
        </w:numPr>
        <w:ind w:hanging="271"/>
      </w:pPr>
      <w:r>
        <w:t xml:space="preserve">Odchylně od ZPP P-200/05, Čl. V., odst. 1), písm. a) se ujednává, že se pojištění vztahuje i na škody způsobené malbami, nástřiky (např. spreji a barvami) nebo polepením vnějších částí pojištěných budov a staveb.  </w:t>
      </w:r>
    </w:p>
    <w:p w:rsidR="007043CB" w:rsidRDefault="004B5C2E">
      <w:pPr>
        <w:numPr>
          <w:ilvl w:val="0"/>
          <w:numId w:val="43"/>
        </w:numPr>
        <w:spacing w:after="187"/>
        <w:ind w:hanging="271"/>
      </w:pPr>
      <w:r>
        <w:t xml:space="preserve">Pojištění se sjednává se spoluúčastí a limitem pojistného plnění uvedenými v pojistné smlouvě.  </w:t>
      </w:r>
    </w:p>
    <w:p w:rsidR="007043CB" w:rsidRDefault="004B5C2E">
      <w:pPr>
        <w:spacing w:after="180" w:line="259" w:lineRule="auto"/>
        <w:ind w:left="0" w:firstLine="0"/>
        <w:jc w:val="left"/>
      </w:pPr>
      <w:r>
        <w:t xml:space="preserve"> </w:t>
      </w:r>
    </w:p>
    <w:p w:rsidR="007043CB" w:rsidRDefault="004B5C2E">
      <w:pPr>
        <w:spacing w:after="0" w:line="259" w:lineRule="auto"/>
        <w:ind w:left="0" w:firstLine="0"/>
        <w:jc w:val="left"/>
      </w:pPr>
      <w:r>
        <w:t xml:space="preserve"> </w:t>
      </w:r>
    </w:p>
    <w:p w:rsidR="007043CB" w:rsidRDefault="004B5C2E">
      <w:pPr>
        <w:spacing w:after="180" w:line="259" w:lineRule="auto"/>
        <w:ind w:left="0" w:firstLine="0"/>
        <w:jc w:val="left"/>
      </w:pPr>
      <w:r>
        <w:t xml:space="preserve"> </w:t>
      </w:r>
    </w:p>
    <w:p w:rsidR="007043CB" w:rsidRDefault="004B5C2E">
      <w:pPr>
        <w:spacing w:after="47" w:line="250" w:lineRule="auto"/>
        <w:ind w:left="-5" w:hanging="10"/>
        <w:jc w:val="left"/>
      </w:pPr>
      <w:r>
        <w:rPr>
          <w:b/>
        </w:rPr>
        <w:t>Doložka DOD1 - Pojištění okrasných dřevin</w:t>
      </w:r>
      <w:r>
        <w:t xml:space="preserve"> - rozšíření předmětu pojištění (1201)</w:t>
      </w:r>
      <w:r>
        <w:rPr>
          <w:i/>
        </w:rPr>
        <w:t xml:space="preserve"> </w:t>
      </w:r>
    </w:p>
    <w:p w:rsidR="007043CB" w:rsidRDefault="004B5C2E">
      <w:pPr>
        <w:numPr>
          <w:ilvl w:val="0"/>
          <w:numId w:val="44"/>
        </w:numPr>
        <w:ind w:hanging="271"/>
      </w:pPr>
      <w:r>
        <w:t xml:space="preserve">Odchylně od ZPP P-150/05 čl. I. odst. (6) písm. f) a je- li v pojistné smlouvě sjednáno pojištění okrasných dřevin pro případ odcizení, potom odchylně také od ZPP P-200/05 čl. I. odst. (6) písm. f) se pojištění vztahuje i na vysázený a zabezpečený porost okrasných dřevin. </w:t>
      </w:r>
    </w:p>
    <w:p w:rsidR="007043CB" w:rsidRDefault="004B5C2E">
      <w:pPr>
        <w:numPr>
          <w:ilvl w:val="0"/>
          <w:numId w:val="44"/>
        </w:numPr>
        <w:ind w:hanging="271"/>
      </w:pPr>
      <w:r>
        <w:t xml:space="preserve">Byla-li pojištěná okrasná dřevina zničena nebo odcizena a od doby výsadby neuplynulo více jak 5 let, vzniká oprávněné osobě právo, není-li ujednáno jinak, aby jí pojistitel vyplatil částku odpovídající přiměřeným nákladům na opětovné pořízení a vysazení okrasné dřeviny stejného druhu v rozsahu původní výsadby podle předložené projektové dokumentace nebo obdobných materiálů předložených pojištěným. Nebudou-li splněny podmínky uvedené v tomto odstavci, poskytne pojistitel pojistné plnění podle odstavce 3. této doložky.  </w:t>
      </w:r>
    </w:p>
    <w:p w:rsidR="007043CB" w:rsidRDefault="004B5C2E">
      <w:pPr>
        <w:numPr>
          <w:ilvl w:val="0"/>
          <w:numId w:val="44"/>
        </w:numPr>
        <w:ind w:hanging="271"/>
      </w:pPr>
      <w:r>
        <w:t>Byla-li pojištěná okrasná dřevina zničena nebo odcizena, vzniká oprávněné osobě právo, není-li ujednáno jinak, aby jí pojistitel vyplatil částku odpovídající přiměřeným nákladům na opětovné pořízení a vysazení školkařského výpěstku okrasné dřeviny stejného druhu dle DIN 18 916, včetně</w:t>
      </w:r>
      <w:r>
        <w:rPr>
          <w:b/>
        </w:rPr>
        <w:t xml:space="preserve"> </w:t>
      </w:r>
      <w:r>
        <w:t xml:space="preserve">nákladů na zabezpečení ve smyslu bodu (11) písm. c) výkladu pojmů této doložky a částku odpovídající přiměřeným nákladům na odstranění zničené okrasné dřeviny. </w:t>
      </w:r>
    </w:p>
    <w:p w:rsidR="007043CB" w:rsidRDefault="004B5C2E">
      <w:pPr>
        <w:numPr>
          <w:ilvl w:val="0"/>
          <w:numId w:val="44"/>
        </w:numPr>
        <w:ind w:hanging="271"/>
      </w:pPr>
      <w:r>
        <w:t xml:space="preserve">Byla-li pojištěná okrasná dřevina poškozena, vzniká oprávněné osobě právo, není-li ujednáno jinak, aby jí pojistitel vyplatil částku odpovídající přiměřeným nákladům na ošetření okrasné dřeviny dostupnou pěstební technikou a zabezpečení ve smyslu bodu (11) písm. c) výkladu pojmů této doložky. </w:t>
      </w:r>
    </w:p>
    <w:p w:rsidR="007043CB" w:rsidRDefault="004B5C2E">
      <w:pPr>
        <w:spacing w:after="0" w:line="259" w:lineRule="auto"/>
        <w:ind w:left="0" w:firstLine="0"/>
        <w:jc w:val="left"/>
      </w:pPr>
      <w:r>
        <w:rPr>
          <w:b/>
        </w:rPr>
        <w:t xml:space="preserve"> </w:t>
      </w:r>
    </w:p>
    <w:p w:rsidR="007043CB" w:rsidRDefault="004B5C2E">
      <w:pPr>
        <w:spacing w:after="0" w:line="259" w:lineRule="auto"/>
        <w:ind w:left="0" w:firstLine="0"/>
        <w:jc w:val="left"/>
      </w:pPr>
      <w:r>
        <w:rPr>
          <w:b/>
        </w:rPr>
        <w:t xml:space="preserve"> </w:t>
      </w:r>
    </w:p>
    <w:sectPr w:rsidR="007043CB">
      <w:headerReference w:type="even" r:id="rId18"/>
      <w:headerReference w:type="default" r:id="rId19"/>
      <w:headerReference w:type="first" r:id="rId20"/>
      <w:pgSz w:w="11906" w:h="16838"/>
      <w:pgMar w:top="949" w:right="956" w:bottom="943" w:left="965" w:header="751"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698" w:rsidRDefault="00161698">
      <w:pPr>
        <w:spacing w:after="0" w:line="240" w:lineRule="auto"/>
      </w:pPr>
      <w:r>
        <w:separator/>
      </w:r>
    </w:p>
  </w:endnote>
  <w:endnote w:type="continuationSeparator" w:id="0">
    <w:p w:rsidR="00161698" w:rsidRDefault="00161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698" w:rsidRDefault="00161698">
      <w:pPr>
        <w:spacing w:after="0" w:line="240" w:lineRule="auto"/>
      </w:pPr>
      <w:r>
        <w:separator/>
      </w:r>
    </w:p>
  </w:footnote>
  <w:footnote w:type="continuationSeparator" w:id="0">
    <w:p w:rsidR="00161698" w:rsidRDefault="00161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3CB" w:rsidRDefault="004B5C2E">
    <w:pPr>
      <w:tabs>
        <w:tab w:val="center" w:pos="4314"/>
        <w:tab w:val="center" w:pos="4679"/>
        <w:tab w:val="center" w:pos="8853"/>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sz w:val="20"/>
      </w:rPr>
      <w:t xml:space="preserve">Strana </w:t>
    </w:r>
    <w:r>
      <w:fldChar w:fldCharType="begin"/>
    </w:r>
    <w:r>
      <w:instrText xml:space="preserve"> PAGE   \* MERGEFORMAT </w:instrText>
    </w:r>
    <w:r>
      <w:fldChar w:fldCharType="separate"/>
    </w:r>
    <w:r>
      <w:rPr>
        <w:sz w:val="20"/>
      </w:rPr>
      <w:t>2</w:t>
    </w:r>
    <w:r>
      <w:rPr>
        <w:sz w:val="20"/>
      </w:rPr>
      <w:fldChar w:fldCharType="end"/>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3CB" w:rsidRDefault="004B5C2E">
    <w:pPr>
      <w:tabs>
        <w:tab w:val="center" w:pos="4314"/>
        <w:tab w:val="center" w:pos="4679"/>
        <w:tab w:val="center" w:pos="8853"/>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sz w:val="20"/>
      </w:rPr>
      <w:t xml:space="preserve">Strana </w:t>
    </w:r>
    <w:r>
      <w:fldChar w:fldCharType="begin"/>
    </w:r>
    <w:r>
      <w:instrText xml:space="preserve"> PAGE   \* MERGEFORMAT </w:instrText>
    </w:r>
    <w:r>
      <w:fldChar w:fldCharType="separate"/>
    </w:r>
    <w:r w:rsidR="00386DED" w:rsidRPr="00386DED">
      <w:rPr>
        <w:noProof/>
        <w:sz w:val="20"/>
      </w:rPr>
      <w:t>11</w:t>
    </w:r>
    <w:r>
      <w:rPr>
        <w:sz w:val="20"/>
      </w:rPr>
      <w:fldChar w:fldCharType="end"/>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3CB" w:rsidRDefault="007043CB">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3CB" w:rsidRDefault="004B5C2E">
    <w:pPr>
      <w:tabs>
        <w:tab w:val="center" w:pos="4172"/>
        <w:tab w:val="center" w:pos="4537"/>
        <w:tab w:val="center" w:pos="8657"/>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sz w:val="20"/>
      </w:rPr>
      <w:t xml:space="preserve">Strana </w:t>
    </w:r>
    <w:r>
      <w:fldChar w:fldCharType="begin"/>
    </w:r>
    <w:r>
      <w:instrText xml:space="preserve"> PAGE   \* MERGEFORMAT </w:instrText>
    </w:r>
    <w:r>
      <w:fldChar w:fldCharType="separate"/>
    </w:r>
    <w:r>
      <w:rPr>
        <w:sz w:val="20"/>
      </w:rPr>
      <w:t>10</w:t>
    </w:r>
    <w:r>
      <w:rPr>
        <w:sz w:val="20"/>
      </w:rPr>
      <w:fldChar w:fldCharType="end"/>
    </w:r>
    <w:r>
      <w:rPr>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3CB" w:rsidRDefault="004B5C2E">
    <w:pPr>
      <w:tabs>
        <w:tab w:val="center" w:pos="4172"/>
        <w:tab w:val="center" w:pos="4537"/>
        <w:tab w:val="center" w:pos="8657"/>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sz w:val="20"/>
      </w:rPr>
      <w:t xml:space="preserve">Strana </w:t>
    </w:r>
    <w:r>
      <w:fldChar w:fldCharType="begin"/>
    </w:r>
    <w:r>
      <w:instrText xml:space="preserve"> PAGE   \* MERGEFORMAT </w:instrText>
    </w:r>
    <w:r>
      <w:fldChar w:fldCharType="separate"/>
    </w:r>
    <w:r w:rsidR="00386DED" w:rsidRPr="00386DED">
      <w:rPr>
        <w:noProof/>
        <w:sz w:val="20"/>
      </w:rPr>
      <w:t>19</w:t>
    </w:r>
    <w:r>
      <w:rPr>
        <w:sz w:val="20"/>
      </w:rPr>
      <w:fldChar w:fldCharType="end"/>
    </w:r>
    <w:r>
      <w:rPr>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3CB" w:rsidRDefault="004B5C2E">
    <w:pPr>
      <w:tabs>
        <w:tab w:val="center" w:pos="4172"/>
        <w:tab w:val="center" w:pos="4537"/>
        <w:tab w:val="center" w:pos="8657"/>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sz w:val="20"/>
      </w:rPr>
      <w:t xml:space="preserve">Strana </w:t>
    </w:r>
    <w:r>
      <w:fldChar w:fldCharType="begin"/>
    </w:r>
    <w:r>
      <w:instrText xml:space="preserve"> PAGE   \* MERGEFORMAT </w:instrText>
    </w:r>
    <w:r>
      <w:fldChar w:fldCharType="separate"/>
    </w:r>
    <w:r>
      <w:rPr>
        <w:sz w:val="20"/>
      </w:rPr>
      <w:t>10</w:t>
    </w:r>
    <w:r>
      <w:rPr>
        <w:sz w:val="20"/>
      </w:rPr>
      <w:fldChar w:fldCharType="end"/>
    </w:r>
    <w:r>
      <w:rPr>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3CB" w:rsidRDefault="004B5C2E">
    <w:pPr>
      <w:spacing w:after="0" w:line="259" w:lineRule="auto"/>
      <w:ind w:left="0" w:right="9" w:firstLine="0"/>
      <w:jc w:val="right"/>
    </w:pPr>
    <w:r>
      <w:rPr>
        <w:sz w:val="20"/>
      </w:rPr>
      <w:t xml:space="preserve">DPP- P 520/05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3CB" w:rsidRDefault="004B5C2E">
    <w:pPr>
      <w:spacing w:after="0" w:line="259" w:lineRule="auto"/>
      <w:ind w:left="0" w:right="9" w:firstLine="0"/>
      <w:jc w:val="right"/>
    </w:pPr>
    <w:r>
      <w:rPr>
        <w:sz w:val="20"/>
      </w:rPr>
      <w:t xml:space="preserve">DPP- P 520/05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3CB" w:rsidRDefault="004B5C2E">
    <w:pPr>
      <w:spacing w:after="0" w:line="259" w:lineRule="auto"/>
      <w:ind w:left="0" w:right="9" w:firstLine="0"/>
      <w:jc w:val="right"/>
    </w:pPr>
    <w:r>
      <w:rPr>
        <w:sz w:val="20"/>
      </w:rPr>
      <w:t xml:space="preserve">DPP- P 520/05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CDD"/>
    <w:multiLevelType w:val="hybridMultilevel"/>
    <w:tmpl w:val="19FE8B40"/>
    <w:lvl w:ilvl="0" w:tplc="BD2481A6">
      <w:start w:val="1"/>
      <w:numFmt w:val="bullet"/>
      <w:lvlText w:val="-"/>
      <w:lvlJc w:val="left"/>
      <w:pPr>
        <w:ind w:left="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FAE82BA">
      <w:start w:val="1"/>
      <w:numFmt w:val="bullet"/>
      <w:lvlText w:val="o"/>
      <w:lvlJc w:val="left"/>
      <w:pPr>
        <w:ind w:left="1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B543508">
      <w:start w:val="1"/>
      <w:numFmt w:val="bullet"/>
      <w:lvlText w:val="▪"/>
      <w:lvlJc w:val="left"/>
      <w:pPr>
        <w:ind w:left="1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A00C792">
      <w:start w:val="1"/>
      <w:numFmt w:val="bullet"/>
      <w:lvlText w:val="•"/>
      <w:lvlJc w:val="left"/>
      <w:pPr>
        <w:ind w:left="2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8FC9070">
      <w:start w:val="1"/>
      <w:numFmt w:val="bullet"/>
      <w:lvlText w:val="o"/>
      <w:lvlJc w:val="left"/>
      <w:pPr>
        <w:ind w:left="33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18422BE">
      <w:start w:val="1"/>
      <w:numFmt w:val="bullet"/>
      <w:lvlText w:val="▪"/>
      <w:lvlJc w:val="left"/>
      <w:pPr>
        <w:ind w:left="40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E7AD148">
      <w:start w:val="1"/>
      <w:numFmt w:val="bullet"/>
      <w:lvlText w:val="•"/>
      <w:lvlJc w:val="left"/>
      <w:pPr>
        <w:ind w:left="47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ED63EDC">
      <w:start w:val="1"/>
      <w:numFmt w:val="bullet"/>
      <w:lvlText w:val="o"/>
      <w:lvlJc w:val="left"/>
      <w:pPr>
        <w:ind w:left="54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58AA64A">
      <w:start w:val="1"/>
      <w:numFmt w:val="bullet"/>
      <w:lvlText w:val="▪"/>
      <w:lvlJc w:val="left"/>
      <w:pPr>
        <w:ind w:left="61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2BD3142"/>
    <w:multiLevelType w:val="hybridMultilevel"/>
    <w:tmpl w:val="CD2A60D0"/>
    <w:lvl w:ilvl="0" w:tplc="8B105EBC">
      <w:start w:val="1"/>
      <w:numFmt w:val="bullet"/>
      <w:lvlText w:val="-"/>
      <w:lvlJc w:val="left"/>
      <w:pPr>
        <w:ind w:left="9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DDA248C2">
      <w:start w:val="1"/>
      <w:numFmt w:val="bullet"/>
      <w:lvlText w:val="o"/>
      <w:lvlJc w:val="left"/>
      <w:pPr>
        <w:ind w:left="11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9BA48662">
      <w:start w:val="1"/>
      <w:numFmt w:val="bullet"/>
      <w:lvlText w:val="▪"/>
      <w:lvlJc w:val="left"/>
      <w:pPr>
        <w:ind w:left="18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039E110E">
      <w:start w:val="1"/>
      <w:numFmt w:val="bullet"/>
      <w:lvlText w:val="•"/>
      <w:lvlJc w:val="left"/>
      <w:pPr>
        <w:ind w:left="25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C6CAD1E6">
      <w:start w:val="1"/>
      <w:numFmt w:val="bullet"/>
      <w:lvlText w:val="o"/>
      <w:lvlJc w:val="left"/>
      <w:pPr>
        <w:ind w:left="33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0044A36C">
      <w:start w:val="1"/>
      <w:numFmt w:val="bullet"/>
      <w:lvlText w:val="▪"/>
      <w:lvlJc w:val="left"/>
      <w:pPr>
        <w:ind w:left="403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DBF01726">
      <w:start w:val="1"/>
      <w:numFmt w:val="bullet"/>
      <w:lvlText w:val="•"/>
      <w:lvlJc w:val="left"/>
      <w:pPr>
        <w:ind w:left="47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89A64A5A">
      <w:start w:val="1"/>
      <w:numFmt w:val="bullet"/>
      <w:lvlText w:val="o"/>
      <w:lvlJc w:val="left"/>
      <w:pPr>
        <w:ind w:left="54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B994D64E">
      <w:start w:val="1"/>
      <w:numFmt w:val="bullet"/>
      <w:lvlText w:val="▪"/>
      <w:lvlJc w:val="left"/>
      <w:pPr>
        <w:ind w:left="61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6047B5C"/>
    <w:multiLevelType w:val="hybridMultilevel"/>
    <w:tmpl w:val="AEEE5D2E"/>
    <w:lvl w:ilvl="0" w:tplc="4B624BEE">
      <w:start w:val="1"/>
      <w:numFmt w:val="bullet"/>
      <w:lvlText w:val=""/>
      <w:lvlJc w:val="left"/>
      <w:pPr>
        <w:ind w:left="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94CA022">
      <w:start w:val="1"/>
      <w:numFmt w:val="bullet"/>
      <w:lvlText w:val="o"/>
      <w:lvlJc w:val="left"/>
      <w:pPr>
        <w:ind w:left="11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CA0A612">
      <w:start w:val="1"/>
      <w:numFmt w:val="bullet"/>
      <w:lvlText w:val="▪"/>
      <w:lvlJc w:val="left"/>
      <w:pPr>
        <w:ind w:left="18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8AA43B4">
      <w:start w:val="1"/>
      <w:numFmt w:val="bullet"/>
      <w:lvlText w:val="•"/>
      <w:lvlJc w:val="left"/>
      <w:pPr>
        <w:ind w:left="25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212D4B2">
      <w:start w:val="1"/>
      <w:numFmt w:val="bullet"/>
      <w:lvlText w:val="o"/>
      <w:lvlJc w:val="left"/>
      <w:pPr>
        <w:ind w:left="33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B9E147C">
      <w:start w:val="1"/>
      <w:numFmt w:val="bullet"/>
      <w:lvlText w:val="▪"/>
      <w:lvlJc w:val="left"/>
      <w:pPr>
        <w:ind w:left="40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64CD976">
      <w:start w:val="1"/>
      <w:numFmt w:val="bullet"/>
      <w:lvlText w:val="•"/>
      <w:lvlJc w:val="left"/>
      <w:pPr>
        <w:ind w:left="47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2AF8E2F4">
      <w:start w:val="1"/>
      <w:numFmt w:val="bullet"/>
      <w:lvlText w:val="o"/>
      <w:lvlJc w:val="left"/>
      <w:pPr>
        <w:ind w:left="54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5D2C67E">
      <w:start w:val="1"/>
      <w:numFmt w:val="bullet"/>
      <w:lvlText w:val="▪"/>
      <w:lvlJc w:val="left"/>
      <w:pPr>
        <w:ind w:left="61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7B277C5"/>
    <w:multiLevelType w:val="hybridMultilevel"/>
    <w:tmpl w:val="0812F736"/>
    <w:lvl w:ilvl="0" w:tplc="5538AD8A">
      <w:start w:val="1"/>
      <w:numFmt w:val="bullet"/>
      <w:lvlText w:val=""/>
      <w:lvlJc w:val="left"/>
      <w:pPr>
        <w:ind w:left="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6A2C92E">
      <w:start w:val="1"/>
      <w:numFmt w:val="bullet"/>
      <w:lvlText w:val="o"/>
      <w:lvlJc w:val="left"/>
      <w:pPr>
        <w:ind w:left="11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C424542">
      <w:start w:val="1"/>
      <w:numFmt w:val="bullet"/>
      <w:lvlText w:val="▪"/>
      <w:lvlJc w:val="left"/>
      <w:pPr>
        <w:ind w:left="18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4808998">
      <w:start w:val="1"/>
      <w:numFmt w:val="bullet"/>
      <w:lvlText w:val="•"/>
      <w:lvlJc w:val="left"/>
      <w:pPr>
        <w:ind w:left="25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D36B940">
      <w:start w:val="1"/>
      <w:numFmt w:val="bullet"/>
      <w:lvlText w:val="o"/>
      <w:lvlJc w:val="left"/>
      <w:pPr>
        <w:ind w:left="33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5A60746">
      <w:start w:val="1"/>
      <w:numFmt w:val="bullet"/>
      <w:lvlText w:val="▪"/>
      <w:lvlJc w:val="left"/>
      <w:pPr>
        <w:ind w:left="40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9E6A3CA">
      <w:start w:val="1"/>
      <w:numFmt w:val="bullet"/>
      <w:lvlText w:val="•"/>
      <w:lvlJc w:val="left"/>
      <w:pPr>
        <w:ind w:left="47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89EA70C">
      <w:start w:val="1"/>
      <w:numFmt w:val="bullet"/>
      <w:lvlText w:val="o"/>
      <w:lvlJc w:val="left"/>
      <w:pPr>
        <w:ind w:left="54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D02ECFC">
      <w:start w:val="1"/>
      <w:numFmt w:val="bullet"/>
      <w:lvlText w:val="▪"/>
      <w:lvlJc w:val="left"/>
      <w:pPr>
        <w:ind w:left="61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83A4311"/>
    <w:multiLevelType w:val="hybridMultilevel"/>
    <w:tmpl w:val="49F6E232"/>
    <w:lvl w:ilvl="0" w:tplc="52F62346">
      <w:start w:val="1"/>
      <w:numFmt w:val="bullet"/>
      <w:lvlText w:val="-"/>
      <w:lvlJc w:val="left"/>
      <w:pPr>
        <w:ind w:left="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1CE758E">
      <w:start w:val="1"/>
      <w:numFmt w:val="bullet"/>
      <w:lvlText w:val="o"/>
      <w:lvlJc w:val="left"/>
      <w:pPr>
        <w:ind w:left="1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E7CBE60">
      <w:start w:val="1"/>
      <w:numFmt w:val="bullet"/>
      <w:lvlText w:val="▪"/>
      <w:lvlJc w:val="left"/>
      <w:pPr>
        <w:ind w:left="1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97861AE">
      <w:start w:val="1"/>
      <w:numFmt w:val="bullet"/>
      <w:lvlText w:val="•"/>
      <w:lvlJc w:val="left"/>
      <w:pPr>
        <w:ind w:left="2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5E4F24E">
      <w:start w:val="1"/>
      <w:numFmt w:val="bullet"/>
      <w:lvlText w:val="o"/>
      <w:lvlJc w:val="left"/>
      <w:pPr>
        <w:ind w:left="33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96420DC">
      <w:start w:val="1"/>
      <w:numFmt w:val="bullet"/>
      <w:lvlText w:val="▪"/>
      <w:lvlJc w:val="left"/>
      <w:pPr>
        <w:ind w:left="40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B68ECAA">
      <w:start w:val="1"/>
      <w:numFmt w:val="bullet"/>
      <w:lvlText w:val="•"/>
      <w:lvlJc w:val="left"/>
      <w:pPr>
        <w:ind w:left="47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2185ABC">
      <w:start w:val="1"/>
      <w:numFmt w:val="bullet"/>
      <w:lvlText w:val="o"/>
      <w:lvlJc w:val="left"/>
      <w:pPr>
        <w:ind w:left="54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B1C8F5C">
      <w:start w:val="1"/>
      <w:numFmt w:val="bullet"/>
      <w:lvlText w:val="▪"/>
      <w:lvlJc w:val="left"/>
      <w:pPr>
        <w:ind w:left="61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0BD50DB1"/>
    <w:multiLevelType w:val="hybridMultilevel"/>
    <w:tmpl w:val="07E6730C"/>
    <w:lvl w:ilvl="0" w:tplc="2D3482A8">
      <w:start w:val="1"/>
      <w:numFmt w:val="lowerLetter"/>
      <w:lvlText w:val="%1)"/>
      <w:lvlJc w:val="left"/>
      <w:pPr>
        <w:ind w:left="7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D9CC0BE0">
      <w:start w:val="1"/>
      <w:numFmt w:val="lowerLetter"/>
      <w:lvlText w:val="%2"/>
      <w:lvlJc w:val="left"/>
      <w:pPr>
        <w:ind w:left="15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E4C26616">
      <w:start w:val="1"/>
      <w:numFmt w:val="lowerRoman"/>
      <w:lvlText w:val="%3"/>
      <w:lvlJc w:val="left"/>
      <w:pPr>
        <w:ind w:left="22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0162072">
      <w:start w:val="1"/>
      <w:numFmt w:val="decimal"/>
      <w:lvlText w:val="%4"/>
      <w:lvlJc w:val="left"/>
      <w:pPr>
        <w:ind w:left="29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2AE0601A">
      <w:start w:val="1"/>
      <w:numFmt w:val="lowerLetter"/>
      <w:lvlText w:val="%5"/>
      <w:lvlJc w:val="left"/>
      <w:pPr>
        <w:ind w:left="36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62827840">
      <w:start w:val="1"/>
      <w:numFmt w:val="lowerRoman"/>
      <w:lvlText w:val="%6"/>
      <w:lvlJc w:val="left"/>
      <w:pPr>
        <w:ind w:left="43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EFEE490">
      <w:start w:val="1"/>
      <w:numFmt w:val="decimal"/>
      <w:lvlText w:val="%7"/>
      <w:lvlJc w:val="left"/>
      <w:pPr>
        <w:ind w:left="51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DFA3EB4">
      <w:start w:val="1"/>
      <w:numFmt w:val="lowerLetter"/>
      <w:lvlText w:val="%8"/>
      <w:lvlJc w:val="left"/>
      <w:pPr>
        <w:ind w:left="58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AA22394">
      <w:start w:val="1"/>
      <w:numFmt w:val="lowerRoman"/>
      <w:lvlText w:val="%9"/>
      <w:lvlJc w:val="left"/>
      <w:pPr>
        <w:ind w:left="65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0CE31AAB"/>
    <w:multiLevelType w:val="hybridMultilevel"/>
    <w:tmpl w:val="7908B324"/>
    <w:lvl w:ilvl="0" w:tplc="1DEE88DC">
      <w:start w:val="1"/>
      <w:numFmt w:val="bullet"/>
      <w:lvlText w:val="-"/>
      <w:lvlJc w:val="left"/>
      <w:pPr>
        <w:ind w:left="9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0A7A2C62">
      <w:start w:val="1"/>
      <w:numFmt w:val="bullet"/>
      <w:lvlText w:val="o"/>
      <w:lvlJc w:val="left"/>
      <w:pPr>
        <w:ind w:left="11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1DBC3926">
      <w:start w:val="1"/>
      <w:numFmt w:val="bullet"/>
      <w:lvlText w:val="▪"/>
      <w:lvlJc w:val="left"/>
      <w:pPr>
        <w:ind w:left="18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F84054CA">
      <w:start w:val="1"/>
      <w:numFmt w:val="bullet"/>
      <w:lvlText w:val="•"/>
      <w:lvlJc w:val="left"/>
      <w:pPr>
        <w:ind w:left="25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1DB07262">
      <w:start w:val="1"/>
      <w:numFmt w:val="bullet"/>
      <w:lvlText w:val="o"/>
      <w:lvlJc w:val="left"/>
      <w:pPr>
        <w:ind w:left="33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B2AAC0EE">
      <w:start w:val="1"/>
      <w:numFmt w:val="bullet"/>
      <w:lvlText w:val="▪"/>
      <w:lvlJc w:val="left"/>
      <w:pPr>
        <w:ind w:left="403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F5D45D0C">
      <w:start w:val="1"/>
      <w:numFmt w:val="bullet"/>
      <w:lvlText w:val="•"/>
      <w:lvlJc w:val="left"/>
      <w:pPr>
        <w:ind w:left="47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FED013BC">
      <w:start w:val="1"/>
      <w:numFmt w:val="bullet"/>
      <w:lvlText w:val="o"/>
      <w:lvlJc w:val="left"/>
      <w:pPr>
        <w:ind w:left="54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80360C06">
      <w:start w:val="1"/>
      <w:numFmt w:val="bullet"/>
      <w:lvlText w:val="▪"/>
      <w:lvlJc w:val="left"/>
      <w:pPr>
        <w:ind w:left="61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0D2E5C72"/>
    <w:multiLevelType w:val="hybridMultilevel"/>
    <w:tmpl w:val="B7C486A0"/>
    <w:lvl w:ilvl="0" w:tplc="1B002F0A">
      <w:start w:val="1"/>
      <w:numFmt w:val="bullet"/>
      <w:lvlText w:val=""/>
      <w:lvlJc w:val="left"/>
      <w:pPr>
        <w:ind w:left="2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DF80880">
      <w:start w:val="1"/>
      <w:numFmt w:val="bullet"/>
      <w:lvlText w:val="o"/>
      <w:lvlJc w:val="left"/>
      <w:pPr>
        <w:ind w:left="11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366F630">
      <w:start w:val="1"/>
      <w:numFmt w:val="bullet"/>
      <w:lvlText w:val="▪"/>
      <w:lvlJc w:val="left"/>
      <w:pPr>
        <w:ind w:left="18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7B097D0">
      <w:start w:val="1"/>
      <w:numFmt w:val="bullet"/>
      <w:lvlText w:val="•"/>
      <w:lvlJc w:val="left"/>
      <w:pPr>
        <w:ind w:left="25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E78F47A">
      <w:start w:val="1"/>
      <w:numFmt w:val="bullet"/>
      <w:lvlText w:val="o"/>
      <w:lvlJc w:val="left"/>
      <w:pPr>
        <w:ind w:left="33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BD06B4E">
      <w:start w:val="1"/>
      <w:numFmt w:val="bullet"/>
      <w:lvlText w:val="▪"/>
      <w:lvlJc w:val="left"/>
      <w:pPr>
        <w:ind w:left="40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77EACCA">
      <w:start w:val="1"/>
      <w:numFmt w:val="bullet"/>
      <w:lvlText w:val="•"/>
      <w:lvlJc w:val="left"/>
      <w:pPr>
        <w:ind w:left="47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2F0EA172">
      <w:start w:val="1"/>
      <w:numFmt w:val="bullet"/>
      <w:lvlText w:val="o"/>
      <w:lvlJc w:val="left"/>
      <w:pPr>
        <w:ind w:left="54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03243C8">
      <w:start w:val="1"/>
      <w:numFmt w:val="bullet"/>
      <w:lvlText w:val="▪"/>
      <w:lvlJc w:val="left"/>
      <w:pPr>
        <w:ind w:left="61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0D7B59A5"/>
    <w:multiLevelType w:val="hybridMultilevel"/>
    <w:tmpl w:val="B6BCC7A6"/>
    <w:lvl w:ilvl="0" w:tplc="D8A2499A">
      <w:start w:val="1"/>
      <w:numFmt w:val="decimal"/>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1" w:tplc="28BC0BD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2" w:tplc="C160FFD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3" w:tplc="B352E13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4" w:tplc="82F0AF0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5" w:tplc="DC3EF32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6" w:tplc="64269BF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7" w:tplc="65DC391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8" w:tplc="C74C5F1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abstractNum>
  <w:abstractNum w:abstractNumId="9" w15:restartNumberingAfterBreak="0">
    <w:nsid w:val="0D8D0D0F"/>
    <w:multiLevelType w:val="hybridMultilevel"/>
    <w:tmpl w:val="41B2DA0A"/>
    <w:lvl w:ilvl="0" w:tplc="462C916E">
      <w:start w:val="1"/>
      <w:numFmt w:val="bullet"/>
      <w:lvlText w:val="•"/>
      <w:lvlJc w:val="left"/>
      <w:pPr>
        <w:ind w:left="14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ACA94AA">
      <w:start w:val="1"/>
      <w:numFmt w:val="bullet"/>
      <w:lvlText w:val="o"/>
      <w:lvlJc w:val="left"/>
      <w:pPr>
        <w:ind w:left="11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D03ABC76">
      <w:start w:val="1"/>
      <w:numFmt w:val="bullet"/>
      <w:lvlText w:val="▪"/>
      <w:lvlJc w:val="left"/>
      <w:pPr>
        <w:ind w:left="19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7CA64D34">
      <w:start w:val="1"/>
      <w:numFmt w:val="bullet"/>
      <w:lvlText w:val="•"/>
      <w:lvlJc w:val="left"/>
      <w:pPr>
        <w:ind w:left="26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B30F5DA">
      <w:start w:val="1"/>
      <w:numFmt w:val="bullet"/>
      <w:lvlText w:val="o"/>
      <w:lvlJc w:val="left"/>
      <w:pPr>
        <w:ind w:left="33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50541C88">
      <w:start w:val="1"/>
      <w:numFmt w:val="bullet"/>
      <w:lvlText w:val="▪"/>
      <w:lvlJc w:val="left"/>
      <w:pPr>
        <w:ind w:left="40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07383678">
      <w:start w:val="1"/>
      <w:numFmt w:val="bullet"/>
      <w:lvlText w:val="•"/>
      <w:lvlJc w:val="left"/>
      <w:pPr>
        <w:ind w:left="47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82EEA0A">
      <w:start w:val="1"/>
      <w:numFmt w:val="bullet"/>
      <w:lvlText w:val="o"/>
      <w:lvlJc w:val="left"/>
      <w:pPr>
        <w:ind w:left="55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898DE54">
      <w:start w:val="1"/>
      <w:numFmt w:val="bullet"/>
      <w:lvlText w:val="▪"/>
      <w:lvlJc w:val="left"/>
      <w:pPr>
        <w:ind w:left="62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0EE638BE"/>
    <w:multiLevelType w:val="hybridMultilevel"/>
    <w:tmpl w:val="20C81336"/>
    <w:lvl w:ilvl="0" w:tplc="3DE288D2">
      <w:start w:val="1"/>
      <w:numFmt w:val="bullet"/>
      <w:lvlText w:val="-"/>
      <w:lvlJc w:val="left"/>
      <w:pPr>
        <w:ind w:left="4"/>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4BA6A296">
      <w:start w:val="1"/>
      <w:numFmt w:val="bullet"/>
      <w:lvlText w:val="o"/>
      <w:lvlJc w:val="left"/>
      <w:pPr>
        <w:ind w:left="11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CEFC2CFA">
      <w:start w:val="1"/>
      <w:numFmt w:val="bullet"/>
      <w:lvlText w:val="▪"/>
      <w:lvlJc w:val="left"/>
      <w:pPr>
        <w:ind w:left="18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F7947382">
      <w:start w:val="1"/>
      <w:numFmt w:val="bullet"/>
      <w:lvlText w:val="•"/>
      <w:lvlJc w:val="left"/>
      <w:pPr>
        <w:ind w:left="25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C608B1AC">
      <w:start w:val="1"/>
      <w:numFmt w:val="bullet"/>
      <w:lvlText w:val="o"/>
      <w:lvlJc w:val="left"/>
      <w:pPr>
        <w:ind w:left="33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9BF6D266">
      <w:start w:val="1"/>
      <w:numFmt w:val="bullet"/>
      <w:lvlText w:val="▪"/>
      <w:lvlJc w:val="left"/>
      <w:pPr>
        <w:ind w:left="403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253CE4B0">
      <w:start w:val="1"/>
      <w:numFmt w:val="bullet"/>
      <w:lvlText w:val="•"/>
      <w:lvlJc w:val="left"/>
      <w:pPr>
        <w:ind w:left="47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D160CBE6">
      <w:start w:val="1"/>
      <w:numFmt w:val="bullet"/>
      <w:lvlText w:val="o"/>
      <w:lvlJc w:val="left"/>
      <w:pPr>
        <w:ind w:left="54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AA08A3C2">
      <w:start w:val="1"/>
      <w:numFmt w:val="bullet"/>
      <w:lvlText w:val="▪"/>
      <w:lvlJc w:val="left"/>
      <w:pPr>
        <w:ind w:left="61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0F2E1991"/>
    <w:multiLevelType w:val="hybridMultilevel"/>
    <w:tmpl w:val="FE0A71AA"/>
    <w:lvl w:ilvl="0" w:tplc="295ADCB8">
      <w:start w:val="1"/>
      <w:numFmt w:val="decimal"/>
      <w:lvlText w:val="%1."/>
      <w:lvlJc w:val="left"/>
      <w:pPr>
        <w:ind w:left="2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4B46A6C">
      <w:start w:val="1"/>
      <w:numFmt w:val="lowerLetter"/>
      <w:lvlText w:val="%2)"/>
      <w:lvlJc w:val="left"/>
      <w:pPr>
        <w:ind w:left="5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D82869A">
      <w:start w:val="1"/>
      <w:numFmt w:val="lowerRoman"/>
      <w:lvlText w:val="%3"/>
      <w:lvlJc w:val="left"/>
      <w:pPr>
        <w:ind w:left="13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5AC3314">
      <w:start w:val="1"/>
      <w:numFmt w:val="decimal"/>
      <w:lvlText w:val="%4"/>
      <w:lvlJc w:val="left"/>
      <w:pPr>
        <w:ind w:left="2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1B45C34">
      <w:start w:val="1"/>
      <w:numFmt w:val="lowerLetter"/>
      <w:lvlText w:val="%5"/>
      <w:lvlJc w:val="left"/>
      <w:pPr>
        <w:ind w:left="2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EFE1CEA">
      <w:start w:val="1"/>
      <w:numFmt w:val="lowerRoman"/>
      <w:lvlText w:val="%6"/>
      <w:lvlJc w:val="left"/>
      <w:pPr>
        <w:ind w:left="3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D0823E2">
      <w:start w:val="1"/>
      <w:numFmt w:val="decimal"/>
      <w:lvlText w:val="%7"/>
      <w:lvlJc w:val="left"/>
      <w:pPr>
        <w:ind w:left="4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87468BA">
      <w:start w:val="1"/>
      <w:numFmt w:val="lowerLetter"/>
      <w:lvlText w:val="%8"/>
      <w:lvlJc w:val="left"/>
      <w:pPr>
        <w:ind w:left="49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DEA8F7A">
      <w:start w:val="1"/>
      <w:numFmt w:val="lowerRoman"/>
      <w:lvlText w:val="%9"/>
      <w:lvlJc w:val="left"/>
      <w:pPr>
        <w:ind w:left="56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0F7F2D6C"/>
    <w:multiLevelType w:val="multilevel"/>
    <w:tmpl w:val="7E6ED2A8"/>
    <w:lvl w:ilvl="0">
      <w:start w:val="1"/>
      <w:numFmt w:val="decimal"/>
      <w:lvlText w:val="%1."/>
      <w:lvlJc w:val="left"/>
      <w:pPr>
        <w:ind w:left="53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3C2318D"/>
    <w:multiLevelType w:val="hybridMultilevel"/>
    <w:tmpl w:val="332C96F6"/>
    <w:lvl w:ilvl="0" w:tplc="C160F4B2">
      <w:start w:val="1"/>
      <w:numFmt w:val="decimal"/>
      <w:lvlText w:val="%1."/>
      <w:lvlJc w:val="left"/>
      <w:pPr>
        <w:ind w:left="2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20EAED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3C43D5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C9EAC7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7461F0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684562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6846E7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76AA4C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482E40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3DB7CB1"/>
    <w:multiLevelType w:val="hybridMultilevel"/>
    <w:tmpl w:val="ECEEF536"/>
    <w:lvl w:ilvl="0" w:tplc="BB3C73B0">
      <w:start w:val="1"/>
      <w:numFmt w:val="lowerLetter"/>
      <w:lvlText w:val="%1)"/>
      <w:lvlJc w:val="left"/>
      <w:pPr>
        <w:ind w:left="5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782B616">
      <w:start w:val="1"/>
      <w:numFmt w:val="lowerLetter"/>
      <w:lvlText w:val="%2"/>
      <w:lvlJc w:val="left"/>
      <w:pPr>
        <w:ind w:left="13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0692B4">
      <w:start w:val="1"/>
      <w:numFmt w:val="lowerRoman"/>
      <w:lvlText w:val="%3"/>
      <w:lvlJc w:val="left"/>
      <w:pPr>
        <w:ind w:left="2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DA05AFA">
      <w:start w:val="1"/>
      <w:numFmt w:val="decimal"/>
      <w:lvlText w:val="%4"/>
      <w:lvlJc w:val="left"/>
      <w:pPr>
        <w:ind w:left="2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D36DD84">
      <w:start w:val="1"/>
      <w:numFmt w:val="lowerLetter"/>
      <w:lvlText w:val="%5"/>
      <w:lvlJc w:val="left"/>
      <w:pPr>
        <w:ind w:left="3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4B604DA">
      <w:start w:val="1"/>
      <w:numFmt w:val="lowerRoman"/>
      <w:lvlText w:val="%6"/>
      <w:lvlJc w:val="left"/>
      <w:pPr>
        <w:ind w:left="4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92E9B66">
      <w:start w:val="1"/>
      <w:numFmt w:val="decimal"/>
      <w:lvlText w:val="%7"/>
      <w:lvlJc w:val="left"/>
      <w:pPr>
        <w:ind w:left="49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9448B1C">
      <w:start w:val="1"/>
      <w:numFmt w:val="lowerLetter"/>
      <w:lvlText w:val="%8"/>
      <w:lvlJc w:val="left"/>
      <w:pPr>
        <w:ind w:left="56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13E2FE8">
      <w:start w:val="1"/>
      <w:numFmt w:val="lowerRoman"/>
      <w:lvlText w:val="%9"/>
      <w:lvlJc w:val="left"/>
      <w:pPr>
        <w:ind w:left="63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15B20CE8"/>
    <w:multiLevelType w:val="hybridMultilevel"/>
    <w:tmpl w:val="B3F8E4C8"/>
    <w:lvl w:ilvl="0" w:tplc="64C2C582">
      <w:start w:val="1"/>
      <w:numFmt w:val="bullet"/>
      <w:lvlText w:val="*"/>
      <w:lvlJc w:val="left"/>
      <w:pPr>
        <w:ind w:left="4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DA1A7A">
      <w:start w:val="1"/>
      <w:numFmt w:val="bullet"/>
      <w:lvlText w:val="o"/>
      <w:lvlJc w:val="left"/>
      <w:pPr>
        <w:ind w:left="1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AF08D34">
      <w:start w:val="1"/>
      <w:numFmt w:val="bullet"/>
      <w:lvlText w:val="▪"/>
      <w:lvlJc w:val="left"/>
      <w:pPr>
        <w:ind w:left="1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874C8CC">
      <w:start w:val="1"/>
      <w:numFmt w:val="bullet"/>
      <w:lvlText w:val="•"/>
      <w:lvlJc w:val="left"/>
      <w:pPr>
        <w:ind w:left="2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7BC78FA">
      <w:start w:val="1"/>
      <w:numFmt w:val="bullet"/>
      <w:lvlText w:val="o"/>
      <w:lvlJc w:val="left"/>
      <w:pPr>
        <w:ind w:left="3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512110C">
      <w:start w:val="1"/>
      <w:numFmt w:val="bullet"/>
      <w:lvlText w:val="▪"/>
      <w:lvlJc w:val="left"/>
      <w:pPr>
        <w:ind w:left="4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8F8CB5E">
      <w:start w:val="1"/>
      <w:numFmt w:val="bullet"/>
      <w:lvlText w:val="•"/>
      <w:lvlJc w:val="left"/>
      <w:pPr>
        <w:ind w:left="4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FEEAE70">
      <w:start w:val="1"/>
      <w:numFmt w:val="bullet"/>
      <w:lvlText w:val="o"/>
      <w:lvlJc w:val="left"/>
      <w:pPr>
        <w:ind w:left="5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0E4345E">
      <w:start w:val="1"/>
      <w:numFmt w:val="bullet"/>
      <w:lvlText w:val="▪"/>
      <w:lvlJc w:val="left"/>
      <w:pPr>
        <w:ind w:left="6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15DE0E0C"/>
    <w:multiLevelType w:val="hybridMultilevel"/>
    <w:tmpl w:val="1A5472A2"/>
    <w:lvl w:ilvl="0" w:tplc="172E7D92">
      <w:start w:val="1"/>
      <w:numFmt w:val="decimal"/>
      <w:lvlText w:val="%1."/>
      <w:lvlJc w:val="left"/>
      <w:pPr>
        <w:ind w:left="2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93A88B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FD4A9E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0D40CF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D202FE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14B89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1ACF1E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AC825E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3340DE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18314CB6"/>
    <w:multiLevelType w:val="hybridMultilevel"/>
    <w:tmpl w:val="520CE656"/>
    <w:lvl w:ilvl="0" w:tplc="F674798E">
      <w:start w:val="1"/>
      <w:numFmt w:val="bullet"/>
      <w:lvlText w:val="-"/>
      <w:lvlJc w:val="left"/>
      <w:pPr>
        <w:ind w:left="9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AABC638A">
      <w:start w:val="1"/>
      <w:numFmt w:val="bullet"/>
      <w:lvlText w:val="o"/>
      <w:lvlJc w:val="left"/>
      <w:pPr>
        <w:ind w:left="11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FA12318C">
      <w:start w:val="1"/>
      <w:numFmt w:val="bullet"/>
      <w:lvlText w:val="▪"/>
      <w:lvlJc w:val="left"/>
      <w:pPr>
        <w:ind w:left="18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32788E2A">
      <w:start w:val="1"/>
      <w:numFmt w:val="bullet"/>
      <w:lvlText w:val="•"/>
      <w:lvlJc w:val="left"/>
      <w:pPr>
        <w:ind w:left="25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68E8E6B6">
      <w:start w:val="1"/>
      <w:numFmt w:val="bullet"/>
      <w:lvlText w:val="o"/>
      <w:lvlJc w:val="left"/>
      <w:pPr>
        <w:ind w:left="33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85744FD6">
      <w:start w:val="1"/>
      <w:numFmt w:val="bullet"/>
      <w:lvlText w:val="▪"/>
      <w:lvlJc w:val="left"/>
      <w:pPr>
        <w:ind w:left="403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441C77E2">
      <w:start w:val="1"/>
      <w:numFmt w:val="bullet"/>
      <w:lvlText w:val="•"/>
      <w:lvlJc w:val="left"/>
      <w:pPr>
        <w:ind w:left="47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8C088FAE">
      <w:start w:val="1"/>
      <w:numFmt w:val="bullet"/>
      <w:lvlText w:val="o"/>
      <w:lvlJc w:val="left"/>
      <w:pPr>
        <w:ind w:left="54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72AA594C">
      <w:start w:val="1"/>
      <w:numFmt w:val="bullet"/>
      <w:lvlText w:val="▪"/>
      <w:lvlJc w:val="left"/>
      <w:pPr>
        <w:ind w:left="61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18BB67DD"/>
    <w:multiLevelType w:val="hybridMultilevel"/>
    <w:tmpl w:val="9036E5A0"/>
    <w:lvl w:ilvl="0" w:tplc="A8A8B3A2">
      <w:start w:val="1"/>
      <w:numFmt w:val="bullet"/>
      <w:lvlText w:val=""/>
      <w:lvlJc w:val="left"/>
      <w:pPr>
        <w:ind w:left="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3CC0DB0">
      <w:start w:val="1"/>
      <w:numFmt w:val="bullet"/>
      <w:lvlText w:val="o"/>
      <w:lvlJc w:val="left"/>
      <w:pPr>
        <w:ind w:left="11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F2C618A">
      <w:start w:val="1"/>
      <w:numFmt w:val="bullet"/>
      <w:lvlText w:val="▪"/>
      <w:lvlJc w:val="left"/>
      <w:pPr>
        <w:ind w:left="18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F6AD672">
      <w:start w:val="1"/>
      <w:numFmt w:val="bullet"/>
      <w:lvlText w:val="•"/>
      <w:lvlJc w:val="left"/>
      <w:pPr>
        <w:ind w:left="25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38CF984">
      <w:start w:val="1"/>
      <w:numFmt w:val="bullet"/>
      <w:lvlText w:val="o"/>
      <w:lvlJc w:val="left"/>
      <w:pPr>
        <w:ind w:left="33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56E9B58">
      <w:start w:val="1"/>
      <w:numFmt w:val="bullet"/>
      <w:lvlText w:val="▪"/>
      <w:lvlJc w:val="left"/>
      <w:pPr>
        <w:ind w:left="40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D7AE170">
      <w:start w:val="1"/>
      <w:numFmt w:val="bullet"/>
      <w:lvlText w:val="•"/>
      <w:lvlJc w:val="left"/>
      <w:pPr>
        <w:ind w:left="47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CFA3464">
      <w:start w:val="1"/>
      <w:numFmt w:val="bullet"/>
      <w:lvlText w:val="o"/>
      <w:lvlJc w:val="left"/>
      <w:pPr>
        <w:ind w:left="54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3D6F752">
      <w:start w:val="1"/>
      <w:numFmt w:val="bullet"/>
      <w:lvlText w:val="▪"/>
      <w:lvlJc w:val="left"/>
      <w:pPr>
        <w:ind w:left="61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18EE29D1"/>
    <w:multiLevelType w:val="hybridMultilevel"/>
    <w:tmpl w:val="D84EA706"/>
    <w:lvl w:ilvl="0" w:tplc="37504A94">
      <w:start w:val="1"/>
      <w:numFmt w:val="bullet"/>
      <w:lvlText w:val="-"/>
      <w:lvlJc w:val="left"/>
      <w:pPr>
        <w:ind w:left="94"/>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A1FCADEE">
      <w:start w:val="1"/>
      <w:numFmt w:val="bullet"/>
      <w:lvlText w:val="o"/>
      <w:lvlJc w:val="left"/>
      <w:pPr>
        <w:ind w:left="11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FF40D256">
      <w:start w:val="1"/>
      <w:numFmt w:val="bullet"/>
      <w:lvlText w:val="▪"/>
      <w:lvlJc w:val="left"/>
      <w:pPr>
        <w:ind w:left="18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B26204DC">
      <w:start w:val="1"/>
      <w:numFmt w:val="bullet"/>
      <w:lvlText w:val="•"/>
      <w:lvlJc w:val="left"/>
      <w:pPr>
        <w:ind w:left="25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A85EA648">
      <w:start w:val="1"/>
      <w:numFmt w:val="bullet"/>
      <w:lvlText w:val="o"/>
      <w:lvlJc w:val="left"/>
      <w:pPr>
        <w:ind w:left="33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9BAE0294">
      <w:start w:val="1"/>
      <w:numFmt w:val="bullet"/>
      <w:lvlText w:val="▪"/>
      <w:lvlJc w:val="left"/>
      <w:pPr>
        <w:ind w:left="403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5628A14C">
      <w:start w:val="1"/>
      <w:numFmt w:val="bullet"/>
      <w:lvlText w:val="•"/>
      <w:lvlJc w:val="left"/>
      <w:pPr>
        <w:ind w:left="47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47F29F8C">
      <w:start w:val="1"/>
      <w:numFmt w:val="bullet"/>
      <w:lvlText w:val="o"/>
      <w:lvlJc w:val="left"/>
      <w:pPr>
        <w:ind w:left="54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570264DC">
      <w:start w:val="1"/>
      <w:numFmt w:val="bullet"/>
      <w:lvlText w:val="▪"/>
      <w:lvlJc w:val="left"/>
      <w:pPr>
        <w:ind w:left="61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198E175B"/>
    <w:multiLevelType w:val="hybridMultilevel"/>
    <w:tmpl w:val="60785DAC"/>
    <w:lvl w:ilvl="0" w:tplc="1CC4EF1E">
      <w:start w:val="1"/>
      <w:numFmt w:val="bullet"/>
      <w:lvlText w:val="*"/>
      <w:lvlJc w:val="left"/>
      <w:pPr>
        <w:ind w:left="14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DA800B3E">
      <w:start w:val="1"/>
      <w:numFmt w:val="bullet"/>
      <w:lvlText w:val="o"/>
      <w:lvlJc w:val="left"/>
      <w:pPr>
        <w:ind w:left="11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879A943A">
      <w:start w:val="1"/>
      <w:numFmt w:val="bullet"/>
      <w:lvlText w:val="▪"/>
      <w:lvlJc w:val="left"/>
      <w:pPr>
        <w:ind w:left="19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412FDB2">
      <w:start w:val="1"/>
      <w:numFmt w:val="bullet"/>
      <w:lvlText w:val="•"/>
      <w:lvlJc w:val="left"/>
      <w:pPr>
        <w:ind w:left="262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433CAB46">
      <w:start w:val="1"/>
      <w:numFmt w:val="bullet"/>
      <w:lvlText w:val="o"/>
      <w:lvlJc w:val="left"/>
      <w:pPr>
        <w:ind w:left="33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2E0EC82">
      <w:start w:val="1"/>
      <w:numFmt w:val="bullet"/>
      <w:lvlText w:val="▪"/>
      <w:lvlJc w:val="left"/>
      <w:pPr>
        <w:ind w:left="40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D1C030E">
      <w:start w:val="1"/>
      <w:numFmt w:val="bullet"/>
      <w:lvlText w:val="•"/>
      <w:lvlJc w:val="left"/>
      <w:pPr>
        <w:ind w:left="47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94C273E0">
      <w:start w:val="1"/>
      <w:numFmt w:val="bullet"/>
      <w:lvlText w:val="o"/>
      <w:lvlJc w:val="left"/>
      <w:pPr>
        <w:ind w:left="55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EE26D54">
      <w:start w:val="1"/>
      <w:numFmt w:val="bullet"/>
      <w:lvlText w:val="▪"/>
      <w:lvlJc w:val="left"/>
      <w:pPr>
        <w:ind w:left="622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1AF43EF6"/>
    <w:multiLevelType w:val="hybridMultilevel"/>
    <w:tmpl w:val="5AC80314"/>
    <w:lvl w:ilvl="0" w:tplc="7C16ED5C">
      <w:start w:val="1"/>
      <w:numFmt w:val="bullet"/>
      <w:lvlText w:val="-"/>
      <w:lvlJc w:val="left"/>
      <w:pPr>
        <w:ind w:left="9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9C1E93AA">
      <w:start w:val="1"/>
      <w:numFmt w:val="bullet"/>
      <w:lvlText w:val="o"/>
      <w:lvlJc w:val="left"/>
      <w:pPr>
        <w:ind w:left="11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680CED80">
      <w:start w:val="1"/>
      <w:numFmt w:val="bullet"/>
      <w:lvlText w:val="▪"/>
      <w:lvlJc w:val="left"/>
      <w:pPr>
        <w:ind w:left="18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FCA8488E">
      <w:start w:val="1"/>
      <w:numFmt w:val="bullet"/>
      <w:lvlText w:val="•"/>
      <w:lvlJc w:val="left"/>
      <w:pPr>
        <w:ind w:left="25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E80A6774">
      <w:start w:val="1"/>
      <w:numFmt w:val="bullet"/>
      <w:lvlText w:val="o"/>
      <w:lvlJc w:val="left"/>
      <w:pPr>
        <w:ind w:left="33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44F0350E">
      <w:start w:val="1"/>
      <w:numFmt w:val="bullet"/>
      <w:lvlText w:val="▪"/>
      <w:lvlJc w:val="left"/>
      <w:pPr>
        <w:ind w:left="403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D026F890">
      <w:start w:val="1"/>
      <w:numFmt w:val="bullet"/>
      <w:lvlText w:val="•"/>
      <w:lvlJc w:val="left"/>
      <w:pPr>
        <w:ind w:left="47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6846DE28">
      <w:start w:val="1"/>
      <w:numFmt w:val="bullet"/>
      <w:lvlText w:val="o"/>
      <w:lvlJc w:val="left"/>
      <w:pPr>
        <w:ind w:left="54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5C56BD5C">
      <w:start w:val="1"/>
      <w:numFmt w:val="bullet"/>
      <w:lvlText w:val="▪"/>
      <w:lvlJc w:val="left"/>
      <w:pPr>
        <w:ind w:left="61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1B507D22"/>
    <w:multiLevelType w:val="hybridMultilevel"/>
    <w:tmpl w:val="B834472E"/>
    <w:lvl w:ilvl="0" w:tplc="12361EC4">
      <w:start w:val="2"/>
      <w:numFmt w:val="lowerLetter"/>
      <w:lvlText w:val="%1)"/>
      <w:lvlJc w:val="left"/>
      <w:pPr>
        <w:ind w:left="7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6209876">
      <w:start w:val="1"/>
      <w:numFmt w:val="lowerLetter"/>
      <w:lvlText w:val="%2"/>
      <w:lvlJc w:val="left"/>
      <w:pPr>
        <w:ind w:left="15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63A42114">
      <w:start w:val="1"/>
      <w:numFmt w:val="lowerRoman"/>
      <w:lvlText w:val="%3"/>
      <w:lvlJc w:val="left"/>
      <w:pPr>
        <w:ind w:left="22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7C729BCE">
      <w:start w:val="1"/>
      <w:numFmt w:val="decimal"/>
      <w:lvlText w:val="%4"/>
      <w:lvlJc w:val="left"/>
      <w:pPr>
        <w:ind w:left="29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2620EF4">
      <w:start w:val="1"/>
      <w:numFmt w:val="lowerLetter"/>
      <w:lvlText w:val="%5"/>
      <w:lvlJc w:val="left"/>
      <w:pPr>
        <w:ind w:left="36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F5A2CEFE">
      <w:start w:val="1"/>
      <w:numFmt w:val="lowerRoman"/>
      <w:lvlText w:val="%6"/>
      <w:lvlJc w:val="left"/>
      <w:pPr>
        <w:ind w:left="43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60F0391E">
      <w:start w:val="1"/>
      <w:numFmt w:val="decimal"/>
      <w:lvlText w:val="%7"/>
      <w:lvlJc w:val="left"/>
      <w:pPr>
        <w:ind w:left="51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9EE7D96">
      <w:start w:val="1"/>
      <w:numFmt w:val="lowerLetter"/>
      <w:lvlText w:val="%8"/>
      <w:lvlJc w:val="left"/>
      <w:pPr>
        <w:ind w:left="58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F1AC994">
      <w:start w:val="1"/>
      <w:numFmt w:val="lowerRoman"/>
      <w:lvlText w:val="%9"/>
      <w:lvlJc w:val="left"/>
      <w:pPr>
        <w:ind w:left="65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1BD03F8E"/>
    <w:multiLevelType w:val="hybridMultilevel"/>
    <w:tmpl w:val="EC12FEAA"/>
    <w:lvl w:ilvl="0" w:tplc="86225A52">
      <w:start w:val="2"/>
      <w:numFmt w:val="lowerLetter"/>
      <w:lvlText w:val="%1)"/>
      <w:lvlJc w:val="left"/>
      <w:pPr>
        <w:ind w:left="7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BC65798">
      <w:start w:val="1"/>
      <w:numFmt w:val="lowerLetter"/>
      <w:lvlText w:val="%2"/>
      <w:lvlJc w:val="left"/>
      <w:pPr>
        <w:ind w:left="15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4AE1584">
      <w:start w:val="1"/>
      <w:numFmt w:val="lowerRoman"/>
      <w:lvlText w:val="%3"/>
      <w:lvlJc w:val="left"/>
      <w:pPr>
        <w:ind w:left="22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AF2F420">
      <w:start w:val="1"/>
      <w:numFmt w:val="decimal"/>
      <w:lvlText w:val="%4"/>
      <w:lvlJc w:val="left"/>
      <w:pPr>
        <w:ind w:left="29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CD6445E">
      <w:start w:val="1"/>
      <w:numFmt w:val="lowerLetter"/>
      <w:lvlText w:val="%5"/>
      <w:lvlJc w:val="left"/>
      <w:pPr>
        <w:ind w:left="36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562A4BC">
      <w:start w:val="1"/>
      <w:numFmt w:val="lowerRoman"/>
      <w:lvlText w:val="%6"/>
      <w:lvlJc w:val="left"/>
      <w:pPr>
        <w:ind w:left="43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65C47F2C">
      <w:start w:val="1"/>
      <w:numFmt w:val="decimal"/>
      <w:lvlText w:val="%7"/>
      <w:lvlJc w:val="left"/>
      <w:pPr>
        <w:ind w:left="51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528AD68E">
      <w:start w:val="1"/>
      <w:numFmt w:val="lowerLetter"/>
      <w:lvlText w:val="%8"/>
      <w:lvlJc w:val="left"/>
      <w:pPr>
        <w:ind w:left="58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A6569F1A">
      <w:start w:val="1"/>
      <w:numFmt w:val="lowerRoman"/>
      <w:lvlText w:val="%9"/>
      <w:lvlJc w:val="left"/>
      <w:pPr>
        <w:ind w:left="65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1CD42047"/>
    <w:multiLevelType w:val="hybridMultilevel"/>
    <w:tmpl w:val="E3085A98"/>
    <w:lvl w:ilvl="0" w:tplc="F056B740">
      <w:start w:val="1"/>
      <w:numFmt w:val="bullet"/>
      <w:lvlText w:val="-"/>
      <w:lvlJc w:val="left"/>
      <w:pPr>
        <w:ind w:left="4"/>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B4500AD2">
      <w:start w:val="1"/>
      <w:numFmt w:val="bullet"/>
      <w:lvlText w:val="o"/>
      <w:lvlJc w:val="left"/>
      <w:pPr>
        <w:ind w:left="11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9BB4EA92">
      <w:start w:val="1"/>
      <w:numFmt w:val="bullet"/>
      <w:lvlText w:val="▪"/>
      <w:lvlJc w:val="left"/>
      <w:pPr>
        <w:ind w:left="18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A60A48B4">
      <w:start w:val="1"/>
      <w:numFmt w:val="bullet"/>
      <w:lvlText w:val="•"/>
      <w:lvlJc w:val="left"/>
      <w:pPr>
        <w:ind w:left="25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8FF64074">
      <w:start w:val="1"/>
      <w:numFmt w:val="bullet"/>
      <w:lvlText w:val="o"/>
      <w:lvlJc w:val="left"/>
      <w:pPr>
        <w:ind w:left="33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204C7F1C">
      <w:start w:val="1"/>
      <w:numFmt w:val="bullet"/>
      <w:lvlText w:val="▪"/>
      <w:lvlJc w:val="left"/>
      <w:pPr>
        <w:ind w:left="403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DD7EE6E0">
      <w:start w:val="1"/>
      <w:numFmt w:val="bullet"/>
      <w:lvlText w:val="•"/>
      <w:lvlJc w:val="left"/>
      <w:pPr>
        <w:ind w:left="47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E34C55D6">
      <w:start w:val="1"/>
      <w:numFmt w:val="bullet"/>
      <w:lvlText w:val="o"/>
      <w:lvlJc w:val="left"/>
      <w:pPr>
        <w:ind w:left="54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8DBAC0C0">
      <w:start w:val="1"/>
      <w:numFmt w:val="bullet"/>
      <w:lvlText w:val="▪"/>
      <w:lvlJc w:val="left"/>
      <w:pPr>
        <w:ind w:left="61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1DF739A1"/>
    <w:multiLevelType w:val="hybridMultilevel"/>
    <w:tmpl w:val="4BC89ED8"/>
    <w:lvl w:ilvl="0" w:tplc="467C70E2">
      <w:start w:val="1"/>
      <w:numFmt w:val="bullet"/>
      <w:lvlText w:val="-"/>
      <w:lvlJc w:val="left"/>
      <w:pPr>
        <w:ind w:left="4"/>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FCC80E56">
      <w:start w:val="1"/>
      <w:numFmt w:val="bullet"/>
      <w:lvlText w:val="o"/>
      <w:lvlJc w:val="left"/>
      <w:pPr>
        <w:ind w:left="11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6504A3AC">
      <w:start w:val="1"/>
      <w:numFmt w:val="bullet"/>
      <w:lvlText w:val="▪"/>
      <w:lvlJc w:val="left"/>
      <w:pPr>
        <w:ind w:left="18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A580CE86">
      <w:start w:val="1"/>
      <w:numFmt w:val="bullet"/>
      <w:lvlText w:val="•"/>
      <w:lvlJc w:val="left"/>
      <w:pPr>
        <w:ind w:left="25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7960F0E2">
      <w:start w:val="1"/>
      <w:numFmt w:val="bullet"/>
      <w:lvlText w:val="o"/>
      <w:lvlJc w:val="left"/>
      <w:pPr>
        <w:ind w:left="33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ABD6DE32">
      <w:start w:val="1"/>
      <w:numFmt w:val="bullet"/>
      <w:lvlText w:val="▪"/>
      <w:lvlJc w:val="left"/>
      <w:pPr>
        <w:ind w:left="403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AEAEB3BC">
      <w:start w:val="1"/>
      <w:numFmt w:val="bullet"/>
      <w:lvlText w:val="•"/>
      <w:lvlJc w:val="left"/>
      <w:pPr>
        <w:ind w:left="47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EA405856">
      <w:start w:val="1"/>
      <w:numFmt w:val="bullet"/>
      <w:lvlText w:val="o"/>
      <w:lvlJc w:val="left"/>
      <w:pPr>
        <w:ind w:left="54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4FE8EEE2">
      <w:start w:val="1"/>
      <w:numFmt w:val="bullet"/>
      <w:lvlText w:val="▪"/>
      <w:lvlJc w:val="left"/>
      <w:pPr>
        <w:ind w:left="61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1FD319F1"/>
    <w:multiLevelType w:val="hybridMultilevel"/>
    <w:tmpl w:val="BCB4C13E"/>
    <w:lvl w:ilvl="0" w:tplc="FBA81380">
      <w:start w:val="1"/>
      <w:numFmt w:val="bullet"/>
      <w:lvlText w:val=""/>
      <w:lvlJc w:val="left"/>
      <w:pPr>
        <w:ind w:left="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B644D5C">
      <w:start w:val="1"/>
      <w:numFmt w:val="bullet"/>
      <w:lvlText w:val="o"/>
      <w:lvlJc w:val="left"/>
      <w:pPr>
        <w:ind w:left="11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3B63F24">
      <w:start w:val="1"/>
      <w:numFmt w:val="bullet"/>
      <w:lvlText w:val="▪"/>
      <w:lvlJc w:val="left"/>
      <w:pPr>
        <w:ind w:left="18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AE4C2C4">
      <w:start w:val="1"/>
      <w:numFmt w:val="bullet"/>
      <w:lvlText w:val="•"/>
      <w:lvlJc w:val="left"/>
      <w:pPr>
        <w:ind w:left="25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0F295B8">
      <w:start w:val="1"/>
      <w:numFmt w:val="bullet"/>
      <w:lvlText w:val="o"/>
      <w:lvlJc w:val="left"/>
      <w:pPr>
        <w:ind w:left="33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2F26FB6">
      <w:start w:val="1"/>
      <w:numFmt w:val="bullet"/>
      <w:lvlText w:val="▪"/>
      <w:lvlJc w:val="left"/>
      <w:pPr>
        <w:ind w:left="40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8F890D6">
      <w:start w:val="1"/>
      <w:numFmt w:val="bullet"/>
      <w:lvlText w:val="•"/>
      <w:lvlJc w:val="left"/>
      <w:pPr>
        <w:ind w:left="47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B5873B0">
      <w:start w:val="1"/>
      <w:numFmt w:val="bullet"/>
      <w:lvlText w:val="o"/>
      <w:lvlJc w:val="left"/>
      <w:pPr>
        <w:ind w:left="54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0207272">
      <w:start w:val="1"/>
      <w:numFmt w:val="bullet"/>
      <w:lvlText w:val="▪"/>
      <w:lvlJc w:val="left"/>
      <w:pPr>
        <w:ind w:left="61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21032F72"/>
    <w:multiLevelType w:val="hybridMultilevel"/>
    <w:tmpl w:val="ADC02866"/>
    <w:lvl w:ilvl="0" w:tplc="38129E1E">
      <w:start w:val="2"/>
      <w:numFmt w:val="lowerLetter"/>
      <w:lvlText w:val="%1)"/>
      <w:lvlJc w:val="left"/>
      <w:pPr>
        <w:ind w:left="7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756416D0">
      <w:start w:val="1"/>
      <w:numFmt w:val="lowerLetter"/>
      <w:lvlText w:val="%2"/>
      <w:lvlJc w:val="left"/>
      <w:pPr>
        <w:ind w:left="15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84F8BE9C">
      <w:start w:val="1"/>
      <w:numFmt w:val="lowerRoman"/>
      <w:lvlText w:val="%3"/>
      <w:lvlJc w:val="left"/>
      <w:pPr>
        <w:ind w:left="22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A147908">
      <w:start w:val="1"/>
      <w:numFmt w:val="decimal"/>
      <w:lvlText w:val="%4"/>
      <w:lvlJc w:val="left"/>
      <w:pPr>
        <w:ind w:left="29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0A8D820">
      <w:start w:val="1"/>
      <w:numFmt w:val="lowerLetter"/>
      <w:lvlText w:val="%5"/>
      <w:lvlJc w:val="left"/>
      <w:pPr>
        <w:ind w:left="36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8745D40">
      <w:start w:val="1"/>
      <w:numFmt w:val="lowerRoman"/>
      <w:lvlText w:val="%6"/>
      <w:lvlJc w:val="left"/>
      <w:pPr>
        <w:ind w:left="43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E46AEA2">
      <w:start w:val="1"/>
      <w:numFmt w:val="decimal"/>
      <w:lvlText w:val="%7"/>
      <w:lvlJc w:val="left"/>
      <w:pPr>
        <w:ind w:left="51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AB8EFD2">
      <w:start w:val="1"/>
      <w:numFmt w:val="lowerLetter"/>
      <w:lvlText w:val="%8"/>
      <w:lvlJc w:val="left"/>
      <w:pPr>
        <w:ind w:left="58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E40E18A">
      <w:start w:val="1"/>
      <w:numFmt w:val="lowerRoman"/>
      <w:lvlText w:val="%9"/>
      <w:lvlJc w:val="left"/>
      <w:pPr>
        <w:ind w:left="65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8" w15:restartNumberingAfterBreak="0">
    <w:nsid w:val="22317CA9"/>
    <w:multiLevelType w:val="hybridMultilevel"/>
    <w:tmpl w:val="602A872C"/>
    <w:lvl w:ilvl="0" w:tplc="4BD0D77C">
      <w:start w:val="1"/>
      <w:numFmt w:val="bullet"/>
      <w:lvlText w:val=""/>
      <w:lvlJc w:val="left"/>
      <w:pPr>
        <w:ind w:left="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712D048">
      <w:start w:val="1"/>
      <w:numFmt w:val="bullet"/>
      <w:lvlText w:val="o"/>
      <w:lvlJc w:val="left"/>
      <w:pPr>
        <w:ind w:left="11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8243A68">
      <w:start w:val="1"/>
      <w:numFmt w:val="bullet"/>
      <w:lvlText w:val="▪"/>
      <w:lvlJc w:val="left"/>
      <w:pPr>
        <w:ind w:left="18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868E730">
      <w:start w:val="1"/>
      <w:numFmt w:val="bullet"/>
      <w:lvlText w:val="•"/>
      <w:lvlJc w:val="left"/>
      <w:pPr>
        <w:ind w:left="25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82AD244">
      <w:start w:val="1"/>
      <w:numFmt w:val="bullet"/>
      <w:lvlText w:val="o"/>
      <w:lvlJc w:val="left"/>
      <w:pPr>
        <w:ind w:left="33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276B508">
      <w:start w:val="1"/>
      <w:numFmt w:val="bullet"/>
      <w:lvlText w:val="▪"/>
      <w:lvlJc w:val="left"/>
      <w:pPr>
        <w:ind w:left="40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15877CC">
      <w:start w:val="1"/>
      <w:numFmt w:val="bullet"/>
      <w:lvlText w:val="•"/>
      <w:lvlJc w:val="left"/>
      <w:pPr>
        <w:ind w:left="47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20CCC82">
      <w:start w:val="1"/>
      <w:numFmt w:val="bullet"/>
      <w:lvlText w:val="o"/>
      <w:lvlJc w:val="left"/>
      <w:pPr>
        <w:ind w:left="54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41644FE">
      <w:start w:val="1"/>
      <w:numFmt w:val="bullet"/>
      <w:lvlText w:val="▪"/>
      <w:lvlJc w:val="left"/>
      <w:pPr>
        <w:ind w:left="61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22AB3F66"/>
    <w:multiLevelType w:val="hybridMultilevel"/>
    <w:tmpl w:val="EAD69812"/>
    <w:lvl w:ilvl="0" w:tplc="99AA7E5C">
      <w:start w:val="1"/>
      <w:numFmt w:val="bullet"/>
      <w:lvlText w:val=""/>
      <w:lvlJc w:val="left"/>
      <w:pPr>
        <w:ind w:left="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95E3404">
      <w:start w:val="1"/>
      <w:numFmt w:val="bullet"/>
      <w:lvlText w:val="o"/>
      <w:lvlJc w:val="left"/>
      <w:pPr>
        <w:ind w:left="11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2EE3926">
      <w:start w:val="1"/>
      <w:numFmt w:val="bullet"/>
      <w:lvlText w:val="▪"/>
      <w:lvlJc w:val="left"/>
      <w:pPr>
        <w:ind w:left="18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E32BE72">
      <w:start w:val="1"/>
      <w:numFmt w:val="bullet"/>
      <w:lvlText w:val="•"/>
      <w:lvlJc w:val="left"/>
      <w:pPr>
        <w:ind w:left="25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52EE280">
      <w:start w:val="1"/>
      <w:numFmt w:val="bullet"/>
      <w:lvlText w:val="o"/>
      <w:lvlJc w:val="left"/>
      <w:pPr>
        <w:ind w:left="33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D3469BC8">
      <w:start w:val="1"/>
      <w:numFmt w:val="bullet"/>
      <w:lvlText w:val="▪"/>
      <w:lvlJc w:val="left"/>
      <w:pPr>
        <w:ind w:left="40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54633FC">
      <w:start w:val="1"/>
      <w:numFmt w:val="bullet"/>
      <w:lvlText w:val="•"/>
      <w:lvlJc w:val="left"/>
      <w:pPr>
        <w:ind w:left="47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B1041B4">
      <w:start w:val="1"/>
      <w:numFmt w:val="bullet"/>
      <w:lvlText w:val="o"/>
      <w:lvlJc w:val="left"/>
      <w:pPr>
        <w:ind w:left="54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83CCC26">
      <w:start w:val="1"/>
      <w:numFmt w:val="bullet"/>
      <w:lvlText w:val="▪"/>
      <w:lvlJc w:val="left"/>
      <w:pPr>
        <w:ind w:left="61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23CD21E2"/>
    <w:multiLevelType w:val="hybridMultilevel"/>
    <w:tmpl w:val="44DC1EEA"/>
    <w:lvl w:ilvl="0" w:tplc="6D40BD9A">
      <w:start w:val="1"/>
      <w:numFmt w:val="decimal"/>
      <w:lvlText w:val="%1."/>
      <w:lvlJc w:val="left"/>
      <w:pPr>
        <w:ind w:left="2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7A691C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FDA129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644CCE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BA8D13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7244B4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67C381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A4E8F3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DB866E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2437081B"/>
    <w:multiLevelType w:val="hybridMultilevel"/>
    <w:tmpl w:val="4B625B54"/>
    <w:lvl w:ilvl="0" w:tplc="071284FC">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94AA86">
      <w:start w:val="1"/>
      <w:numFmt w:val="bullet"/>
      <w:lvlText w:val="-"/>
      <w:lvlJc w:val="left"/>
      <w:pPr>
        <w:ind w:left="90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5FF6DB2C">
      <w:start w:val="1"/>
      <w:numFmt w:val="bullet"/>
      <w:lvlText w:val="▪"/>
      <w:lvlJc w:val="left"/>
      <w:pPr>
        <w:ind w:left="15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BE869EE2">
      <w:start w:val="1"/>
      <w:numFmt w:val="bullet"/>
      <w:lvlText w:val="•"/>
      <w:lvlJc w:val="left"/>
      <w:pPr>
        <w:ind w:left="22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BCC8BB30">
      <w:start w:val="1"/>
      <w:numFmt w:val="bullet"/>
      <w:lvlText w:val="o"/>
      <w:lvlJc w:val="left"/>
      <w:pPr>
        <w:ind w:left="29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E9615A2">
      <w:start w:val="1"/>
      <w:numFmt w:val="bullet"/>
      <w:lvlText w:val="▪"/>
      <w:lvlJc w:val="left"/>
      <w:pPr>
        <w:ind w:left="36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7B442A6">
      <w:start w:val="1"/>
      <w:numFmt w:val="bullet"/>
      <w:lvlText w:val="•"/>
      <w:lvlJc w:val="left"/>
      <w:pPr>
        <w:ind w:left="43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551EBE3A">
      <w:start w:val="1"/>
      <w:numFmt w:val="bullet"/>
      <w:lvlText w:val="o"/>
      <w:lvlJc w:val="left"/>
      <w:pPr>
        <w:ind w:left="51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65E0286">
      <w:start w:val="1"/>
      <w:numFmt w:val="bullet"/>
      <w:lvlText w:val="▪"/>
      <w:lvlJc w:val="left"/>
      <w:pPr>
        <w:ind w:left="58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516015B"/>
    <w:multiLevelType w:val="multilevel"/>
    <w:tmpl w:val="730E6BF0"/>
    <w:lvl w:ilvl="0">
      <w:start w:val="1"/>
      <w:numFmt w:val="decimal"/>
      <w:lvlText w:val="%1."/>
      <w:lvlJc w:val="left"/>
      <w:pPr>
        <w:ind w:left="42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4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5B36E06"/>
    <w:multiLevelType w:val="hybridMultilevel"/>
    <w:tmpl w:val="6722F23A"/>
    <w:lvl w:ilvl="0" w:tplc="5678AD8C">
      <w:start w:val="1"/>
      <w:numFmt w:val="bullet"/>
      <w:lvlText w:val="-"/>
      <w:lvlJc w:val="left"/>
      <w:pPr>
        <w:ind w:left="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0263780">
      <w:start w:val="1"/>
      <w:numFmt w:val="bullet"/>
      <w:lvlText w:val="o"/>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A9A6F5C6">
      <w:start w:val="1"/>
      <w:numFmt w:val="bullet"/>
      <w:lvlText w:val="▪"/>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6964BD20">
      <w:start w:val="1"/>
      <w:numFmt w:val="bullet"/>
      <w:lvlText w:val="•"/>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D2CB66E">
      <w:start w:val="1"/>
      <w:numFmt w:val="bullet"/>
      <w:lvlText w:val="o"/>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BE8AED2">
      <w:start w:val="1"/>
      <w:numFmt w:val="bullet"/>
      <w:lvlText w:val="▪"/>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471439A0">
      <w:start w:val="1"/>
      <w:numFmt w:val="bullet"/>
      <w:lvlText w:val="•"/>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F840856">
      <w:start w:val="1"/>
      <w:numFmt w:val="bullet"/>
      <w:lvlText w:val="o"/>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CE69D9C">
      <w:start w:val="1"/>
      <w:numFmt w:val="bullet"/>
      <w:lvlText w:val="▪"/>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27576862"/>
    <w:multiLevelType w:val="hybridMultilevel"/>
    <w:tmpl w:val="83C24DDE"/>
    <w:lvl w:ilvl="0" w:tplc="BE6CCF9C">
      <w:start w:val="1"/>
      <w:numFmt w:val="bullet"/>
      <w:lvlText w:val="-"/>
      <w:lvlJc w:val="left"/>
      <w:pPr>
        <w:ind w:left="5"/>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237224B6">
      <w:start w:val="1"/>
      <w:numFmt w:val="bullet"/>
      <w:lvlText w:val="o"/>
      <w:lvlJc w:val="left"/>
      <w:pPr>
        <w:ind w:left="11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B624F8B6">
      <w:start w:val="1"/>
      <w:numFmt w:val="bullet"/>
      <w:lvlText w:val="▪"/>
      <w:lvlJc w:val="left"/>
      <w:pPr>
        <w:ind w:left="18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0D3ACDF2">
      <w:start w:val="1"/>
      <w:numFmt w:val="bullet"/>
      <w:lvlText w:val="•"/>
      <w:lvlJc w:val="left"/>
      <w:pPr>
        <w:ind w:left="25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7A964BFA">
      <w:start w:val="1"/>
      <w:numFmt w:val="bullet"/>
      <w:lvlText w:val="o"/>
      <w:lvlJc w:val="left"/>
      <w:pPr>
        <w:ind w:left="33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09DEDF98">
      <w:start w:val="1"/>
      <w:numFmt w:val="bullet"/>
      <w:lvlText w:val="▪"/>
      <w:lvlJc w:val="left"/>
      <w:pPr>
        <w:ind w:left="403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75CCADF4">
      <w:start w:val="1"/>
      <w:numFmt w:val="bullet"/>
      <w:lvlText w:val="•"/>
      <w:lvlJc w:val="left"/>
      <w:pPr>
        <w:ind w:left="47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D3F2A5A4">
      <w:start w:val="1"/>
      <w:numFmt w:val="bullet"/>
      <w:lvlText w:val="o"/>
      <w:lvlJc w:val="left"/>
      <w:pPr>
        <w:ind w:left="54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132E44FA">
      <w:start w:val="1"/>
      <w:numFmt w:val="bullet"/>
      <w:lvlText w:val="▪"/>
      <w:lvlJc w:val="left"/>
      <w:pPr>
        <w:ind w:left="61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35" w15:restartNumberingAfterBreak="0">
    <w:nsid w:val="28A73946"/>
    <w:multiLevelType w:val="hybridMultilevel"/>
    <w:tmpl w:val="FB56BDD2"/>
    <w:lvl w:ilvl="0" w:tplc="DB18D93C">
      <w:start w:val="12"/>
      <w:numFmt w:val="lowerLetter"/>
      <w:lvlText w:val="%1)"/>
      <w:lvlJc w:val="left"/>
      <w:pPr>
        <w:ind w:left="43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95EAC4C">
      <w:start w:val="1"/>
      <w:numFmt w:val="lowerLetter"/>
      <w:lvlText w:val="%2"/>
      <w:lvlJc w:val="left"/>
      <w:pPr>
        <w:ind w:left="15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B00B5A6">
      <w:start w:val="1"/>
      <w:numFmt w:val="lowerRoman"/>
      <w:lvlText w:val="%3"/>
      <w:lvlJc w:val="left"/>
      <w:pPr>
        <w:ind w:left="22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38F8DE26">
      <w:start w:val="1"/>
      <w:numFmt w:val="decimal"/>
      <w:lvlText w:val="%4"/>
      <w:lvlJc w:val="left"/>
      <w:pPr>
        <w:ind w:left="29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9A6EF6C">
      <w:start w:val="1"/>
      <w:numFmt w:val="lowerLetter"/>
      <w:lvlText w:val="%5"/>
      <w:lvlJc w:val="left"/>
      <w:pPr>
        <w:ind w:left="36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C16E0F48">
      <w:start w:val="1"/>
      <w:numFmt w:val="lowerRoman"/>
      <w:lvlText w:val="%6"/>
      <w:lvlJc w:val="left"/>
      <w:pPr>
        <w:ind w:left="43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92262A66">
      <w:start w:val="1"/>
      <w:numFmt w:val="decimal"/>
      <w:lvlText w:val="%7"/>
      <w:lvlJc w:val="left"/>
      <w:pPr>
        <w:ind w:left="51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04C8D61C">
      <w:start w:val="1"/>
      <w:numFmt w:val="lowerLetter"/>
      <w:lvlText w:val="%8"/>
      <w:lvlJc w:val="left"/>
      <w:pPr>
        <w:ind w:left="58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7BFA92FA">
      <w:start w:val="1"/>
      <w:numFmt w:val="lowerRoman"/>
      <w:lvlText w:val="%9"/>
      <w:lvlJc w:val="left"/>
      <w:pPr>
        <w:ind w:left="65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6" w15:restartNumberingAfterBreak="0">
    <w:nsid w:val="2A5665C1"/>
    <w:multiLevelType w:val="hybridMultilevel"/>
    <w:tmpl w:val="CDB4FC46"/>
    <w:lvl w:ilvl="0" w:tplc="BCBCEF6A">
      <w:start w:val="1"/>
      <w:numFmt w:val="bullet"/>
      <w:lvlText w:val=""/>
      <w:lvlJc w:val="left"/>
      <w:pPr>
        <w:ind w:left="2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FF65500">
      <w:start w:val="1"/>
      <w:numFmt w:val="bullet"/>
      <w:lvlText w:val="o"/>
      <w:lvlJc w:val="left"/>
      <w:pPr>
        <w:ind w:left="11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3B23FF4">
      <w:start w:val="1"/>
      <w:numFmt w:val="bullet"/>
      <w:lvlText w:val="▪"/>
      <w:lvlJc w:val="left"/>
      <w:pPr>
        <w:ind w:left="18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5BC6FFE">
      <w:start w:val="1"/>
      <w:numFmt w:val="bullet"/>
      <w:lvlText w:val="•"/>
      <w:lvlJc w:val="left"/>
      <w:pPr>
        <w:ind w:left="25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8605546">
      <w:start w:val="1"/>
      <w:numFmt w:val="bullet"/>
      <w:lvlText w:val="o"/>
      <w:lvlJc w:val="left"/>
      <w:pPr>
        <w:ind w:left="33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DD2A4BD2">
      <w:start w:val="1"/>
      <w:numFmt w:val="bullet"/>
      <w:lvlText w:val="▪"/>
      <w:lvlJc w:val="left"/>
      <w:pPr>
        <w:ind w:left="40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378C8A4">
      <w:start w:val="1"/>
      <w:numFmt w:val="bullet"/>
      <w:lvlText w:val="•"/>
      <w:lvlJc w:val="left"/>
      <w:pPr>
        <w:ind w:left="47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0DCD928">
      <w:start w:val="1"/>
      <w:numFmt w:val="bullet"/>
      <w:lvlText w:val="o"/>
      <w:lvlJc w:val="left"/>
      <w:pPr>
        <w:ind w:left="54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5884B5A">
      <w:start w:val="1"/>
      <w:numFmt w:val="bullet"/>
      <w:lvlText w:val="▪"/>
      <w:lvlJc w:val="left"/>
      <w:pPr>
        <w:ind w:left="61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7" w15:restartNumberingAfterBreak="0">
    <w:nsid w:val="2AAD71BA"/>
    <w:multiLevelType w:val="hybridMultilevel"/>
    <w:tmpl w:val="879E2A78"/>
    <w:lvl w:ilvl="0" w:tplc="90B616A2">
      <w:start w:val="1"/>
      <w:numFmt w:val="bullet"/>
      <w:lvlText w:val="*"/>
      <w:lvlJc w:val="left"/>
      <w:pPr>
        <w:ind w:left="4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526DF92">
      <w:start w:val="1"/>
      <w:numFmt w:val="bullet"/>
      <w:lvlText w:val="o"/>
      <w:lvlJc w:val="left"/>
      <w:pPr>
        <w:ind w:left="13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8C89D30">
      <w:start w:val="1"/>
      <w:numFmt w:val="bullet"/>
      <w:lvlText w:val="▪"/>
      <w:lvlJc w:val="left"/>
      <w:pPr>
        <w:ind w:left="20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3FEA0B0">
      <w:start w:val="1"/>
      <w:numFmt w:val="bullet"/>
      <w:lvlText w:val="•"/>
      <w:lvlJc w:val="left"/>
      <w:pPr>
        <w:ind w:left="27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BF87F16">
      <w:start w:val="1"/>
      <w:numFmt w:val="bullet"/>
      <w:lvlText w:val="o"/>
      <w:lvlJc w:val="left"/>
      <w:pPr>
        <w:ind w:left="3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57A08DE">
      <w:start w:val="1"/>
      <w:numFmt w:val="bullet"/>
      <w:lvlText w:val="▪"/>
      <w:lvlJc w:val="left"/>
      <w:pPr>
        <w:ind w:left="4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644FA82">
      <w:start w:val="1"/>
      <w:numFmt w:val="bullet"/>
      <w:lvlText w:val="•"/>
      <w:lvlJc w:val="left"/>
      <w:pPr>
        <w:ind w:left="4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1012B8">
      <w:start w:val="1"/>
      <w:numFmt w:val="bullet"/>
      <w:lvlText w:val="o"/>
      <w:lvlJc w:val="left"/>
      <w:pPr>
        <w:ind w:left="5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2022210">
      <w:start w:val="1"/>
      <w:numFmt w:val="bullet"/>
      <w:lvlText w:val="▪"/>
      <w:lvlJc w:val="left"/>
      <w:pPr>
        <w:ind w:left="6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2AE71C5D"/>
    <w:multiLevelType w:val="hybridMultilevel"/>
    <w:tmpl w:val="BD3659A6"/>
    <w:lvl w:ilvl="0" w:tplc="9D94B62A">
      <w:start w:val="1"/>
      <w:numFmt w:val="bullet"/>
      <w:lvlText w:val="-"/>
      <w:lvlJc w:val="left"/>
      <w:pPr>
        <w:ind w:left="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BD84848">
      <w:start w:val="1"/>
      <w:numFmt w:val="bullet"/>
      <w:lvlText w:val="o"/>
      <w:lvlJc w:val="left"/>
      <w:pPr>
        <w:ind w:left="1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232C63A">
      <w:start w:val="1"/>
      <w:numFmt w:val="bullet"/>
      <w:lvlText w:val="▪"/>
      <w:lvlJc w:val="left"/>
      <w:pPr>
        <w:ind w:left="1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9BAD34C">
      <w:start w:val="1"/>
      <w:numFmt w:val="bullet"/>
      <w:lvlText w:val="•"/>
      <w:lvlJc w:val="left"/>
      <w:pPr>
        <w:ind w:left="2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442D570">
      <w:start w:val="1"/>
      <w:numFmt w:val="bullet"/>
      <w:lvlText w:val="o"/>
      <w:lvlJc w:val="left"/>
      <w:pPr>
        <w:ind w:left="33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38654B4">
      <w:start w:val="1"/>
      <w:numFmt w:val="bullet"/>
      <w:lvlText w:val="▪"/>
      <w:lvlJc w:val="left"/>
      <w:pPr>
        <w:ind w:left="40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94CFB74">
      <w:start w:val="1"/>
      <w:numFmt w:val="bullet"/>
      <w:lvlText w:val="•"/>
      <w:lvlJc w:val="left"/>
      <w:pPr>
        <w:ind w:left="47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C0C4384">
      <w:start w:val="1"/>
      <w:numFmt w:val="bullet"/>
      <w:lvlText w:val="o"/>
      <w:lvlJc w:val="left"/>
      <w:pPr>
        <w:ind w:left="54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EB89A36">
      <w:start w:val="1"/>
      <w:numFmt w:val="bullet"/>
      <w:lvlText w:val="▪"/>
      <w:lvlJc w:val="left"/>
      <w:pPr>
        <w:ind w:left="61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2BBE5ED7"/>
    <w:multiLevelType w:val="hybridMultilevel"/>
    <w:tmpl w:val="54FEF7BE"/>
    <w:lvl w:ilvl="0" w:tplc="D716015A">
      <w:start w:val="1"/>
      <w:numFmt w:val="bullet"/>
      <w:lvlText w:val="-"/>
      <w:lvlJc w:val="left"/>
      <w:pPr>
        <w:ind w:left="5"/>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382E99B0">
      <w:start w:val="1"/>
      <w:numFmt w:val="bullet"/>
      <w:lvlText w:val="o"/>
      <w:lvlJc w:val="left"/>
      <w:pPr>
        <w:ind w:left="11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7D022FCE">
      <w:start w:val="1"/>
      <w:numFmt w:val="bullet"/>
      <w:lvlText w:val="▪"/>
      <w:lvlJc w:val="left"/>
      <w:pPr>
        <w:ind w:left="18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74EAADEC">
      <w:start w:val="1"/>
      <w:numFmt w:val="bullet"/>
      <w:lvlText w:val="•"/>
      <w:lvlJc w:val="left"/>
      <w:pPr>
        <w:ind w:left="25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B030A514">
      <w:start w:val="1"/>
      <w:numFmt w:val="bullet"/>
      <w:lvlText w:val="o"/>
      <w:lvlJc w:val="left"/>
      <w:pPr>
        <w:ind w:left="33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64BABCA2">
      <w:start w:val="1"/>
      <w:numFmt w:val="bullet"/>
      <w:lvlText w:val="▪"/>
      <w:lvlJc w:val="left"/>
      <w:pPr>
        <w:ind w:left="403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30AA7138">
      <w:start w:val="1"/>
      <w:numFmt w:val="bullet"/>
      <w:lvlText w:val="•"/>
      <w:lvlJc w:val="left"/>
      <w:pPr>
        <w:ind w:left="47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C9902BDC">
      <w:start w:val="1"/>
      <w:numFmt w:val="bullet"/>
      <w:lvlText w:val="o"/>
      <w:lvlJc w:val="left"/>
      <w:pPr>
        <w:ind w:left="54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224E6FC0">
      <w:start w:val="1"/>
      <w:numFmt w:val="bullet"/>
      <w:lvlText w:val="▪"/>
      <w:lvlJc w:val="left"/>
      <w:pPr>
        <w:ind w:left="61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40" w15:restartNumberingAfterBreak="0">
    <w:nsid w:val="2BDC5F78"/>
    <w:multiLevelType w:val="hybridMultilevel"/>
    <w:tmpl w:val="99668904"/>
    <w:lvl w:ilvl="0" w:tplc="F28A4F8C">
      <w:start w:val="1"/>
      <w:numFmt w:val="decimal"/>
      <w:lvlText w:val="%1."/>
      <w:lvlJc w:val="left"/>
      <w:pPr>
        <w:ind w:left="42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1BFACCB8">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AAA38E4">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DF6A1EC">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50B6C228">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7C2F6F4">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77456CE">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830E15FA">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1B0F9C2">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1" w15:restartNumberingAfterBreak="0">
    <w:nsid w:val="2D2F0D45"/>
    <w:multiLevelType w:val="hybridMultilevel"/>
    <w:tmpl w:val="8B28E124"/>
    <w:lvl w:ilvl="0" w:tplc="BD9465C8">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3100BF2">
      <w:start w:val="1"/>
      <w:numFmt w:val="bullet"/>
      <w:lvlText w:val="o"/>
      <w:lvlJc w:val="left"/>
      <w:pPr>
        <w:ind w:left="11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CB809EC">
      <w:start w:val="1"/>
      <w:numFmt w:val="bullet"/>
      <w:lvlText w:val="▪"/>
      <w:lvlJc w:val="left"/>
      <w:pPr>
        <w:ind w:left="19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E634F59E">
      <w:start w:val="1"/>
      <w:numFmt w:val="bullet"/>
      <w:lvlText w:val="•"/>
      <w:lvlJc w:val="left"/>
      <w:pPr>
        <w:ind w:left="262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6AD849B4">
      <w:start w:val="1"/>
      <w:numFmt w:val="bullet"/>
      <w:lvlText w:val="o"/>
      <w:lvlJc w:val="left"/>
      <w:pPr>
        <w:ind w:left="33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AA68AC6">
      <w:start w:val="1"/>
      <w:numFmt w:val="bullet"/>
      <w:lvlText w:val="▪"/>
      <w:lvlJc w:val="left"/>
      <w:pPr>
        <w:ind w:left="40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C527386">
      <w:start w:val="1"/>
      <w:numFmt w:val="bullet"/>
      <w:lvlText w:val="•"/>
      <w:lvlJc w:val="left"/>
      <w:pPr>
        <w:ind w:left="47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58BEDA50">
      <w:start w:val="1"/>
      <w:numFmt w:val="bullet"/>
      <w:lvlText w:val="o"/>
      <w:lvlJc w:val="left"/>
      <w:pPr>
        <w:ind w:left="55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18E4172">
      <w:start w:val="1"/>
      <w:numFmt w:val="bullet"/>
      <w:lvlText w:val="▪"/>
      <w:lvlJc w:val="left"/>
      <w:pPr>
        <w:ind w:left="622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2" w15:restartNumberingAfterBreak="0">
    <w:nsid w:val="2D4C6E9F"/>
    <w:multiLevelType w:val="hybridMultilevel"/>
    <w:tmpl w:val="116A56AC"/>
    <w:lvl w:ilvl="0" w:tplc="7898D9E8">
      <w:start w:val="1"/>
      <w:numFmt w:val="bullet"/>
      <w:lvlText w:val=""/>
      <w:lvlJc w:val="left"/>
      <w:pPr>
        <w:ind w:left="2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3569726">
      <w:start w:val="1"/>
      <w:numFmt w:val="bullet"/>
      <w:lvlText w:val="o"/>
      <w:lvlJc w:val="left"/>
      <w:pPr>
        <w:ind w:left="11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0DE3E70">
      <w:start w:val="1"/>
      <w:numFmt w:val="bullet"/>
      <w:lvlText w:val="▪"/>
      <w:lvlJc w:val="left"/>
      <w:pPr>
        <w:ind w:left="18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2A87DE8">
      <w:start w:val="1"/>
      <w:numFmt w:val="bullet"/>
      <w:lvlText w:val="•"/>
      <w:lvlJc w:val="left"/>
      <w:pPr>
        <w:ind w:left="25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D9E8AA0">
      <w:start w:val="1"/>
      <w:numFmt w:val="bullet"/>
      <w:lvlText w:val="o"/>
      <w:lvlJc w:val="left"/>
      <w:pPr>
        <w:ind w:left="33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13AAD7C">
      <w:start w:val="1"/>
      <w:numFmt w:val="bullet"/>
      <w:lvlText w:val="▪"/>
      <w:lvlJc w:val="left"/>
      <w:pPr>
        <w:ind w:left="40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6886A14">
      <w:start w:val="1"/>
      <w:numFmt w:val="bullet"/>
      <w:lvlText w:val="•"/>
      <w:lvlJc w:val="left"/>
      <w:pPr>
        <w:ind w:left="47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D54838C">
      <w:start w:val="1"/>
      <w:numFmt w:val="bullet"/>
      <w:lvlText w:val="o"/>
      <w:lvlJc w:val="left"/>
      <w:pPr>
        <w:ind w:left="54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A0EA848">
      <w:start w:val="1"/>
      <w:numFmt w:val="bullet"/>
      <w:lvlText w:val="▪"/>
      <w:lvlJc w:val="left"/>
      <w:pPr>
        <w:ind w:left="61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3" w15:restartNumberingAfterBreak="0">
    <w:nsid w:val="2D50111E"/>
    <w:multiLevelType w:val="hybridMultilevel"/>
    <w:tmpl w:val="AD66A100"/>
    <w:lvl w:ilvl="0" w:tplc="00AADB06">
      <w:start w:val="1"/>
      <w:numFmt w:val="bullet"/>
      <w:lvlText w:val=""/>
      <w:lvlJc w:val="left"/>
      <w:pPr>
        <w:ind w:left="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4F28DC0">
      <w:start w:val="1"/>
      <w:numFmt w:val="bullet"/>
      <w:lvlText w:val="o"/>
      <w:lvlJc w:val="left"/>
      <w:pPr>
        <w:ind w:left="11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A79C95E4">
      <w:start w:val="1"/>
      <w:numFmt w:val="bullet"/>
      <w:lvlText w:val="▪"/>
      <w:lvlJc w:val="left"/>
      <w:pPr>
        <w:ind w:left="18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79A7AC8">
      <w:start w:val="1"/>
      <w:numFmt w:val="bullet"/>
      <w:lvlText w:val="•"/>
      <w:lvlJc w:val="left"/>
      <w:pPr>
        <w:ind w:left="25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F4E077C">
      <w:start w:val="1"/>
      <w:numFmt w:val="bullet"/>
      <w:lvlText w:val="o"/>
      <w:lvlJc w:val="left"/>
      <w:pPr>
        <w:ind w:left="33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4A832E8">
      <w:start w:val="1"/>
      <w:numFmt w:val="bullet"/>
      <w:lvlText w:val="▪"/>
      <w:lvlJc w:val="left"/>
      <w:pPr>
        <w:ind w:left="40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6E43708">
      <w:start w:val="1"/>
      <w:numFmt w:val="bullet"/>
      <w:lvlText w:val="•"/>
      <w:lvlJc w:val="left"/>
      <w:pPr>
        <w:ind w:left="47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B14C79C">
      <w:start w:val="1"/>
      <w:numFmt w:val="bullet"/>
      <w:lvlText w:val="o"/>
      <w:lvlJc w:val="left"/>
      <w:pPr>
        <w:ind w:left="54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962802A">
      <w:start w:val="1"/>
      <w:numFmt w:val="bullet"/>
      <w:lvlText w:val="▪"/>
      <w:lvlJc w:val="left"/>
      <w:pPr>
        <w:ind w:left="61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4" w15:restartNumberingAfterBreak="0">
    <w:nsid w:val="2DE60E2A"/>
    <w:multiLevelType w:val="hybridMultilevel"/>
    <w:tmpl w:val="4A6ED87A"/>
    <w:lvl w:ilvl="0" w:tplc="48F438CA">
      <w:start w:val="5"/>
      <w:numFmt w:val="decimal"/>
      <w:lvlText w:val="%1."/>
      <w:lvlJc w:val="left"/>
      <w:pPr>
        <w:ind w:left="2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91CA876">
      <w:start w:val="1"/>
      <w:numFmt w:val="lowerLetter"/>
      <w:lvlText w:val="%2)"/>
      <w:lvlJc w:val="left"/>
      <w:pPr>
        <w:ind w:left="5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25EC1D2">
      <w:start w:val="1"/>
      <w:numFmt w:val="lowerRoman"/>
      <w:lvlText w:val="%3"/>
      <w:lvlJc w:val="left"/>
      <w:pPr>
        <w:ind w:left="13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D02AE6C">
      <w:start w:val="1"/>
      <w:numFmt w:val="decimal"/>
      <w:lvlText w:val="%4"/>
      <w:lvlJc w:val="left"/>
      <w:pPr>
        <w:ind w:left="2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096724E">
      <w:start w:val="1"/>
      <w:numFmt w:val="lowerLetter"/>
      <w:lvlText w:val="%5"/>
      <w:lvlJc w:val="left"/>
      <w:pPr>
        <w:ind w:left="2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23A90BE">
      <w:start w:val="1"/>
      <w:numFmt w:val="lowerRoman"/>
      <w:lvlText w:val="%6"/>
      <w:lvlJc w:val="left"/>
      <w:pPr>
        <w:ind w:left="3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5864820">
      <w:start w:val="1"/>
      <w:numFmt w:val="decimal"/>
      <w:lvlText w:val="%7"/>
      <w:lvlJc w:val="left"/>
      <w:pPr>
        <w:ind w:left="4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8583AE8">
      <w:start w:val="1"/>
      <w:numFmt w:val="lowerLetter"/>
      <w:lvlText w:val="%8"/>
      <w:lvlJc w:val="left"/>
      <w:pPr>
        <w:ind w:left="49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32AADC">
      <w:start w:val="1"/>
      <w:numFmt w:val="lowerRoman"/>
      <w:lvlText w:val="%9"/>
      <w:lvlJc w:val="left"/>
      <w:pPr>
        <w:ind w:left="56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30E0508C"/>
    <w:multiLevelType w:val="hybridMultilevel"/>
    <w:tmpl w:val="B8B0CABA"/>
    <w:lvl w:ilvl="0" w:tplc="E3AE449E">
      <w:start w:val="1"/>
      <w:numFmt w:val="bullet"/>
      <w:lvlText w:val="•"/>
      <w:lvlJc w:val="left"/>
      <w:pPr>
        <w:ind w:left="2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DE6350A">
      <w:start w:val="1"/>
      <w:numFmt w:val="bullet"/>
      <w:lvlText w:val="o"/>
      <w:lvlJc w:val="left"/>
      <w:pPr>
        <w:ind w:left="11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164B00C">
      <w:start w:val="1"/>
      <w:numFmt w:val="bullet"/>
      <w:lvlText w:val="▪"/>
      <w:lvlJc w:val="left"/>
      <w:pPr>
        <w:ind w:left="19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EC440E6">
      <w:start w:val="1"/>
      <w:numFmt w:val="bullet"/>
      <w:lvlText w:val="•"/>
      <w:lvlJc w:val="left"/>
      <w:pPr>
        <w:ind w:left="26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4E0852E">
      <w:start w:val="1"/>
      <w:numFmt w:val="bullet"/>
      <w:lvlText w:val="o"/>
      <w:lvlJc w:val="left"/>
      <w:pPr>
        <w:ind w:left="33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F4AC9A4">
      <w:start w:val="1"/>
      <w:numFmt w:val="bullet"/>
      <w:lvlText w:val="▪"/>
      <w:lvlJc w:val="left"/>
      <w:pPr>
        <w:ind w:left="40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50E4BDA0">
      <w:start w:val="1"/>
      <w:numFmt w:val="bullet"/>
      <w:lvlText w:val="•"/>
      <w:lvlJc w:val="left"/>
      <w:pPr>
        <w:ind w:left="47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0AED162">
      <w:start w:val="1"/>
      <w:numFmt w:val="bullet"/>
      <w:lvlText w:val="o"/>
      <w:lvlJc w:val="left"/>
      <w:pPr>
        <w:ind w:left="55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7EC6CEA">
      <w:start w:val="1"/>
      <w:numFmt w:val="bullet"/>
      <w:lvlText w:val="▪"/>
      <w:lvlJc w:val="left"/>
      <w:pPr>
        <w:ind w:left="62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6" w15:restartNumberingAfterBreak="0">
    <w:nsid w:val="33BB444B"/>
    <w:multiLevelType w:val="hybridMultilevel"/>
    <w:tmpl w:val="49C4649C"/>
    <w:lvl w:ilvl="0" w:tplc="2FF408EE">
      <w:start w:val="1"/>
      <w:numFmt w:val="bullet"/>
      <w:lvlText w:val="-"/>
      <w:lvlJc w:val="left"/>
      <w:pPr>
        <w:ind w:left="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458B54C">
      <w:start w:val="1"/>
      <w:numFmt w:val="bullet"/>
      <w:lvlText w:val="o"/>
      <w:lvlJc w:val="left"/>
      <w:pPr>
        <w:ind w:left="1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D9CE248">
      <w:start w:val="1"/>
      <w:numFmt w:val="bullet"/>
      <w:lvlText w:val="▪"/>
      <w:lvlJc w:val="left"/>
      <w:pPr>
        <w:ind w:left="1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09C6DAA">
      <w:start w:val="1"/>
      <w:numFmt w:val="bullet"/>
      <w:lvlText w:val="•"/>
      <w:lvlJc w:val="left"/>
      <w:pPr>
        <w:ind w:left="2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D8A940C">
      <w:start w:val="1"/>
      <w:numFmt w:val="bullet"/>
      <w:lvlText w:val="o"/>
      <w:lvlJc w:val="left"/>
      <w:pPr>
        <w:ind w:left="33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0A6208E">
      <w:start w:val="1"/>
      <w:numFmt w:val="bullet"/>
      <w:lvlText w:val="▪"/>
      <w:lvlJc w:val="left"/>
      <w:pPr>
        <w:ind w:left="40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DF6E52A">
      <w:start w:val="1"/>
      <w:numFmt w:val="bullet"/>
      <w:lvlText w:val="•"/>
      <w:lvlJc w:val="left"/>
      <w:pPr>
        <w:ind w:left="47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F0A2AB4">
      <w:start w:val="1"/>
      <w:numFmt w:val="bullet"/>
      <w:lvlText w:val="o"/>
      <w:lvlJc w:val="left"/>
      <w:pPr>
        <w:ind w:left="54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1921E4A">
      <w:start w:val="1"/>
      <w:numFmt w:val="bullet"/>
      <w:lvlText w:val="▪"/>
      <w:lvlJc w:val="left"/>
      <w:pPr>
        <w:ind w:left="61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7" w15:restartNumberingAfterBreak="0">
    <w:nsid w:val="33EE618E"/>
    <w:multiLevelType w:val="hybridMultilevel"/>
    <w:tmpl w:val="86724264"/>
    <w:lvl w:ilvl="0" w:tplc="851E5EDE">
      <w:start w:val="1"/>
      <w:numFmt w:val="bullet"/>
      <w:lvlText w:val="-"/>
      <w:lvlJc w:val="left"/>
      <w:pPr>
        <w:ind w:left="9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E318A972">
      <w:start w:val="1"/>
      <w:numFmt w:val="bullet"/>
      <w:lvlText w:val="o"/>
      <w:lvlJc w:val="left"/>
      <w:pPr>
        <w:ind w:left="11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E7B49596">
      <w:start w:val="1"/>
      <w:numFmt w:val="bullet"/>
      <w:lvlText w:val="▪"/>
      <w:lvlJc w:val="left"/>
      <w:pPr>
        <w:ind w:left="18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3DFA2406">
      <w:start w:val="1"/>
      <w:numFmt w:val="bullet"/>
      <w:lvlText w:val="•"/>
      <w:lvlJc w:val="left"/>
      <w:pPr>
        <w:ind w:left="25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6010C004">
      <w:start w:val="1"/>
      <w:numFmt w:val="bullet"/>
      <w:lvlText w:val="o"/>
      <w:lvlJc w:val="left"/>
      <w:pPr>
        <w:ind w:left="33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E746EC44">
      <w:start w:val="1"/>
      <w:numFmt w:val="bullet"/>
      <w:lvlText w:val="▪"/>
      <w:lvlJc w:val="left"/>
      <w:pPr>
        <w:ind w:left="403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8D56AD84">
      <w:start w:val="1"/>
      <w:numFmt w:val="bullet"/>
      <w:lvlText w:val="•"/>
      <w:lvlJc w:val="left"/>
      <w:pPr>
        <w:ind w:left="47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41B07426">
      <w:start w:val="1"/>
      <w:numFmt w:val="bullet"/>
      <w:lvlText w:val="o"/>
      <w:lvlJc w:val="left"/>
      <w:pPr>
        <w:ind w:left="54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3EC6A360">
      <w:start w:val="1"/>
      <w:numFmt w:val="bullet"/>
      <w:lvlText w:val="▪"/>
      <w:lvlJc w:val="left"/>
      <w:pPr>
        <w:ind w:left="61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48" w15:restartNumberingAfterBreak="0">
    <w:nsid w:val="37E91D4D"/>
    <w:multiLevelType w:val="hybridMultilevel"/>
    <w:tmpl w:val="A1C6BB84"/>
    <w:lvl w:ilvl="0" w:tplc="2872EC00">
      <w:start w:val="1"/>
      <w:numFmt w:val="bullet"/>
      <w:lvlText w:val="-"/>
      <w:lvlJc w:val="left"/>
      <w:pPr>
        <w:ind w:left="9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68AC020E">
      <w:start w:val="1"/>
      <w:numFmt w:val="bullet"/>
      <w:lvlText w:val="o"/>
      <w:lvlJc w:val="left"/>
      <w:pPr>
        <w:ind w:left="11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0CFC60DE">
      <w:start w:val="1"/>
      <w:numFmt w:val="bullet"/>
      <w:lvlText w:val="▪"/>
      <w:lvlJc w:val="left"/>
      <w:pPr>
        <w:ind w:left="18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9FECA91A">
      <w:start w:val="1"/>
      <w:numFmt w:val="bullet"/>
      <w:lvlText w:val="•"/>
      <w:lvlJc w:val="left"/>
      <w:pPr>
        <w:ind w:left="25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D1AAF2C6">
      <w:start w:val="1"/>
      <w:numFmt w:val="bullet"/>
      <w:lvlText w:val="o"/>
      <w:lvlJc w:val="left"/>
      <w:pPr>
        <w:ind w:left="33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429CEAE6">
      <w:start w:val="1"/>
      <w:numFmt w:val="bullet"/>
      <w:lvlText w:val="▪"/>
      <w:lvlJc w:val="left"/>
      <w:pPr>
        <w:ind w:left="403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00865B06">
      <w:start w:val="1"/>
      <w:numFmt w:val="bullet"/>
      <w:lvlText w:val="•"/>
      <w:lvlJc w:val="left"/>
      <w:pPr>
        <w:ind w:left="47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58F66AAA">
      <w:start w:val="1"/>
      <w:numFmt w:val="bullet"/>
      <w:lvlText w:val="o"/>
      <w:lvlJc w:val="left"/>
      <w:pPr>
        <w:ind w:left="54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925C5190">
      <w:start w:val="1"/>
      <w:numFmt w:val="bullet"/>
      <w:lvlText w:val="▪"/>
      <w:lvlJc w:val="left"/>
      <w:pPr>
        <w:ind w:left="61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49" w15:restartNumberingAfterBreak="0">
    <w:nsid w:val="384A2A5E"/>
    <w:multiLevelType w:val="hybridMultilevel"/>
    <w:tmpl w:val="0BD43054"/>
    <w:lvl w:ilvl="0" w:tplc="94D09E4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68CC42">
      <w:start w:val="1"/>
      <w:numFmt w:val="lowerLetter"/>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7A000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62BFD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50F94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62AB1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6A434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BED79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62656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395A01DA"/>
    <w:multiLevelType w:val="hybridMultilevel"/>
    <w:tmpl w:val="5E2E6150"/>
    <w:lvl w:ilvl="0" w:tplc="998276D2">
      <w:start w:val="2"/>
      <w:numFmt w:val="lowerRoman"/>
      <w:lvlText w:val="%1)"/>
      <w:lvlJc w:val="left"/>
      <w:pPr>
        <w:ind w:left="14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A20A4A2">
      <w:start w:val="1"/>
      <w:numFmt w:val="lowerLetter"/>
      <w:lvlText w:val="%2"/>
      <w:lvlJc w:val="left"/>
      <w:pPr>
        <w:ind w:left="133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792BA7E">
      <w:start w:val="1"/>
      <w:numFmt w:val="lowerRoman"/>
      <w:lvlText w:val="%3"/>
      <w:lvlJc w:val="left"/>
      <w:pPr>
        <w:ind w:left="20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BB846C0">
      <w:start w:val="1"/>
      <w:numFmt w:val="decimal"/>
      <w:lvlText w:val="%4"/>
      <w:lvlJc w:val="left"/>
      <w:pPr>
        <w:ind w:left="27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83A4CCC">
      <w:start w:val="1"/>
      <w:numFmt w:val="lowerLetter"/>
      <w:lvlText w:val="%5"/>
      <w:lvlJc w:val="left"/>
      <w:pPr>
        <w:ind w:left="34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D34EFA6">
      <w:start w:val="1"/>
      <w:numFmt w:val="lowerRoman"/>
      <w:lvlText w:val="%6"/>
      <w:lvlJc w:val="left"/>
      <w:pPr>
        <w:ind w:left="42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4D64424">
      <w:start w:val="1"/>
      <w:numFmt w:val="decimal"/>
      <w:lvlText w:val="%7"/>
      <w:lvlJc w:val="left"/>
      <w:pPr>
        <w:ind w:left="493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22AA072">
      <w:start w:val="1"/>
      <w:numFmt w:val="lowerLetter"/>
      <w:lvlText w:val="%8"/>
      <w:lvlJc w:val="left"/>
      <w:pPr>
        <w:ind w:left="56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C49C34CC">
      <w:start w:val="1"/>
      <w:numFmt w:val="lowerRoman"/>
      <w:lvlText w:val="%9"/>
      <w:lvlJc w:val="left"/>
      <w:pPr>
        <w:ind w:left="63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1" w15:restartNumberingAfterBreak="0">
    <w:nsid w:val="3BDF1861"/>
    <w:multiLevelType w:val="hybridMultilevel"/>
    <w:tmpl w:val="D8A847E0"/>
    <w:lvl w:ilvl="0" w:tplc="E73A4B36">
      <w:start w:val="21"/>
      <w:numFmt w:val="upperLetter"/>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8117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4D4284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7C4D6B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A9E4EE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62A5E9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D72219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6565ED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17670C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3C5D7E37"/>
    <w:multiLevelType w:val="hybridMultilevel"/>
    <w:tmpl w:val="8F4CBEB2"/>
    <w:lvl w:ilvl="0" w:tplc="4F84E1A4">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B6693CC">
      <w:start w:val="2"/>
      <w:numFmt w:val="lowerLetter"/>
      <w:lvlText w:val="%2)"/>
      <w:lvlJc w:val="left"/>
      <w:pPr>
        <w:ind w:left="5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542846A">
      <w:start w:val="1"/>
      <w:numFmt w:val="lowerRoman"/>
      <w:lvlText w:val="%3"/>
      <w:lvlJc w:val="left"/>
      <w:pPr>
        <w:ind w:left="13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08A0A8C">
      <w:start w:val="1"/>
      <w:numFmt w:val="decimal"/>
      <w:lvlText w:val="%4"/>
      <w:lvlJc w:val="left"/>
      <w:pPr>
        <w:ind w:left="2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2AC4B96">
      <w:start w:val="1"/>
      <w:numFmt w:val="lowerLetter"/>
      <w:lvlText w:val="%5"/>
      <w:lvlJc w:val="left"/>
      <w:pPr>
        <w:ind w:left="2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E4AEA0C">
      <w:start w:val="1"/>
      <w:numFmt w:val="lowerRoman"/>
      <w:lvlText w:val="%6"/>
      <w:lvlJc w:val="left"/>
      <w:pPr>
        <w:ind w:left="3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C28F714">
      <w:start w:val="1"/>
      <w:numFmt w:val="decimal"/>
      <w:lvlText w:val="%7"/>
      <w:lvlJc w:val="left"/>
      <w:pPr>
        <w:ind w:left="4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65EF6DA">
      <w:start w:val="1"/>
      <w:numFmt w:val="lowerLetter"/>
      <w:lvlText w:val="%8"/>
      <w:lvlJc w:val="left"/>
      <w:pPr>
        <w:ind w:left="49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8400B86">
      <w:start w:val="1"/>
      <w:numFmt w:val="lowerRoman"/>
      <w:lvlText w:val="%9"/>
      <w:lvlJc w:val="left"/>
      <w:pPr>
        <w:ind w:left="56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3D32705E"/>
    <w:multiLevelType w:val="hybridMultilevel"/>
    <w:tmpl w:val="4516A934"/>
    <w:lvl w:ilvl="0" w:tplc="DC30BDF4">
      <w:start w:val="1"/>
      <w:numFmt w:val="bullet"/>
      <w:lvlText w:val="-"/>
      <w:lvlJc w:val="left"/>
      <w:pPr>
        <w:ind w:left="4"/>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D076E0C2">
      <w:start w:val="1"/>
      <w:numFmt w:val="bullet"/>
      <w:lvlText w:val="o"/>
      <w:lvlJc w:val="left"/>
      <w:pPr>
        <w:ind w:left="11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248C9C8A">
      <w:start w:val="1"/>
      <w:numFmt w:val="bullet"/>
      <w:lvlText w:val="▪"/>
      <w:lvlJc w:val="left"/>
      <w:pPr>
        <w:ind w:left="18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07185C3E">
      <w:start w:val="1"/>
      <w:numFmt w:val="bullet"/>
      <w:lvlText w:val="•"/>
      <w:lvlJc w:val="left"/>
      <w:pPr>
        <w:ind w:left="25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0A98A94C">
      <w:start w:val="1"/>
      <w:numFmt w:val="bullet"/>
      <w:lvlText w:val="o"/>
      <w:lvlJc w:val="left"/>
      <w:pPr>
        <w:ind w:left="33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65EA53CC">
      <w:start w:val="1"/>
      <w:numFmt w:val="bullet"/>
      <w:lvlText w:val="▪"/>
      <w:lvlJc w:val="left"/>
      <w:pPr>
        <w:ind w:left="403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2AD475F0">
      <w:start w:val="1"/>
      <w:numFmt w:val="bullet"/>
      <w:lvlText w:val="•"/>
      <w:lvlJc w:val="left"/>
      <w:pPr>
        <w:ind w:left="47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DF545D36">
      <w:start w:val="1"/>
      <w:numFmt w:val="bullet"/>
      <w:lvlText w:val="o"/>
      <w:lvlJc w:val="left"/>
      <w:pPr>
        <w:ind w:left="54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3B8AA74A">
      <w:start w:val="1"/>
      <w:numFmt w:val="bullet"/>
      <w:lvlText w:val="▪"/>
      <w:lvlJc w:val="left"/>
      <w:pPr>
        <w:ind w:left="61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54" w15:restartNumberingAfterBreak="0">
    <w:nsid w:val="3E1913BB"/>
    <w:multiLevelType w:val="hybridMultilevel"/>
    <w:tmpl w:val="67386D3C"/>
    <w:lvl w:ilvl="0" w:tplc="0F0EE102">
      <w:start w:val="1"/>
      <w:numFmt w:val="lowerLetter"/>
      <w:lvlText w:val="%1)"/>
      <w:lvlJc w:val="left"/>
      <w:pPr>
        <w:ind w:left="14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E626488">
      <w:start w:val="1"/>
      <w:numFmt w:val="lowerLetter"/>
      <w:lvlText w:val="%2"/>
      <w:lvlJc w:val="left"/>
      <w:pPr>
        <w:ind w:left="135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B5AE50C">
      <w:start w:val="1"/>
      <w:numFmt w:val="lowerRoman"/>
      <w:lvlText w:val="%3"/>
      <w:lvlJc w:val="left"/>
      <w:pPr>
        <w:ind w:left="207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A1024282">
      <w:start w:val="1"/>
      <w:numFmt w:val="decimal"/>
      <w:lvlText w:val="%4"/>
      <w:lvlJc w:val="left"/>
      <w:pPr>
        <w:ind w:left="279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E4AFC94">
      <w:start w:val="1"/>
      <w:numFmt w:val="lowerLetter"/>
      <w:lvlText w:val="%5"/>
      <w:lvlJc w:val="left"/>
      <w:pPr>
        <w:ind w:left="351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64547BF2">
      <w:start w:val="1"/>
      <w:numFmt w:val="lowerRoman"/>
      <w:lvlText w:val="%6"/>
      <w:lvlJc w:val="left"/>
      <w:pPr>
        <w:ind w:left="423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9424B116">
      <w:start w:val="1"/>
      <w:numFmt w:val="decimal"/>
      <w:lvlText w:val="%7"/>
      <w:lvlJc w:val="left"/>
      <w:pPr>
        <w:ind w:left="495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2A2D048">
      <w:start w:val="1"/>
      <w:numFmt w:val="lowerLetter"/>
      <w:lvlText w:val="%8"/>
      <w:lvlJc w:val="left"/>
      <w:pPr>
        <w:ind w:left="567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56E9C7E">
      <w:start w:val="1"/>
      <w:numFmt w:val="lowerRoman"/>
      <w:lvlText w:val="%9"/>
      <w:lvlJc w:val="left"/>
      <w:pPr>
        <w:ind w:left="639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5" w15:restartNumberingAfterBreak="0">
    <w:nsid w:val="3FE15D94"/>
    <w:multiLevelType w:val="hybridMultilevel"/>
    <w:tmpl w:val="926A8CA8"/>
    <w:lvl w:ilvl="0" w:tplc="B15483C0">
      <w:start w:val="1"/>
      <w:numFmt w:val="bullet"/>
      <w:lvlText w:val="-"/>
      <w:lvlJc w:val="left"/>
      <w:pPr>
        <w:ind w:left="9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DDC8C6D6">
      <w:start w:val="1"/>
      <w:numFmt w:val="bullet"/>
      <w:lvlText w:val="o"/>
      <w:lvlJc w:val="left"/>
      <w:pPr>
        <w:ind w:left="11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90F6D982">
      <w:start w:val="1"/>
      <w:numFmt w:val="bullet"/>
      <w:lvlText w:val="▪"/>
      <w:lvlJc w:val="left"/>
      <w:pPr>
        <w:ind w:left="18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06C28C7A">
      <w:start w:val="1"/>
      <w:numFmt w:val="bullet"/>
      <w:lvlText w:val="•"/>
      <w:lvlJc w:val="left"/>
      <w:pPr>
        <w:ind w:left="25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B90C727A">
      <w:start w:val="1"/>
      <w:numFmt w:val="bullet"/>
      <w:lvlText w:val="o"/>
      <w:lvlJc w:val="left"/>
      <w:pPr>
        <w:ind w:left="33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2DD83146">
      <w:start w:val="1"/>
      <w:numFmt w:val="bullet"/>
      <w:lvlText w:val="▪"/>
      <w:lvlJc w:val="left"/>
      <w:pPr>
        <w:ind w:left="403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A874EC22">
      <w:start w:val="1"/>
      <w:numFmt w:val="bullet"/>
      <w:lvlText w:val="•"/>
      <w:lvlJc w:val="left"/>
      <w:pPr>
        <w:ind w:left="47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7944BFA6">
      <w:start w:val="1"/>
      <w:numFmt w:val="bullet"/>
      <w:lvlText w:val="o"/>
      <w:lvlJc w:val="left"/>
      <w:pPr>
        <w:ind w:left="54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C42ED208">
      <w:start w:val="1"/>
      <w:numFmt w:val="bullet"/>
      <w:lvlText w:val="▪"/>
      <w:lvlJc w:val="left"/>
      <w:pPr>
        <w:ind w:left="61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56" w15:restartNumberingAfterBreak="0">
    <w:nsid w:val="406074B7"/>
    <w:multiLevelType w:val="hybridMultilevel"/>
    <w:tmpl w:val="AD40E89A"/>
    <w:lvl w:ilvl="0" w:tplc="0A501F5A">
      <w:start w:val="1"/>
      <w:numFmt w:val="decimal"/>
      <w:lvlText w:val="%1."/>
      <w:lvlJc w:val="left"/>
      <w:pPr>
        <w:ind w:left="2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A004B48">
      <w:start w:val="1"/>
      <w:numFmt w:val="lowerLetter"/>
      <w:lvlText w:val="%2)"/>
      <w:lvlJc w:val="left"/>
      <w:pPr>
        <w:ind w:left="5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F69178">
      <w:start w:val="1"/>
      <w:numFmt w:val="lowerRoman"/>
      <w:lvlText w:val="%3"/>
      <w:lvlJc w:val="left"/>
      <w:pPr>
        <w:ind w:left="13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214A208">
      <w:start w:val="1"/>
      <w:numFmt w:val="decimal"/>
      <w:lvlText w:val="%4"/>
      <w:lvlJc w:val="left"/>
      <w:pPr>
        <w:ind w:left="2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E626CF0">
      <w:start w:val="1"/>
      <w:numFmt w:val="lowerLetter"/>
      <w:lvlText w:val="%5"/>
      <w:lvlJc w:val="left"/>
      <w:pPr>
        <w:ind w:left="2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C1EB1EC">
      <w:start w:val="1"/>
      <w:numFmt w:val="lowerRoman"/>
      <w:lvlText w:val="%6"/>
      <w:lvlJc w:val="left"/>
      <w:pPr>
        <w:ind w:left="3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49A5D88">
      <w:start w:val="1"/>
      <w:numFmt w:val="decimal"/>
      <w:lvlText w:val="%7"/>
      <w:lvlJc w:val="left"/>
      <w:pPr>
        <w:ind w:left="4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DB6DC66">
      <w:start w:val="1"/>
      <w:numFmt w:val="lowerLetter"/>
      <w:lvlText w:val="%8"/>
      <w:lvlJc w:val="left"/>
      <w:pPr>
        <w:ind w:left="49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1229684">
      <w:start w:val="1"/>
      <w:numFmt w:val="lowerRoman"/>
      <w:lvlText w:val="%9"/>
      <w:lvlJc w:val="left"/>
      <w:pPr>
        <w:ind w:left="56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40BC310E"/>
    <w:multiLevelType w:val="hybridMultilevel"/>
    <w:tmpl w:val="2996BDFA"/>
    <w:lvl w:ilvl="0" w:tplc="BF165E18">
      <w:start w:val="1"/>
      <w:numFmt w:val="bullet"/>
      <w:lvlText w:val="-"/>
      <w:lvlJc w:val="left"/>
      <w:pPr>
        <w:ind w:left="94"/>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3952636A">
      <w:start w:val="1"/>
      <w:numFmt w:val="bullet"/>
      <w:lvlText w:val="o"/>
      <w:lvlJc w:val="left"/>
      <w:pPr>
        <w:ind w:left="11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2F64997C">
      <w:start w:val="1"/>
      <w:numFmt w:val="bullet"/>
      <w:lvlText w:val="▪"/>
      <w:lvlJc w:val="left"/>
      <w:pPr>
        <w:ind w:left="18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D310A630">
      <w:start w:val="1"/>
      <w:numFmt w:val="bullet"/>
      <w:lvlText w:val="•"/>
      <w:lvlJc w:val="left"/>
      <w:pPr>
        <w:ind w:left="25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2F7AC314">
      <w:start w:val="1"/>
      <w:numFmt w:val="bullet"/>
      <w:lvlText w:val="o"/>
      <w:lvlJc w:val="left"/>
      <w:pPr>
        <w:ind w:left="33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48A8B7A6">
      <w:start w:val="1"/>
      <w:numFmt w:val="bullet"/>
      <w:lvlText w:val="▪"/>
      <w:lvlJc w:val="left"/>
      <w:pPr>
        <w:ind w:left="403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02FCF3D0">
      <w:start w:val="1"/>
      <w:numFmt w:val="bullet"/>
      <w:lvlText w:val="•"/>
      <w:lvlJc w:val="left"/>
      <w:pPr>
        <w:ind w:left="47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30CC47A0">
      <w:start w:val="1"/>
      <w:numFmt w:val="bullet"/>
      <w:lvlText w:val="o"/>
      <w:lvlJc w:val="left"/>
      <w:pPr>
        <w:ind w:left="54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324AAF66">
      <w:start w:val="1"/>
      <w:numFmt w:val="bullet"/>
      <w:lvlText w:val="▪"/>
      <w:lvlJc w:val="left"/>
      <w:pPr>
        <w:ind w:left="61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58" w15:restartNumberingAfterBreak="0">
    <w:nsid w:val="413C67C6"/>
    <w:multiLevelType w:val="hybridMultilevel"/>
    <w:tmpl w:val="E35C00AC"/>
    <w:lvl w:ilvl="0" w:tplc="157A6E48">
      <w:start w:val="1"/>
      <w:numFmt w:val="bullet"/>
      <w:lvlText w:val="-"/>
      <w:lvlJc w:val="left"/>
      <w:pPr>
        <w:ind w:left="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82C1CCC">
      <w:start w:val="1"/>
      <w:numFmt w:val="bullet"/>
      <w:lvlText w:val="o"/>
      <w:lvlJc w:val="left"/>
      <w:pPr>
        <w:ind w:left="1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CE2B366">
      <w:start w:val="1"/>
      <w:numFmt w:val="bullet"/>
      <w:lvlText w:val="▪"/>
      <w:lvlJc w:val="left"/>
      <w:pPr>
        <w:ind w:left="1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55A9DF0">
      <w:start w:val="1"/>
      <w:numFmt w:val="bullet"/>
      <w:lvlText w:val="•"/>
      <w:lvlJc w:val="left"/>
      <w:pPr>
        <w:ind w:left="2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A4AC892">
      <w:start w:val="1"/>
      <w:numFmt w:val="bullet"/>
      <w:lvlText w:val="o"/>
      <w:lvlJc w:val="left"/>
      <w:pPr>
        <w:ind w:left="33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4F4F57A">
      <w:start w:val="1"/>
      <w:numFmt w:val="bullet"/>
      <w:lvlText w:val="▪"/>
      <w:lvlJc w:val="left"/>
      <w:pPr>
        <w:ind w:left="40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61C5206">
      <w:start w:val="1"/>
      <w:numFmt w:val="bullet"/>
      <w:lvlText w:val="•"/>
      <w:lvlJc w:val="left"/>
      <w:pPr>
        <w:ind w:left="47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E6CA9D0">
      <w:start w:val="1"/>
      <w:numFmt w:val="bullet"/>
      <w:lvlText w:val="o"/>
      <w:lvlJc w:val="left"/>
      <w:pPr>
        <w:ind w:left="54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252EC9E">
      <w:start w:val="1"/>
      <w:numFmt w:val="bullet"/>
      <w:lvlText w:val="▪"/>
      <w:lvlJc w:val="left"/>
      <w:pPr>
        <w:ind w:left="61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9" w15:restartNumberingAfterBreak="0">
    <w:nsid w:val="415050FB"/>
    <w:multiLevelType w:val="hybridMultilevel"/>
    <w:tmpl w:val="C590D1C4"/>
    <w:lvl w:ilvl="0" w:tplc="FBFCBA36">
      <w:start w:val="1"/>
      <w:numFmt w:val="bullet"/>
      <w:lvlText w:val="-"/>
      <w:lvlJc w:val="left"/>
      <w:pPr>
        <w:ind w:left="4"/>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3CA4C7C0">
      <w:start w:val="1"/>
      <w:numFmt w:val="bullet"/>
      <w:lvlText w:val="o"/>
      <w:lvlJc w:val="left"/>
      <w:pPr>
        <w:ind w:left="11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B9C89D2C">
      <w:start w:val="1"/>
      <w:numFmt w:val="bullet"/>
      <w:lvlText w:val="▪"/>
      <w:lvlJc w:val="left"/>
      <w:pPr>
        <w:ind w:left="18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2048ED18">
      <w:start w:val="1"/>
      <w:numFmt w:val="bullet"/>
      <w:lvlText w:val="•"/>
      <w:lvlJc w:val="left"/>
      <w:pPr>
        <w:ind w:left="25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5D840E1E">
      <w:start w:val="1"/>
      <w:numFmt w:val="bullet"/>
      <w:lvlText w:val="o"/>
      <w:lvlJc w:val="left"/>
      <w:pPr>
        <w:ind w:left="33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D6202FAA">
      <w:start w:val="1"/>
      <w:numFmt w:val="bullet"/>
      <w:lvlText w:val="▪"/>
      <w:lvlJc w:val="left"/>
      <w:pPr>
        <w:ind w:left="403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F4E6E572">
      <w:start w:val="1"/>
      <w:numFmt w:val="bullet"/>
      <w:lvlText w:val="•"/>
      <w:lvlJc w:val="left"/>
      <w:pPr>
        <w:ind w:left="47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DF5684D4">
      <w:start w:val="1"/>
      <w:numFmt w:val="bullet"/>
      <w:lvlText w:val="o"/>
      <w:lvlJc w:val="left"/>
      <w:pPr>
        <w:ind w:left="54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20D29DAE">
      <w:start w:val="1"/>
      <w:numFmt w:val="bullet"/>
      <w:lvlText w:val="▪"/>
      <w:lvlJc w:val="left"/>
      <w:pPr>
        <w:ind w:left="61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60" w15:restartNumberingAfterBreak="0">
    <w:nsid w:val="41AA52AB"/>
    <w:multiLevelType w:val="hybridMultilevel"/>
    <w:tmpl w:val="667E5350"/>
    <w:lvl w:ilvl="0" w:tplc="91DACF3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EE89D2">
      <w:start w:val="1"/>
      <w:numFmt w:val="lowerLetter"/>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A0791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48FC8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8C7E7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D4342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2E2BC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9C8DD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12B3F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4833143D"/>
    <w:multiLevelType w:val="hybridMultilevel"/>
    <w:tmpl w:val="3720203A"/>
    <w:lvl w:ilvl="0" w:tplc="C72EC5B8">
      <w:start w:val="1"/>
      <w:numFmt w:val="decimal"/>
      <w:lvlText w:val="%1."/>
      <w:lvlJc w:val="left"/>
      <w:pPr>
        <w:ind w:left="2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6B62F48">
      <w:start w:val="2"/>
      <w:numFmt w:val="lowerLetter"/>
      <w:lvlText w:val="%2)"/>
      <w:lvlJc w:val="left"/>
      <w:pPr>
        <w:ind w:left="5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6729448">
      <w:start w:val="1"/>
      <w:numFmt w:val="lowerRoman"/>
      <w:lvlText w:val="%3"/>
      <w:lvlJc w:val="left"/>
      <w:pPr>
        <w:ind w:left="13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256B05A">
      <w:start w:val="1"/>
      <w:numFmt w:val="decimal"/>
      <w:lvlText w:val="%4"/>
      <w:lvlJc w:val="left"/>
      <w:pPr>
        <w:ind w:left="2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D62C104">
      <w:start w:val="1"/>
      <w:numFmt w:val="lowerLetter"/>
      <w:lvlText w:val="%5"/>
      <w:lvlJc w:val="left"/>
      <w:pPr>
        <w:ind w:left="2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9702956">
      <w:start w:val="1"/>
      <w:numFmt w:val="lowerRoman"/>
      <w:lvlText w:val="%6"/>
      <w:lvlJc w:val="left"/>
      <w:pPr>
        <w:ind w:left="3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74016C8">
      <w:start w:val="1"/>
      <w:numFmt w:val="decimal"/>
      <w:lvlText w:val="%7"/>
      <w:lvlJc w:val="left"/>
      <w:pPr>
        <w:ind w:left="4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BF06664">
      <w:start w:val="1"/>
      <w:numFmt w:val="lowerLetter"/>
      <w:lvlText w:val="%8"/>
      <w:lvlJc w:val="left"/>
      <w:pPr>
        <w:ind w:left="49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6FA667A">
      <w:start w:val="1"/>
      <w:numFmt w:val="lowerRoman"/>
      <w:lvlText w:val="%9"/>
      <w:lvlJc w:val="left"/>
      <w:pPr>
        <w:ind w:left="56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4B320B89"/>
    <w:multiLevelType w:val="hybridMultilevel"/>
    <w:tmpl w:val="5C1895D2"/>
    <w:lvl w:ilvl="0" w:tplc="21E479D0">
      <w:start w:val="1"/>
      <w:numFmt w:val="lowerLetter"/>
      <w:lvlText w:val="%1)"/>
      <w:lvlJc w:val="left"/>
      <w:pPr>
        <w:ind w:left="5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B0C8BE2">
      <w:start w:val="1"/>
      <w:numFmt w:val="lowerLetter"/>
      <w:lvlText w:val="%2"/>
      <w:lvlJc w:val="left"/>
      <w:pPr>
        <w:ind w:left="13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8FE0EDA">
      <w:start w:val="1"/>
      <w:numFmt w:val="lowerRoman"/>
      <w:lvlText w:val="%3"/>
      <w:lvlJc w:val="left"/>
      <w:pPr>
        <w:ind w:left="2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C786166">
      <w:start w:val="1"/>
      <w:numFmt w:val="decimal"/>
      <w:lvlText w:val="%4"/>
      <w:lvlJc w:val="left"/>
      <w:pPr>
        <w:ind w:left="2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EAC3888">
      <w:start w:val="1"/>
      <w:numFmt w:val="lowerLetter"/>
      <w:lvlText w:val="%5"/>
      <w:lvlJc w:val="left"/>
      <w:pPr>
        <w:ind w:left="3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646E6A0">
      <w:start w:val="1"/>
      <w:numFmt w:val="lowerRoman"/>
      <w:lvlText w:val="%6"/>
      <w:lvlJc w:val="left"/>
      <w:pPr>
        <w:ind w:left="4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A1E7938">
      <w:start w:val="1"/>
      <w:numFmt w:val="decimal"/>
      <w:lvlText w:val="%7"/>
      <w:lvlJc w:val="left"/>
      <w:pPr>
        <w:ind w:left="49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4DA7800">
      <w:start w:val="1"/>
      <w:numFmt w:val="lowerLetter"/>
      <w:lvlText w:val="%8"/>
      <w:lvlJc w:val="left"/>
      <w:pPr>
        <w:ind w:left="56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6B2D02C">
      <w:start w:val="1"/>
      <w:numFmt w:val="lowerRoman"/>
      <w:lvlText w:val="%9"/>
      <w:lvlJc w:val="left"/>
      <w:pPr>
        <w:ind w:left="63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3" w15:restartNumberingAfterBreak="0">
    <w:nsid w:val="4C791620"/>
    <w:multiLevelType w:val="hybridMultilevel"/>
    <w:tmpl w:val="D8C2446A"/>
    <w:lvl w:ilvl="0" w:tplc="F1C25A6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B05228">
      <w:start w:val="1"/>
      <w:numFmt w:val="lowerRoman"/>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34361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4853F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E8289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A4AD2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DE3DF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FCB38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94898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4CA34461"/>
    <w:multiLevelType w:val="hybridMultilevel"/>
    <w:tmpl w:val="F39649E8"/>
    <w:lvl w:ilvl="0" w:tplc="9E047F6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BAE182">
      <w:start w:val="1"/>
      <w:numFmt w:val="lowerLetter"/>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64E9E2">
      <w:start w:val="2"/>
      <w:numFmt w:val="lowerRoman"/>
      <w:lvlText w:val="%3)"/>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12850E">
      <w:start w:val="1"/>
      <w:numFmt w:val="decimal"/>
      <w:lvlText w:val="%4"/>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C64344">
      <w:start w:val="1"/>
      <w:numFmt w:val="lowerLetter"/>
      <w:lvlText w:val="%5"/>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00B648">
      <w:start w:val="1"/>
      <w:numFmt w:val="lowerRoman"/>
      <w:lvlText w:val="%6"/>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92C12E">
      <w:start w:val="1"/>
      <w:numFmt w:val="decimal"/>
      <w:lvlText w:val="%7"/>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3C5A7A">
      <w:start w:val="1"/>
      <w:numFmt w:val="lowerLetter"/>
      <w:lvlText w:val="%8"/>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C48624">
      <w:start w:val="1"/>
      <w:numFmt w:val="lowerRoman"/>
      <w:lvlText w:val="%9"/>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4EBC40A8"/>
    <w:multiLevelType w:val="hybridMultilevel"/>
    <w:tmpl w:val="7B80810A"/>
    <w:lvl w:ilvl="0" w:tplc="D21E8100">
      <w:start w:val="1"/>
      <w:numFmt w:val="lowerLetter"/>
      <w:lvlText w:val="%1)"/>
      <w:lvlJc w:val="left"/>
      <w:pPr>
        <w:ind w:left="5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E5258A0">
      <w:start w:val="1"/>
      <w:numFmt w:val="lowerLetter"/>
      <w:lvlText w:val="%2"/>
      <w:lvlJc w:val="left"/>
      <w:pPr>
        <w:ind w:left="13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206A702">
      <w:start w:val="1"/>
      <w:numFmt w:val="lowerRoman"/>
      <w:lvlText w:val="%3"/>
      <w:lvlJc w:val="left"/>
      <w:pPr>
        <w:ind w:left="2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72A600A">
      <w:start w:val="1"/>
      <w:numFmt w:val="decimal"/>
      <w:lvlText w:val="%4"/>
      <w:lvlJc w:val="left"/>
      <w:pPr>
        <w:ind w:left="2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D56A048">
      <w:start w:val="1"/>
      <w:numFmt w:val="lowerLetter"/>
      <w:lvlText w:val="%5"/>
      <w:lvlJc w:val="left"/>
      <w:pPr>
        <w:ind w:left="3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DE62ED0">
      <w:start w:val="1"/>
      <w:numFmt w:val="lowerRoman"/>
      <w:lvlText w:val="%6"/>
      <w:lvlJc w:val="left"/>
      <w:pPr>
        <w:ind w:left="4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A82AB8A">
      <w:start w:val="1"/>
      <w:numFmt w:val="decimal"/>
      <w:lvlText w:val="%7"/>
      <w:lvlJc w:val="left"/>
      <w:pPr>
        <w:ind w:left="49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FB26A84">
      <w:start w:val="1"/>
      <w:numFmt w:val="lowerLetter"/>
      <w:lvlText w:val="%8"/>
      <w:lvlJc w:val="left"/>
      <w:pPr>
        <w:ind w:left="56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790BB7C">
      <w:start w:val="1"/>
      <w:numFmt w:val="lowerRoman"/>
      <w:lvlText w:val="%9"/>
      <w:lvlJc w:val="left"/>
      <w:pPr>
        <w:ind w:left="63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6" w15:restartNumberingAfterBreak="0">
    <w:nsid w:val="51B67CB9"/>
    <w:multiLevelType w:val="hybridMultilevel"/>
    <w:tmpl w:val="4AE8130A"/>
    <w:lvl w:ilvl="0" w:tplc="DE225A5C">
      <w:start w:val="1"/>
      <w:numFmt w:val="decimal"/>
      <w:lvlText w:val="%1."/>
      <w:lvlJc w:val="left"/>
      <w:pPr>
        <w:ind w:left="2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5B0F2D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3F06FC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18CB1E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D368ED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3268FD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5AED17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D28B46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CD8BD9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7" w15:restartNumberingAfterBreak="0">
    <w:nsid w:val="52FA7B2D"/>
    <w:multiLevelType w:val="hybridMultilevel"/>
    <w:tmpl w:val="8F24EF8A"/>
    <w:lvl w:ilvl="0" w:tplc="20DA8B84">
      <w:start w:val="10"/>
      <w:numFmt w:val="lowerLetter"/>
      <w:lvlText w:val="%1)"/>
      <w:lvlJc w:val="left"/>
      <w:pPr>
        <w:ind w:left="43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236A13C">
      <w:start w:val="1"/>
      <w:numFmt w:val="lowerLetter"/>
      <w:lvlText w:val="%2"/>
      <w:lvlJc w:val="left"/>
      <w:pPr>
        <w:ind w:left="15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1365746">
      <w:start w:val="1"/>
      <w:numFmt w:val="lowerRoman"/>
      <w:lvlText w:val="%3"/>
      <w:lvlJc w:val="left"/>
      <w:pPr>
        <w:ind w:left="22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1BC7C34">
      <w:start w:val="1"/>
      <w:numFmt w:val="decimal"/>
      <w:lvlText w:val="%4"/>
      <w:lvlJc w:val="left"/>
      <w:pPr>
        <w:ind w:left="29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5F34CE2A">
      <w:start w:val="1"/>
      <w:numFmt w:val="lowerLetter"/>
      <w:lvlText w:val="%5"/>
      <w:lvlJc w:val="left"/>
      <w:pPr>
        <w:ind w:left="36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A790EEEE">
      <w:start w:val="1"/>
      <w:numFmt w:val="lowerRoman"/>
      <w:lvlText w:val="%6"/>
      <w:lvlJc w:val="left"/>
      <w:pPr>
        <w:ind w:left="43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B288AB8">
      <w:start w:val="1"/>
      <w:numFmt w:val="decimal"/>
      <w:lvlText w:val="%7"/>
      <w:lvlJc w:val="left"/>
      <w:pPr>
        <w:ind w:left="51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1B283EB6">
      <w:start w:val="1"/>
      <w:numFmt w:val="lowerLetter"/>
      <w:lvlText w:val="%8"/>
      <w:lvlJc w:val="left"/>
      <w:pPr>
        <w:ind w:left="58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2BC8DD32">
      <w:start w:val="1"/>
      <w:numFmt w:val="lowerRoman"/>
      <w:lvlText w:val="%9"/>
      <w:lvlJc w:val="left"/>
      <w:pPr>
        <w:ind w:left="65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68" w15:restartNumberingAfterBreak="0">
    <w:nsid w:val="53407D95"/>
    <w:multiLevelType w:val="hybridMultilevel"/>
    <w:tmpl w:val="0D1E92F4"/>
    <w:lvl w:ilvl="0" w:tplc="03BCC6B6">
      <w:start w:val="1"/>
      <w:numFmt w:val="bullet"/>
      <w:lvlText w:val=""/>
      <w:lvlJc w:val="left"/>
      <w:pPr>
        <w:ind w:left="2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7B49364">
      <w:start w:val="1"/>
      <w:numFmt w:val="bullet"/>
      <w:lvlText w:val="o"/>
      <w:lvlJc w:val="left"/>
      <w:pPr>
        <w:ind w:left="11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9D2F892">
      <w:start w:val="1"/>
      <w:numFmt w:val="bullet"/>
      <w:lvlText w:val="▪"/>
      <w:lvlJc w:val="left"/>
      <w:pPr>
        <w:ind w:left="18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B04290A">
      <w:start w:val="1"/>
      <w:numFmt w:val="bullet"/>
      <w:lvlText w:val="•"/>
      <w:lvlJc w:val="left"/>
      <w:pPr>
        <w:ind w:left="25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7425790">
      <w:start w:val="1"/>
      <w:numFmt w:val="bullet"/>
      <w:lvlText w:val="o"/>
      <w:lvlJc w:val="left"/>
      <w:pPr>
        <w:ind w:left="33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F924CEE">
      <w:start w:val="1"/>
      <w:numFmt w:val="bullet"/>
      <w:lvlText w:val="▪"/>
      <w:lvlJc w:val="left"/>
      <w:pPr>
        <w:ind w:left="40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0BA8BFA">
      <w:start w:val="1"/>
      <w:numFmt w:val="bullet"/>
      <w:lvlText w:val="•"/>
      <w:lvlJc w:val="left"/>
      <w:pPr>
        <w:ind w:left="47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A1FCC442">
      <w:start w:val="1"/>
      <w:numFmt w:val="bullet"/>
      <w:lvlText w:val="o"/>
      <w:lvlJc w:val="left"/>
      <w:pPr>
        <w:ind w:left="54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1420F20">
      <w:start w:val="1"/>
      <w:numFmt w:val="bullet"/>
      <w:lvlText w:val="▪"/>
      <w:lvlJc w:val="left"/>
      <w:pPr>
        <w:ind w:left="61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9" w15:restartNumberingAfterBreak="0">
    <w:nsid w:val="543B29EF"/>
    <w:multiLevelType w:val="hybridMultilevel"/>
    <w:tmpl w:val="E1CCF56A"/>
    <w:lvl w:ilvl="0" w:tplc="A9C433E8">
      <w:start w:val="1"/>
      <w:numFmt w:val="bullet"/>
      <w:lvlText w:val="-"/>
      <w:lvlJc w:val="left"/>
      <w:pPr>
        <w:ind w:left="9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94B2ECF2">
      <w:start w:val="1"/>
      <w:numFmt w:val="bullet"/>
      <w:lvlText w:val="o"/>
      <w:lvlJc w:val="left"/>
      <w:pPr>
        <w:ind w:left="11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A8FC3454">
      <w:start w:val="1"/>
      <w:numFmt w:val="bullet"/>
      <w:lvlText w:val="▪"/>
      <w:lvlJc w:val="left"/>
      <w:pPr>
        <w:ind w:left="18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DEB2D8E6">
      <w:start w:val="1"/>
      <w:numFmt w:val="bullet"/>
      <w:lvlText w:val="•"/>
      <w:lvlJc w:val="left"/>
      <w:pPr>
        <w:ind w:left="25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99DC203E">
      <w:start w:val="1"/>
      <w:numFmt w:val="bullet"/>
      <w:lvlText w:val="o"/>
      <w:lvlJc w:val="left"/>
      <w:pPr>
        <w:ind w:left="33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388C9C06">
      <w:start w:val="1"/>
      <w:numFmt w:val="bullet"/>
      <w:lvlText w:val="▪"/>
      <w:lvlJc w:val="left"/>
      <w:pPr>
        <w:ind w:left="403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400EDB1E">
      <w:start w:val="1"/>
      <w:numFmt w:val="bullet"/>
      <w:lvlText w:val="•"/>
      <w:lvlJc w:val="left"/>
      <w:pPr>
        <w:ind w:left="47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CDBE66B4">
      <w:start w:val="1"/>
      <w:numFmt w:val="bullet"/>
      <w:lvlText w:val="o"/>
      <w:lvlJc w:val="left"/>
      <w:pPr>
        <w:ind w:left="54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8E8E3F2C">
      <w:start w:val="1"/>
      <w:numFmt w:val="bullet"/>
      <w:lvlText w:val="▪"/>
      <w:lvlJc w:val="left"/>
      <w:pPr>
        <w:ind w:left="61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70" w15:restartNumberingAfterBreak="0">
    <w:nsid w:val="55B37127"/>
    <w:multiLevelType w:val="hybridMultilevel"/>
    <w:tmpl w:val="90EAE440"/>
    <w:lvl w:ilvl="0" w:tplc="FB3CB84A">
      <w:start w:val="1"/>
      <w:numFmt w:val="decimal"/>
      <w:lvlText w:val="%1."/>
      <w:lvlJc w:val="left"/>
      <w:pPr>
        <w:ind w:left="185"/>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5DDC2D18">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80163316">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532C237C">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9012714A">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9C54B63E">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F1087AF4">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44BE9B90">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9020FF2">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71" w15:restartNumberingAfterBreak="0">
    <w:nsid w:val="562217F7"/>
    <w:multiLevelType w:val="hybridMultilevel"/>
    <w:tmpl w:val="08947AFE"/>
    <w:lvl w:ilvl="0" w:tplc="D1EE363A">
      <w:start w:val="1"/>
      <w:numFmt w:val="bullet"/>
      <w:lvlText w:val="-"/>
      <w:lvlJc w:val="left"/>
      <w:pPr>
        <w:ind w:left="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CDA896E">
      <w:start w:val="1"/>
      <w:numFmt w:val="bullet"/>
      <w:lvlText w:val="o"/>
      <w:lvlJc w:val="left"/>
      <w:pPr>
        <w:ind w:left="1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3842040">
      <w:start w:val="1"/>
      <w:numFmt w:val="bullet"/>
      <w:lvlText w:val="▪"/>
      <w:lvlJc w:val="left"/>
      <w:pPr>
        <w:ind w:left="1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384904C">
      <w:start w:val="1"/>
      <w:numFmt w:val="bullet"/>
      <w:lvlText w:val="•"/>
      <w:lvlJc w:val="left"/>
      <w:pPr>
        <w:ind w:left="2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206159C">
      <w:start w:val="1"/>
      <w:numFmt w:val="bullet"/>
      <w:lvlText w:val="o"/>
      <w:lvlJc w:val="left"/>
      <w:pPr>
        <w:ind w:left="33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F66E8E0">
      <w:start w:val="1"/>
      <w:numFmt w:val="bullet"/>
      <w:lvlText w:val="▪"/>
      <w:lvlJc w:val="left"/>
      <w:pPr>
        <w:ind w:left="40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392B26E">
      <w:start w:val="1"/>
      <w:numFmt w:val="bullet"/>
      <w:lvlText w:val="•"/>
      <w:lvlJc w:val="left"/>
      <w:pPr>
        <w:ind w:left="47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D268700">
      <w:start w:val="1"/>
      <w:numFmt w:val="bullet"/>
      <w:lvlText w:val="o"/>
      <w:lvlJc w:val="left"/>
      <w:pPr>
        <w:ind w:left="54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BA81A48">
      <w:start w:val="1"/>
      <w:numFmt w:val="bullet"/>
      <w:lvlText w:val="▪"/>
      <w:lvlJc w:val="left"/>
      <w:pPr>
        <w:ind w:left="61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2" w15:restartNumberingAfterBreak="0">
    <w:nsid w:val="57633B0C"/>
    <w:multiLevelType w:val="hybridMultilevel"/>
    <w:tmpl w:val="EE26C074"/>
    <w:lvl w:ilvl="0" w:tplc="9B384B5A">
      <w:start w:val="1"/>
      <w:numFmt w:val="lowerLetter"/>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8457CE">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28A926">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8802AC">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244C3C">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2AF59A">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4630DA">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861EC2">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30E126">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58DB1385"/>
    <w:multiLevelType w:val="hybridMultilevel"/>
    <w:tmpl w:val="0994F2FC"/>
    <w:lvl w:ilvl="0" w:tplc="6F0A2BF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E67D92">
      <w:start w:val="1"/>
      <w:numFmt w:val="lowerLetter"/>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F2E69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FA682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EAEFE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6CC72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9CB1B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DC45E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12D4D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5A94236E"/>
    <w:multiLevelType w:val="hybridMultilevel"/>
    <w:tmpl w:val="B8F04B6A"/>
    <w:lvl w:ilvl="0" w:tplc="7480ECA0">
      <w:start w:val="1"/>
      <w:numFmt w:val="bullet"/>
      <w:lvlText w:val="-"/>
      <w:lvlJc w:val="left"/>
      <w:pPr>
        <w:ind w:left="5"/>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696EFDAA">
      <w:start w:val="1"/>
      <w:numFmt w:val="bullet"/>
      <w:lvlText w:val="o"/>
      <w:lvlJc w:val="left"/>
      <w:pPr>
        <w:ind w:left="11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1ACC7758">
      <w:start w:val="1"/>
      <w:numFmt w:val="bullet"/>
      <w:lvlText w:val="▪"/>
      <w:lvlJc w:val="left"/>
      <w:pPr>
        <w:ind w:left="18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094AAD38">
      <w:start w:val="1"/>
      <w:numFmt w:val="bullet"/>
      <w:lvlText w:val="•"/>
      <w:lvlJc w:val="left"/>
      <w:pPr>
        <w:ind w:left="25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B478E892">
      <w:start w:val="1"/>
      <w:numFmt w:val="bullet"/>
      <w:lvlText w:val="o"/>
      <w:lvlJc w:val="left"/>
      <w:pPr>
        <w:ind w:left="33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DED4E4C8">
      <w:start w:val="1"/>
      <w:numFmt w:val="bullet"/>
      <w:lvlText w:val="▪"/>
      <w:lvlJc w:val="left"/>
      <w:pPr>
        <w:ind w:left="403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79926022">
      <w:start w:val="1"/>
      <w:numFmt w:val="bullet"/>
      <w:lvlText w:val="•"/>
      <w:lvlJc w:val="left"/>
      <w:pPr>
        <w:ind w:left="47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912CD866">
      <w:start w:val="1"/>
      <w:numFmt w:val="bullet"/>
      <w:lvlText w:val="o"/>
      <w:lvlJc w:val="left"/>
      <w:pPr>
        <w:ind w:left="54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674E7BC6">
      <w:start w:val="1"/>
      <w:numFmt w:val="bullet"/>
      <w:lvlText w:val="▪"/>
      <w:lvlJc w:val="left"/>
      <w:pPr>
        <w:ind w:left="61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75" w15:restartNumberingAfterBreak="0">
    <w:nsid w:val="5B39592A"/>
    <w:multiLevelType w:val="hybridMultilevel"/>
    <w:tmpl w:val="DD00CE5E"/>
    <w:lvl w:ilvl="0" w:tplc="84E84A14">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ECE7DF8">
      <w:start w:val="1"/>
      <w:numFmt w:val="bullet"/>
      <w:lvlText w:val="o"/>
      <w:lvlJc w:val="left"/>
      <w:pPr>
        <w:ind w:left="11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782C504">
      <w:start w:val="1"/>
      <w:numFmt w:val="bullet"/>
      <w:lvlText w:val="▪"/>
      <w:lvlJc w:val="left"/>
      <w:pPr>
        <w:ind w:left="19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E0780D52">
      <w:start w:val="1"/>
      <w:numFmt w:val="bullet"/>
      <w:lvlText w:val="•"/>
      <w:lvlJc w:val="left"/>
      <w:pPr>
        <w:ind w:left="262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67BAA9B4">
      <w:start w:val="1"/>
      <w:numFmt w:val="bullet"/>
      <w:lvlText w:val="o"/>
      <w:lvlJc w:val="left"/>
      <w:pPr>
        <w:ind w:left="33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FBE4DB72">
      <w:start w:val="1"/>
      <w:numFmt w:val="bullet"/>
      <w:lvlText w:val="▪"/>
      <w:lvlJc w:val="left"/>
      <w:pPr>
        <w:ind w:left="40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022EBCA">
      <w:start w:val="1"/>
      <w:numFmt w:val="bullet"/>
      <w:lvlText w:val="•"/>
      <w:lvlJc w:val="left"/>
      <w:pPr>
        <w:ind w:left="47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D0C042E">
      <w:start w:val="1"/>
      <w:numFmt w:val="bullet"/>
      <w:lvlText w:val="o"/>
      <w:lvlJc w:val="left"/>
      <w:pPr>
        <w:ind w:left="55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9EF6ED2C">
      <w:start w:val="1"/>
      <w:numFmt w:val="bullet"/>
      <w:lvlText w:val="▪"/>
      <w:lvlJc w:val="left"/>
      <w:pPr>
        <w:ind w:left="622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76" w15:restartNumberingAfterBreak="0">
    <w:nsid w:val="5BDC4180"/>
    <w:multiLevelType w:val="hybridMultilevel"/>
    <w:tmpl w:val="1D8CC6FE"/>
    <w:lvl w:ilvl="0" w:tplc="BA4ED976">
      <w:start w:val="1"/>
      <w:numFmt w:val="bullet"/>
      <w:lvlText w:val="-"/>
      <w:lvlJc w:val="left"/>
      <w:pPr>
        <w:ind w:left="5"/>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28A220C4">
      <w:start w:val="1"/>
      <w:numFmt w:val="bullet"/>
      <w:lvlText w:val="o"/>
      <w:lvlJc w:val="left"/>
      <w:pPr>
        <w:ind w:left="11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6FE63A4C">
      <w:start w:val="1"/>
      <w:numFmt w:val="bullet"/>
      <w:lvlText w:val="▪"/>
      <w:lvlJc w:val="left"/>
      <w:pPr>
        <w:ind w:left="18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F69A0A9A">
      <w:start w:val="1"/>
      <w:numFmt w:val="bullet"/>
      <w:lvlText w:val="•"/>
      <w:lvlJc w:val="left"/>
      <w:pPr>
        <w:ind w:left="25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092C61DE">
      <w:start w:val="1"/>
      <w:numFmt w:val="bullet"/>
      <w:lvlText w:val="o"/>
      <w:lvlJc w:val="left"/>
      <w:pPr>
        <w:ind w:left="33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1DC804EC">
      <w:start w:val="1"/>
      <w:numFmt w:val="bullet"/>
      <w:lvlText w:val="▪"/>
      <w:lvlJc w:val="left"/>
      <w:pPr>
        <w:ind w:left="403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11AC3216">
      <w:start w:val="1"/>
      <w:numFmt w:val="bullet"/>
      <w:lvlText w:val="•"/>
      <w:lvlJc w:val="left"/>
      <w:pPr>
        <w:ind w:left="47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F0A21894">
      <w:start w:val="1"/>
      <w:numFmt w:val="bullet"/>
      <w:lvlText w:val="o"/>
      <w:lvlJc w:val="left"/>
      <w:pPr>
        <w:ind w:left="54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461A9FB6">
      <w:start w:val="1"/>
      <w:numFmt w:val="bullet"/>
      <w:lvlText w:val="▪"/>
      <w:lvlJc w:val="left"/>
      <w:pPr>
        <w:ind w:left="61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77" w15:restartNumberingAfterBreak="0">
    <w:nsid w:val="5D095ECC"/>
    <w:multiLevelType w:val="hybridMultilevel"/>
    <w:tmpl w:val="1744FE92"/>
    <w:lvl w:ilvl="0" w:tplc="DC38E376">
      <w:start w:val="1"/>
      <w:numFmt w:val="bullet"/>
      <w:lvlText w:val="•"/>
      <w:lvlJc w:val="left"/>
      <w:pPr>
        <w:ind w:left="2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3F41678">
      <w:start w:val="1"/>
      <w:numFmt w:val="bullet"/>
      <w:lvlText w:val="o"/>
      <w:lvlJc w:val="left"/>
      <w:pPr>
        <w:ind w:left="11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4E5A5E88">
      <w:start w:val="1"/>
      <w:numFmt w:val="bullet"/>
      <w:lvlText w:val="▪"/>
      <w:lvlJc w:val="left"/>
      <w:pPr>
        <w:ind w:left="19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E4228F7C">
      <w:start w:val="1"/>
      <w:numFmt w:val="bullet"/>
      <w:lvlText w:val="•"/>
      <w:lvlJc w:val="left"/>
      <w:pPr>
        <w:ind w:left="26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B4CB780">
      <w:start w:val="1"/>
      <w:numFmt w:val="bullet"/>
      <w:lvlText w:val="o"/>
      <w:lvlJc w:val="left"/>
      <w:pPr>
        <w:ind w:left="33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1CD8CFB6">
      <w:start w:val="1"/>
      <w:numFmt w:val="bullet"/>
      <w:lvlText w:val="▪"/>
      <w:lvlJc w:val="left"/>
      <w:pPr>
        <w:ind w:left="40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7B4543A">
      <w:start w:val="1"/>
      <w:numFmt w:val="bullet"/>
      <w:lvlText w:val="•"/>
      <w:lvlJc w:val="left"/>
      <w:pPr>
        <w:ind w:left="47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406F1BC">
      <w:start w:val="1"/>
      <w:numFmt w:val="bullet"/>
      <w:lvlText w:val="o"/>
      <w:lvlJc w:val="left"/>
      <w:pPr>
        <w:ind w:left="55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7F4ABF4">
      <w:start w:val="1"/>
      <w:numFmt w:val="bullet"/>
      <w:lvlText w:val="▪"/>
      <w:lvlJc w:val="left"/>
      <w:pPr>
        <w:ind w:left="62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78" w15:restartNumberingAfterBreak="0">
    <w:nsid w:val="5FCD7D0C"/>
    <w:multiLevelType w:val="hybridMultilevel"/>
    <w:tmpl w:val="EF8679F4"/>
    <w:lvl w:ilvl="0" w:tplc="111EED7C">
      <w:start w:val="1"/>
      <w:numFmt w:val="bullet"/>
      <w:lvlText w:val="-"/>
      <w:lvlJc w:val="left"/>
      <w:pPr>
        <w:ind w:left="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806FD04">
      <w:start w:val="1"/>
      <w:numFmt w:val="bullet"/>
      <w:lvlText w:val="o"/>
      <w:lvlJc w:val="left"/>
      <w:pPr>
        <w:ind w:left="1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F2A00D4">
      <w:start w:val="1"/>
      <w:numFmt w:val="bullet"/>
      <w:lvlText w:val="▪"/>
      <w:lvlJc w:val="left"/>
      <w:pPr>
        <w:ind w:left="1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71031AE">
      <w:start w:val="1"/>
      <w:numFmt w:val="bullet"/>
      <w:lvlText w:val="•"/>
      <w:lvlJc w:val="left"/>
      <w:pPr>
        <w:ind w:left="2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F18B94C">
      <w:start w:val="1"/>
      <w:numFmt w:val="bullet"/>
      <w:lvlText w:val="o"/>
      <w:lvlJc w:val="left"/>
      <w:pPr>
        <w:ind w:left="33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BB0228E">
      <w:start w:val="1"/>
      <w:numFmt w:val="bullet"/>
      <w:lvlText w:val="▪"/>
      <w:lvlJc w:val="left"/>
      <w:pPr>
        <w:ind w:left="40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DF2ED4A">
      <w:start w:val="1"/>
      <w:numFmt w:val="bullet"/>
      <w:lvlText w:val="•"/>
      <w:lvlJc w:val="left"/>
      <w:pPr>
        <w:ind w:left="47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3AE8092">
      <w:start w:val="1"/>
      <w:numFmt w:val="bullet"/>
      <w:lvlText w:val="o"/>
      <w:lvlJc w:val="left"/>
      <w:pPr>
        <w:ind w:left="54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A708718">
      <w:start w:val="1"/>
      <w:numFmt w:val="bullet"/>
      <w:lvlText w:val="▪"/>
      <w:lvlJc w:val="left"/>
      <w:pPr>
        <w:ind w:left="61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9" w15:restartNumberingAfterBreak="0">
    <w:nsid w:val="60270B4C"/>
    <w:multiLevelType w:val="hybridMultilevel"/>
    <w:tmpl w:val="217E5742"/>
    <w:lvl w:ilvl="0" w:tplc="04348C0E">
      <w:start w:val="1"/>
      <w:numFmt w:val="decimal"/>
      <w:lvlText w:val="%1."/>
      <w:lvlJc w:val="left"/>
      <w:pPr>
        <w:ind w:left="2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EB089C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5CAF9D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92485E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A1A73A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ED6DA7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BAE30B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1F2FA8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85A295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0" w15:restartNumberingAfterBreak="0">
    <w:nsid w:val="60670FF4"/>
    <w:multiLevelType w:val="hybridMultilevel"/>
    <w:tmpl w:val="6A7C9F66"/>
    <w:lvl w:ilvl="0" w:tplc="82B83D00">
      <w:start w:val="1"/>
      <w:numFmt w:val="decimal"/>
      <w:lvlText w:val="%1."/>
      <w:lvlJc w:val="left"/>
      <w:pPr>
        <w:ind w:left="2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362A80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9B4D50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F1645E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510B42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FEED4D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89C211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2DEAE8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4C85C4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1" w15:restartNumberingAfterBreak="0">
    <w:nsid w:val="60BD07F6"/>
    <w:multiLevelType w:val="hybridMultilevel"/>
    <w:tmpl w:val="17129686"/>
    <w:lvl w:ilvl="0" w:tplc="1F7AD102">
      <w:start w:val="1"/>
      <w:numFmt w:val="lowerLetter"/>
      <w:lvlText w:val="%1)"/>
      <w:lvlJc w:val="left"/>
      <w:pPr>
        <w:ind w:left="14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DCC6ACA">
      <w:start w:val="1"/>
      <w:numFmt w:val="lowerLetter"/>
      <w:lvlText w:val="%2"/>
      <w:lvlJc w:val="left"/>
      <w:pPr>
        <w:ind w:left="133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F865358">
      <w:start w:val="1"/>
      <w:numFmt w:val="lowerRoman"/>
      <w:lvlText w:val="%3"/>
      <w:lvlJc w:val="left"/>
      <w:pPr>
        <w:ind w:left="20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AA4667A">
      <w:start w:val="1"/>
      <w:numFmt w:val="decimal"/>
      <w:lvlText w:val="%4"/>
      <w:lvlJc w:val="left"/>
      <w:pPr>
        <w:ind w:left="27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B6D499D4">
      <w:start w:val="1"/>
      <w:numFmt w:val="lowerLetter"/>
      <w:lvlText w:val="%5"/>
      <w:lvlJc w:val="left"/>
      <w:pPr>
        <w:ind w:left="34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4545B86">
      <w:start w:val="1"/>
      <w:numFmt w:val="lowerRoman"/>
      <w:lvlText w:val="%6"/>
      <w:lvlJc w:val="left"/>
      <w:pPr>
        <w:ind w:left="42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C6AF86A">
      <w:start w:val="1"/>
      <w:numFmt w:val="decimal"/>
      <w:lvlText w:val="%7"/>
      <w:lvlJc w:val="left"/>
      <w:pPr>
        <w:ind w:left="493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BBCF4B0">
      <w:start w:val="1"/>
      <w:numFmt w:val="lowerLetter"/>
      <w:lvlText w:val="%8"/>
      <w:lvlJc w:val="left"/>
      <w:pPr>
        <w:ind w:left="56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96B894D0">
      <w:start w:val="1"/>
      <w:numFmt w:val="lowerRoman"/>
      <w:lvlText w:val="%9"/>
      <w:lvlJc w:val="left"/>
      <w:pPr>
        <w:ind w:left="63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82" w15:restartNumberingAfterBreak="0">
    <w:nsid w:val="610E27C2"/>
    <w:multiLevelType w:val="hybridMultilevel"/>
    <w:tmpl w:val="FE06EB82"/>
    <w:lvl w:ilvl="0" w:tplc="682A8528">
      <w:start w:val="1"/>
      <w:numFmt w:val="bullet"/>
      <w:lvlText w:val=""/>
      <w:lvlJc w:val="left"/>
      <w:pPr>
        <w:ind w:left="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7B2A80E">
      <w:start w:val="1"/>
      <w:numFmt w:val="bullet"/>
      <w:lvlText w:val="o"/>
      <w:lvlJc w:val="left"/>
      <w:pPr>
        <w:ind w:left="11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4E4C850">
      <w:start w:val="1"/>
      <w:numFmt w:val="bullet"/>
      <w:lvlText w:val="▪"/>
      <w:lvlJc w:val="left"/>
      <w:pPr>
        <w:ind w:left="18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074C344">
      <w:start w:val="1"/>
      <w:numFmt w:val="bullet"/>
      <w:lvlText w:val="•"/>
      <w:lvlJc w:val="left"/>
      <w:pPr>
        <w:ind w:left="25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1BA3520">
      <w:start w:val="1"/>
      <w:numFmt w:val="bullet"/>
      <w:lvlText w:val="o"/>
      <w:lvlJc w:val="left"/>
      <w:pPr>
        <w:ind w:left="33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ABAEE7A">
      <w:start w:val="1"/>
      <w:numFmt w:val="bullet"/>
      <w:lvlText w:val="▪"/>
      <w:lvlJc w:val="left"/>
      <w:pPr>
        <w:ind w:left="40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2D27610">
      <w:start w:val="1"/>
      <w:numFmt w:val="bullet"/>
      <w:lvlText w:val="•"/>
      <w:lvlJc w:val="left"/>
      <w:pPr>
        <w:ind w:left="47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C23664">
      <w:start w:val="1"/>
      <w:numFmt w:val="bullet"/>
      <w:lvlText w:val="o"/>
      <w:lvlJc w:val="left"/>
      <w:pPr>
        <w:ind w:left="54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C644B02">
      <w:start w:val="1"/>
      <w:numFmt w:val="bullet"/>
      <w:lvlText w:val="▪"/>
      <w:lvlJc w:val="left"/>
      <w:pPr>
        <w:ind w:left="61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3" w15:restartNumberingAfterBreak="0">
    <w:nsid w:val="639D404F"/>
    <w:multiLevelType w:val="hybridMultilevel"/>
    <w:tmpl w:val="D522293E"/>
    <w:lvl w:ilvl="0" w:tplc="BD8E7A98">
      <w:start w:val="3"/>
      <w:numFmt w:val="lowerLetter"/>
      <w:lvlText w:val="%1)"/>
      <w:lvlJc w:val="left"/>
      <w:pPr>
        <w:ind w:left="14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B0FAE7D0">
      <w:start w:val="1"/>
      <w:numFmt w:val="lowerLetter"/>
      <w:lvlText w:val="%2"/>
      <w:lvlJc w:val="left"/>
      <w:pPr>
        <w:ind w:left="133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51EDF3E">
      <w:start w:val="1"/>
      <w:numFmt w:val="lowerRoman"/>
      <w:lvlText w:val="%3"/>
      <w:lvlJc w:val="left"/>
      <w:pPr>
        <w:ind w:left="20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0EC03FE6">
      <w:start w:val="1"/>
      <w:numFmt w:val="decimal"/>
      <w:lvlText w:val="%4"/>
      <w:lvlJc w:val="left"/>
      <w:pPr>
        <w:ind w:left="27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C4AA2AF0">
      <w:start w:val="1"/>
      <w:numFmt w:val="lowerLetter"/>
      <w:lvlText w:val="%5"/>
      <w:lvlJc w:val="left"/>
      <w:pPr>
        <w:ind w:left="34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DB65326">
      <w:start w:val="1"/>
      <w:numFmt w:val="lowerRoman"/>
      <w:lvlText w:val="%6"/>
      <w:lvlJc w:val="left"/>
      <w:pPr>
        <w:ind w:left="42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4E64BE7A">
      <w:start w:val="1"/>
      <w:numFmt w:val="decimal"/>
      <w:lvlText w:val="%7"/>
      <w:lvlJc w:val="left"/>
      <w:pPr>
        <w:ind w:left="493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DF071DC">
      <w:start w:val="1"/>
      <w:numFmt w:val="lowerLetter"/>
      <w:lvlText w:val="%8"/>
      <w:lvlJc w:val="left"/>
      <w:pPr>
        <w:ind w:left="56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78249A86">
      <w:start w:val="1"/>
      <w:numFmt w:val="lowerRoman"/>
      <w:lvlText w:val="%9"/>
      <w:lvlJc w:val="left"/>
      <w:pPr>
        <w:ind w:left="63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84" w15:restartNumberingAfterBreak="0">
    <w:nsid w:val="647E74F2"/>
    <w:multiLevelType w:val="hybridMultilevel"/>
    <w:tmpl w:val="6EF06442"/>
    <w:lvl w:ilvl="0" w:tplc="BE844B1C">
      <w:start w:val="1"/>
      <w:numFmt w:val="bullet"/>
      <w:lvlText w:val="-"/>
      <w:lvlJc w:val="left"/>
      <w:pPr>
        <w:ind w:left="4"/>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0A5CD7B6">
      <w:start w:val="1"/>
      <w:numFmt w:val="bullet"/>
      <w:lvlText w:val="o"/>
      <w:lvlJc w:val="left"/>
      <w:pPr>
        <w:ind w:left="11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080296B6">
      <w:start w:val="1"/>
      <w:numFmt w:val="bullet"/>
      <w:lvlText w:val="▪"/>
      <w:lvlJc w:val="left"/>
      <w:pPr>
        <w:ind w:left="18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4B4CF556">
      <w:start w:val="1"/>
      <w:numFmt w:val="bullet"/>
      <w:lvlText w:val="•"/>
      <w:lvlJc w:val="left"/>
      <w:pPr>
        <w:ind w:left="25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9DDEC584">
      <w:start w:val="1"/>
      <w:numFmt w:val="bullet"/>
      <w:lvlText w:val="o"/>
      <w:lvlJc w:val="left"/>
      <w:pPr>
        <w:ind w:left="33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D258303A">
      <w:start w:val="1"/>
      <w:numFmt w:val="bullet"/>
      <w:lvlText w:val="▪"/>
      <w:lvlJc w:val="left"/>
      <w:pPr>
        <w:ind w:left="403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7294F5B0">
      <w:start w:val="1"/>
      <w:numFmt w:val="bullet"/>
      <w:lvlText w:val="•"/>
      <w:lvlJc w:val="left"/>
      <w:pPr>
        <w:ind w:left="47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FACC0B06">
      <w:start w:val="1"/>
      <w:numFmt w:val="bullet"/>
      <w:lvlText w:val="o"/>
      <w:lvlJc w:val="left"/>
      <w:pPr>
        <w:ind w:left="54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656C424A">
      <w:start w:val="1"/>
      <w:numFmt w:val="bullet"/>
      <w:lvlText w:val="▪"/>
      <w:lvlJc w:val="left"/>
      <w:pPr>
        <w:ind w:left="61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85" w15:restartNumberingAfterBreak="0">
    <w:nsid w:val="653E55C0"/>
    <w:multiLevelType w:val="hybridMultilevel"/>
    <w:tmpl w:val="DA2C449A"/>
    <w:lvl w:ilvl="0" w:tplc="332A506A">
      <w:start w:val="1"/>
      <w:numFmt w:val="decimal"/>
      <w:lvlText w:val="%1."/>
      <w:lvlJc w:val="left"/>
      <w:pPr>
        <w:ind w:left="2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17877C4">
      <w:start w:val="1"/>
      <w:numFmt w:val="lowerLetter"/>
      <w:lvlText w:val="%2)"/>
      <w:lvlJc w:val="left"/>
      <w:pPr>
        <w:ind w:left="5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F48374E">
      <w:start w:val="1"/>
      <w:numFmt w:val="lowerRoman"/>
      <w:lvlText w:val="%3"/>
      <w:lvlJc w:val="left"/>
      <w:pPr>
        <w:ind w:left="13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4A0D90C">
      <w:start w:val="1"/>
      <w:numFmt w:val="decimal"/>
      <w:lvlText w:val="%4"/>
      <w:lvlJc w:val="left"/>
      <w:pPr>
        <w:ind w:left="2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0E8229E">
      <w:start w:val="1"/>
      <w:numFmt w:val="lowerLetter"/>
      <w:lvlText w:val="%5"/>
      <w:lvlJc w:val="left"/>
      <w:pPr>
        <w:ind w:left="2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EC29ACA">
      <w:start w:val="1"/>
      <w:numFmt w:val="lowerRoman"/>
      <w:lvlText w:val="%6"/>
      <w:lvlJc w:val="left"/>
      <w:pPr>
        <w:ind w:left="3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B32EB86">
      <w:start w:val="1"/>
      <w:numFmt w:val="decimal"/>
      <w:lvlText w:val="%7"/>
      <w:lvlJc w:val="left"/>
      <w:pPr>
        <w:ind w:left="4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100C682">
      <w:start w:val="1"/>
      <w:numFmt w:val="lowerLetter"/>
      <w:lvlText w:val="%8"/>
      <w:lvlJc w:val="left"/>
      <w:pPr>
        <w:ind w:left="49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E342582">
      <w:start w:val="1"/>
      <w:numFmt w:val="lowerRoman"/>
      <w:lvlText w:val="%9"/>
      <w:lvlJc w:val="left"/>
      <w:pPr>
        <w:ind w:left="56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6" w15:restartNumberingAfterBreak="0">
    <w:nsid w:val="65495F13"/>
    <w:multiLevelType w:val="hybridMultilevel"/>
    <w:tmpl w:val="4CEEDD1C"/>
    <w:lvl w:ilvl="0" w:tplc="13D8B894">
      <w:start w:val="1"/>
      <w:numFmt w:val="bullet"/>
      <w:lvlText w:val="-"/>
      <w:lvlJc w:val="left"/>
      <w:pPr>
        <w:ind w:left="9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9A6A65C8">
      <w:start w:val="1"/>
      <w:numFmt w:val="bullet"/>
      <w:lvlText w:val="o"/>
      <w:lvlJc w:val="left"/>
      <w:pPr>
        <w:ind w:left="11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3B2A3890">
      <w:start w:val="1"/>
      <w:numFmt w:val="bullet"/>
      <w:lvlText w:val="▪"/>
      <w:lvlJc w:val="left"/>
      <w:pPr>
        <w:ind w:left="18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7FE052EE">
      <w:start w:val="1"/>
      <w:numFmt w:val="bullet"/>
      <w:lvlText w:val="•"/>
      <w:lvlJc w:val="left"/>
      <w:pPr>
        <w:ind w:left="25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0EC2AF3E">
      <w:start w:val="1"/>
      <w:numFmt w:val="bullet"/>
      <w:lvlText w:val="o"/>
      <w:lvlJc w:val="left"/>
      <w:pPr>
        <w:ind w:left="33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4FB89782">
      <w:start w:val="1"/>
      <w:numFmt w:val="bullet"/>
      <w:lvlText w:val="▪"/>
      <w:lvlJc w:val="left"/>
      <w:pPr>
        <w:ind w:left="403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ED1E5DC4">
      <w:start w:val="1"/>
      <w:numFmt w:val="bullet"/>
      <w:lvlText w:val="•"/>
      <w:lvlJc w:val="left"/>
      <w:pPr>
        <w:ind w:left="47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7CD2ED14">
      <w:start w:val="1"/>
      <w:numFmt w:val="bullet"/>
      <w:lvlText w:val="o"/>
      <w:lvlJc w:val="left"/>
      <w:pPr>
        <w:ind w:left="54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D3748AE8">
      <w:start w:val="1"/>
      <w:numFmt w:val="bullet"/>
      <w:lvlText w:val="▪"/>
      <w:lvlJc w:val="left"/>
      <w:pPr>
        <w:ind w:left="61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87" w15:restartNumberingAfterBreak="0">
    <w:nsid w:val="69750912"/>
    <w:multiLevelType w:val="hybridMultilevel"/>
    <w:tmpl w:val="360CD5C0"/>
    <w:lvl w:ilvl="0" w:tplc="D8C0EBA4">
      <w:start w:val="1"/>
      <w:numFmt w:val="decimal"/>
      <w:lvlText w:val="%1."/>
      <w:lvlJc w:val="left"/>
      <w:pPr>
        <w:ind w:left="3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A65D8C">
      <w:start w:val="1"/>
      <w:numFmt w:val="decimal"/>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4A9FC0">
      <w:start w:val="1"/>
      <w:numFmt w:val="lowerRoman"/>
      <w:lvlText w:val="%3"/>
      <w:lvlJc w:val="left"/>
      <w:pPr>
        <w:ind w:left="1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6E9760">
      <w:start w:val="1"/>
      <w:numFmt w:val="decimal"/>
      <w:lvlText w:val="%4"/>
      <w:lvlJc w:val="left"/>
      <w:pPr>
        <w:ind w:left="2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F2F2A2">
      <w:start w:val="1"/>
      <w:numFmt w:val="lowerLetter"/>
      <w:lvlText w:val="%5"/>
      <w:lvlJc w:val="left"/>
      <w:pPr>
        <w:ind w:left="2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E80DD4">
      <w:start w:val="1"/>
      <w:numFmt w:val="lowerRoman"/>
      <w:lvlText w:val="%6"/>
      <w:lvlJc w:val="left"/>
      <w:pPr>
        <w:ind w:left="3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D004FA">
      <w:start w:val="1"/>
      <w:numFmt w:val="decimal"/>
      <w:lvlText w:val="%7"/>
      <w:lvlJc w:val="left"/>
      <w:pPr>
        <w:ind w:left="4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B85400">
      <w:start w:val="1"/>
      <w:numFmt w:val="lowerLetter"/>
      <w:lvlText w:val="%8"/>
      <w:lvlJc w:val="left"/>
      <w:pPr>
        <w:ind w:left="4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848946">
      <w:start w:val="1"/>
      <w:numFmt w:val="lowerRoman"/>
      <w:lvlText w:val="%9"/>
      <w:lvlJc w:val="left"/>
      <w:pPr>
        <w:ind w:left="56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6A1161E2"/>
    <w:multiLevelType w:val="hybridMultilevel"/>
    <w:tmpl w:val="B85C4FA6"/>
    <w:lvl w:ilvl="0" w:tplc="ED8CA1DC">
      <w:start w:val="1"/>
      <w:numFmt w:val="bullet"/>
      <w:lvlText w:val="-"/>
      <w:lvlJc w:val="left"/>
      <w:pPr>
        <w:ind w:left="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C0ABDCE">
      <w:start w:val="1"/>
      <w:numFmt w:val="bullet"/>
      <w:lvlText w:val="o"/>
      <w:lvlJc w:val="left"/>
      <w:pPr>
        <w:ind w:left="1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77E658E">
      <w:start w:val="1"/>
      <w:numFmt w:val="bullet"/>
      <w:lvlText w:val="▪"/>
      <w:lvlJc w:val="left"/>
      <w:pPr>
        <w:ind w:left="1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42AFAC4">
      <w:start w:val="1"/>
      <w:numFmt w:val="bullet"/>
      <w:lvlText w:val="•"/>
      <w:lvlJc w:val="left"/>
      <w:pPr>
        <w:ind w:left="2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A38FA86">
      <w:start w:val="1"/>
      <w:numFmt w:val="bullet"/>
      <w:lvlText w:val="o"/>
      <w:lvlJc w:val="left"/>
      <w:pPr>
        <w:ind w:left="33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26E426A">
      <w:start w:val="1"/>
      <w:numFmt w:val="bullet"/>
      <w:lvlText w:val="▪"/>
      <w:lvlJc w:val="left"/>
      <w:pPr>
        <w:ind w:left="40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EFA306A">
      <w:start w:val="1"/>
      <w:numFmt w:val="bullet"/>
      <w:lvlText w:val="•"/>
      <w:lvlJc w:val="left"/>
      <w:pPr>
        <w:ind w:left="47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E20990A">
      <w:start w:val="1"/>
      <w:numFmt w:val="bullet"/>
      <w:lvlText w:val="o"/>
      <w:lvlJc w:val="left"/>
      <w:pPr>
        <w:ind w:left="54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9A827A6">
      <w:start w:val="1"/>
      <w:numFmt w:val="bullet"/>
      <w:lvlText w:val="▪"/>
      <w:lvlJc w:val="left"/>
      <w:pPr>
        <w:ind w:left="61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9" w15:restartNumberingAfterBreak="0">
    <w:nsid w:val="6E3419DB"/>
    <w:multiLevelType w:val="hybridMultilevel"/>
    <w:tmpl w:val="1BF83B28"/>
    <w:lvl w:ilvl="0" w:tplc="C1986C04">
      <w:start w:val="1"/>
      <w:numFmt w:val="bullet"/>
      <w:lvlText w:val=""/>
      <w:lvlJc w:val="left"/>
      <w:pPr>
        <w:ind w:left="2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1D0B7E2">
      <w:start w:val="1"/>
      <w:numFmt w:val="bullet"/>
      <w:lvlText w:val="o"/>
      <w:lvlJc w:val="left"/>
      <w:pPr>
        <w:ind w:left="11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53E38A2">
      <w:start w:val="1"/>
      <w:numFmt w:val="bullet"/>
      <w:lvlText w:val="▪"/>
      <w:lvlJc w:val="left"/>
      <w:pPr>
        <w:ind w:left="18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F0603910">
      <w:start w:val="1"/>
      <w:numFmt w:val="bullet"/>
      <w:lvlText w:val="•"/>
      <w:lvlJc w:val="left"/>
      <w:pPr>
        <w:ind w:left="25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1F4BA5A">
      <w:start w:val="1"/>
      <w:numFmt w:val="bullet"/>
      <w:lvlText w:val="o"/>
      <w:lvlJc w:val="left"/>
      <w:pPr>
        <w:ind w:left="33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090F66C">
      <w:start w:val="1"/>
      <w:numFmt w:val="bullet"/>
      <w:lvlText w:val="▪"/>
      <w:lvlJc w:val="left"/>
      <w:pPr>
        <w:ind w:left="40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092DDE4">
      <w:start w:val="1"/>
      <w:numFmt w:val="bullet"/>
      <w:lvlText w:val="•"/>
      <w:lvlJc w:val="left"/>
      <w:pPr>
        <w:ind w:left="47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2D5EB612">
      <w:start w:val="1"/>
      <w:numFmt w:val="bullet"/>
      <w:lvlText w:val="o"/>
      <w:lvlJc w:val="left"/>
      <w:pPr>
        <w:ind w:left="54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3D6613E">
      <w:start w:val="1"/>
      <w:numFmt w:val="bullet"/>
      <w:lvlText w:val="▪"/>
      <w:lvlJc w:val="left"/>
      <w:pPr>
        <w:ind w:left="61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90" w15:restartNumberingAfterBreak="0">
    <w:nsid w:val="70011409"/>
    <w:multiLevelType w:val="hybridMultilevel"/>
    <w:tmpl w:val="AD947614"/>
    <w:lvl w:ilvl="0" w:tplc="64DEF08E">
      <w:start w:val="1"/>
      <w:numFmt w:val="bullet"/>
      <w:lvlText w:val="•"/>
      <w:lvlJc w:val="left"/>
      <w:pPr>
        <w:ind w:left="14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23CB30C">
      <w:start w:val="1"/>
      <w:numFmt w:val="bullet"/>
      <w:lvlText w:val="o"/>
      <w:lvlJc w:val="left"/>
      <w:pPr>
        <w:ind w:left="11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346AA76">
      <w:start w:val="1"/>
      <w:numFmt w:val="bullet"/>
      <w:lvlText w:val="▪"/>
      <w:lvlJc w:val="left"/>
      <w:pPr>
        <w:ind w:left="19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E2BAA59A">
      <w:start w:val="1"/>
      <w:numFmt w:val="bullet"/>
      <w:lvlText w:val="•"/>
      <w:lvlJc w:val="left"/>
      <w:pPr>
        <w:ind w:left="26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0803BD4">
      <w:start w:val="1"/>
      <w:numFmt w:val="bullet"/>
      <w:lvlText w:val="o"/>
      <w:lvlJc w:val="left"/>
      <w:pPr>
        <w:ind w:left="33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4906EE6">
      <w:start w:val="1"/>
      <w:numFmt w:val="bullet"/>
      <w:lvlText w:val="▪"/>
      <w:lvlJc w:val="left"/>
      <w:pPr>
        <w:ind w:left="40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0F465C5A">
      <w:start w:val="1"/>
      <w:numFmt w:val="bullet"/>
      <w:lvlText w:val="•"/>
      <w:lvlJc w:val="left"/>
      <w:pPr>
        <w:ind w:left="47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D7236CA">
      <w:start w:val="1"/>
      <w:numFmt w:val="bullet"/>
      <w:lvlText w:val="o"/>
      <w:lvlJc w:val="left"/>
      <w:pPr>
        <w:ind w:left="55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9929A88">
      <w:start w:val="1"/>
      <w:numFmt w:val="bullet"/>
      <w:lvlText w:val="▪"/>
      <w:lvlJc w:val="left"/>
      <w:pPr>
        <w:ind w:left="62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91" w15:restartNumberingAfterBreak="0">
    <w:nsid w:val="700416D7"/>
    <w:multiLevelType w:val="hybridMultilevel"/>
    <w:tmpl w:val="F3EC55B4"/>
    <w:lvl w:ilvl="0" w:tplc="3EA833AA">
      <w:start w:val="1"/>
      <w:numFmt w:val="bullet"/>
      <w:lvlText w:val="-"/>
      <w:lvlJc w:val="left"/>
      <w:pPr>
        <w:ind w:left="4"/>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85DCEF6E">
      <w:start w:val="1"/>
      <w:numFmt w:val="bullet"/>
      <w:lvlText w:val="o"/>
      <w:lvlJc w:val="left"/>
      <w:pPr>
        <w:ind w:left="11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FD764D38">
      <w:start w:val="1"/>
      <w:numFmt w:val="bullet"/>
      <w:lvlText w:val="▪"/>
      <w:lvlJc w:val="left"/>
      <w:pPr>
        <w:ind w:left="18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DB4EC0FC">
      <w:start w:val="1"/>
      <w:numFmt w:val="bullet"/>
      <w:lvlText w:val="•"/>
      <w:lvlJc w:val="left"/>
      <w:pPr>
        <w:ind w:left="25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3CB66816">
      <w:start w:val="1"/>
      <w:numFmt w:val="bullet"/>
      <w:lvlText w:val="o"/>
      <w:lvlJc w:val="left"/>
      <w:pPr>
        <w:ind w:left="33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78025D92">
      <w:start w:val="1"/>
      <w:numFmt w:val="bullet"/>
      <w:lvlText w:val="▪"/>
      <w:lvlJc w:val="left"/>
      <w:pPr>
        <w:ind w:left="403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3B325DAE">
      <w:start w:val="1"/>
      <w:numFmt w:val="bullet"/>
      <w:lvlText w:val="•"/>
      <w:lvlJc w:val="left"/>
      <w:pPr>
        <w:ind w:left="47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77D49130">
      <w:start w:val="1"/>
      <w:numFmt w:val="bullet"/>
      <w:lvlText w:val="o"/>
      <w:lvlJc w:val="left"/>
      <w:pPr>
        <w:ind w:left="54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72F8385E">
      <w:start w:val="1"/>
      <w:numFmt w:val="bullet"/>
      <w:lvlText w:val="▪"/>
      <w:lvlJc w:val="left"/>
      <w:pPr>
        <w:ind w:left="61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92" w15:restartNumberingAfterBreak="0">
    <w:nsid w:val="710F0A28"/>
    <w:multiLevelType w:val="hybridMultilevel"/>
    <w:tmpl w:val="A0989256"/>
    <w:lvl w:ilvl="0" w:tplc="7228C586">
      <w:start w:val="1"/>
      <w:numFmt w:val="decimal"/>
      <w:lvlText w:val="%1."/>
      <w:lvlJc w:val="left"/>
      <w:pPr>
        <w:ind w:left="2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A24A4AE">
      <w:start w:val="1"/>
      <w:numFmt w:val="lowerLetter"/>
      <w:lvlText w:val="%2)"/>
      <w:lvlJc w:val="left"/>
      <w:pPr>
        <w:ind w:left="5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21045FC">
      <w:start w:val="1"/>
      <w:numFmt w:val="lowerRoman"/>
      <w:lvlText w:val="%3"/>
      <w:lvlJc w:val="left"/>
      <w:pPr>
        <w:ind w:left="13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1E2238C">
      <w:start w:val="1"/>
      <w:numFmt w:val="decimal"/>
      <w:lvlText w:val="%4"/>
      <w:lvlJc w:val="left"/>
      <w:pPr>
        <w:ind w:left="2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B9656CC">
      <w:start w:val="1"/>
      <w:numFmt w:val="lowerLetter"/>
      <w:lvlText w:val="%5"/>
      <w:lvlJc w:val="left"/>
      <w:pPr>
        <w:ind w:left="2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8124190">
      <w:start w:val="1"/>
      <w:numFmt w:val="lowerRoman"/>
      <w:lvlText w:val="%6"/>
      <w:lvlJc w:val="left"/>
      <w:pPr>
        <w:ind w:left="3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0902562">
      <w:start w:val="1"/>
      <w:numFmt w:val="decimal"/>
      <w:lvlText w:val="%7"/>
      <w:lvlJc w:val="left"/>
      <w:pPr>
        <w:ind w:left="4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086DDCC">
      <w:start w:val="1"/>
      <w:numFmt w:val="lowerLetter"/>
      <w:lvlText w:val="%8"/>
      <w:lvlJc w:val="left"/>
      <w:pPr>
        <w:ind w:left="49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544773A">
      <w:start w:val="1"/>
      <w:numFmt w:val="lowerRoman"/>
      <w:lvlText w:val="%9"/>
      <w:lvlJc w:val="left"/>
      <w:pPr>
        <w:ind w:left="56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3" w15:restartNumberingAfterBreak="0">
    <w:nsid w:val="71E351B4"/>
    <w:multiLevelType w:val="hybridMultilevel"/>
    <w:tmpl w:val="56A697CE"/>
    <w:lvl w:ilvl="0" w:tplc="6114C176">
      <w:start w:val="19"/>
      <w:numFmt w:val="lowerLetter"/>
      <w:lvlText w:val="%1)"/>
      <w:lvlJc w:val="left"/>
      <w:pPr>
        <w:ind w:left="7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F84A044">
      <w:start w:val="1"/>
      <w:numFmt w:val="lowerLetter"/>
      <w:lvlText w:val="%2"/>
      <w:lvlJc w:val="left"/>
      <w:pPr>
        <w:ind w:left="15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C774511C">
      <w:start w:val="1"/>
      <w:numFmt w:val="lowerRoman"/>
      <w:lvlText w:val="%3"/>
      <w:lvlJc w:val="left"/>
      <w:pPr>
        <w:ind w:left="22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37788198">
      <w:start w:val="1"/>
      <w:numFmt w:val="decimal"/>
      <w:lvlText w:val="%4"/>
      <w:lvlJc w:val="left"/>
      <w:pPr>
        <w:ind w:left="29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33EAE784">
      <w:start w:val="1"/>
      <w:numFmt w:val="lowerLetter"/>
      <w:lvlText w:val="%5"/>
      <w:lvlJc w:val="left"/>
      <w:pPr>
        <w:ind w:left="36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620842A6">
      <w:start w:val="1"/>
      <w:numFmt w:val="lowerRoman"/>
      <w:lvlText w:val="%6"/>
      <w:lvlJc w:val="left"/>
      <w:pPr>
        <w:ind w:left="43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682AA3F0">
      <w:start w:val="1"/>
      <w:numFmt w:val="decimal"/>
      <w:lvlText w:val="%7"/>
      <w:lvlJc w:val="left"/>
      <w:pPr>
        <w:ind w:left="51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DEA2699A">
      <w:start w:val="1"/>
      <w:numFmt w:val="lowerLetter"/>
      <w:lvlText w:val="%8"/>
      <w:lvlJc w:val="left"/>
      <w:pPr>
        <w:ind w:left="58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AD54F51E">
      <w:start w:val="1"/>
      <w:numFmt w:val="lowerRoman"/>
      <w:lvlText w:val="%9"/>
      <w:lvlJc w:val="left"/>
      <w:pPr>
        <w:ind w:left="65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94" w15:restartNumberingAfterBreak="0">
    <w:nsid w:val="74A65F3A"/>
    <w:multiLevelType w:val="hybridMultilevel"/>
    <w:tmpl w:val="EF54327A"/>
    <w:lvl w:ilvl="0" w:tplc="B80C5744">
      <w:start w:val="1"/>
      <w:numFmt w:val="bullet"/>
      <w:lvlText w:val="-"/>
      <w:lvlJc w:val="left"/>
      <w:pPr>
        <w:ind w:left="5"/>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66A8A65E">
      <w:start w:val="1"/>
      <w:numFmt w:val="bullet"/>
      <w:lvlText w:val="o"/>
      <w:lvlJc w:val="left"/>
      <w:pPr>
        <w:ind w:left="11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D6FC12E6">
      <w:start w:val="1"/>
      <w:numFmt w:val="bullet"/>
      <w:lvlText w:val="▪"/>
      <w:lvlJc w:val="left"/>
      <w:pPr>
        <w:ind w:left="18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6B40CF10">
      <w:start w:val="1"/>
      <w:numFmt w:val="bullet"/>
      <w:lvlText w:val="•"/>
      <w:lvlJc w:val="left"/>
      <w:pPr>
        <w:ind w:left="25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10CE1772">
      <w:start w:val="1"/>
      <w:numFmt w:val="bullet"/>
      <w:lvlText w:val="o"/>
      <w:lvlJc w:val="left"/>
      <w:pPr>
        <w:ind w:left="33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DAD6002E">
      <w:start w:val="1"/>
      <w:numFmt w:val="bullet"/>
      <w:lvlText w:val="▪"/>
      <w:lvlJc w:val="left"/>
      <w:pPr>
        <w:ind w:left="403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48DC8CBA">
      <w:start w:val="1"/>
      <w:numFmt w:val="bullet"/>
      <w:lvlText w:val="•"/>
      <w:lvlJc w:val="left"/>
      <w:pPr>
        <w:ind w:left="47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3418F626">
      <w:start w:val="1"/>
      <w:numFmt w:val="bullet"/>
      <w:lvlText w:val="o"/>
      <w:lvlJc w:val="left"/>
      <w:pPr>
        <w:ind w:left="54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A0E4D282">
      <w:start w:val="1"/>
      <w:numFmt w:val="bullet"/>
      <w:lvlText w:val="▪"/>
      <w:lvlJc w:val="left"/>
      <w:pPr>
        <w:ind w:left="61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95" w15:restartNumberingAfterBreak="0">
    <w:nsid w:val="75365B21"/>
    <w:multiLevelType w:val="hybridMultilevel"/>
    <w:tmpl w:val="6ED2E7AA"/>
    <w:lvl w:ilvl="0" w:tplc="EB6C548C">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3A4BC0">
      <w:start w:val="1"/>
      <w:numFmt w:val="lowerLetter"/>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E27362">
      <w:start w:val="1"/>
      <w:numFmt w:val="lowerRoman"/>
      <w:lvlText w:val="%3)"/>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F81F22">
      <w:start w:val="1"/>
      <w:numFmt w:val="decimal"/>
      <w:lvlText w:val="%4"/>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1AE994">
      <w:start w:val="1"/>
      <w:numFmt w:val="lowerLetter"/>
      <w:lvlText w:val="%5"/>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407B7A">
      <w:start w:val="1"/>
      <w:numFmt w:val="lowerRoman"/>
      <w:lvlText w:val="%6"/>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040174">
      <w:start w:val="1"/>
      <w:numFmt w:val="decimal"/>
      <w:lvlText w:val="%7"/>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FCCDD6">
      <w:start w:val="1"/>
      <w:numFmt w:val="lowerLetter"/>
      <w:lvlText w:val="%8"/>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22671E">
      <w:start w:val="1"/>
      <w:numFmt w:val="lowerRoman"/>
      <w:lvlText w:val="%9"/>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799757A1"/>
    <w:multiLevelType w:val="hybridMultilevel"/>
    <w:tmpl w:val="FE6ADAAA"/>
    <w:lvl w:ilvl="0" w:tplc="2D6ABB30">
      <w:start w:val="1"/>
      <w:numFmt w:val="decimal"/>
      <w:lvlText w:val="%1."/>
      <w:lvlJc w:val="left"/>
      <w:pPr>
        <w:ind w:left="2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84C2E82">
      <w:start w:val="2"/>
      <w:numFmt w:val="lowerLetter"/>
      <w:lvlText w:val="%2)"/>
      <w:lvlJc w:val="left"/>
      <w:pPr>
        <w:ind w:left="5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0089A98">
      <w:start w:val="1"/>
      <w:numFmt w:val="lowerRoman"/>
      <w:lvlText w:val="%3"/>
      <w:lvlJc w:val="left"/>
      <w:pPr>
        <w:ind w:left="13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45E497C">
      <w:start w:val="1"/>
      <w:numFmt w:val="decimal"/>
      <w:lvlText w:val="%4"/>
      <w:lvlJc w:val="left"/>
      <w:pPr>
        <w:ind w:left="2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8F8689A">
      <w:start w:val="1"/>
      <w:numFmt w:val="lowerLetter"/>
      <w:lvlText w:val="%5"/>
      <w:lvlJc w:val="left"/>
      <w:pPr>
        <w:ind w:left="2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2BC57DE">
      <w:start w:val="1"/>
      <w:numFmt w:val="lowerRoman"/>
      <w:lvlText w:val="%6"/>
      <w:lvlJc w:val="left"/>
      <w:pPr>
        <w:ind w:left="3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3D24862">
      <w:start w:val="1"/>
      <w:numFmt w:val="decimal"/>
      <w:lvlText w:val="%7"/>
      <w:lvlJc w:val="left"/>
      <w:pPr>
        <w:ind w:left="4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A088BE6">
      <w:start w:val="1"/>
      <w:numFmt w:val="lowerLetter"/>
      <w:lvlText w:val="%8"/>
      <w:lvlJc w:val="left"/>
      <w:pPr>
        <w:ind w:left="49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ECB418">
      <w:start w:val="1"/>
      <w:numFmt w:val="lowerRoman"/>
      <w:lvlText w:val="%9"/>
      <w:lvlJc w:val="left"/>
      <w:pPr>
        <w:ind w:left="56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7" w15:restartNumberingAfterBreak="0">
    <w:nsid w:val="79980FE4"/>
    <w:multiLevelType w:val="hybridMultilevel"/>
    <w:tmpl w:val="8D463E5E"/>
    <w:lvl w:ilvl="0" w:tplc="EA846AC4">
      <w:start w:val="1"/>
      <w:numFmt w:val="bullet"/>
      <w:lvlText w:val="-"/>
      <w:lvlJc w:val="left"/>
      <w:pPr>
        <w:ind w:left="9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3F425A98">
      <w:start w:val="1"/>
      <w:numFmt w:val="bullet"/>
      <w:lvlText w:val="o"/>
      <w:lvlJc w:val="left"/>
      <w:pPr>
        <w:ind w:left="11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EA50BB2A">
      <w:start w:val="1"/>
      <w:numFmt w:val="bullet"/>
      <w:lvlText w:val="▪"/>
      <w:lvlJc w:val="left"/>
      <w:pPr>
        <w:ind w:left="18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D884DF62">
      <w:start w:val="1"/>
      <w:numFmt w:val="bullet"/>
      <w:lvlText w:val="•"/>
      <w:lvlJc w:val="left"/>
      <w:pPr>
        <w:ind w:left="25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70C81CC6">
      <w:start w:val="1"/>
      <w:numFmt w:val="bullet"/>
      <w:lvlText w:val="o"/>
      <w:lvlJc w:val="left"/>
      <w:pPr>
        <w:ind w:left="33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4DD42BE0">
      <w:start w:val="1"/>
      <w:numFmt w:val="bullet"/>
      <w:lvlText w:val="▪"/>
      <w:lvlJc w:val="left"/>
      <w:pPr>
        <w:ind w:left="403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B3A0B98A">
      <w:start w:val="1"/>
      <w:numFmt w:val="bullet"/>
      <w:lvlText w:val="•"/>
      <w:lvlJc w:val="left"/>
      <w:pPr>
        <w:ind w:left="47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81004704">
      <w:start w:val="1"/>
      <w:numFmt w:val="bullet"/>
      <w:lvlText w:val="o"/>
      <w:lvlJc w:val="left"/>
      <w:pPr>
        <w:ind w:left="54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B9407050">
      <w:start w:val="1"/>
      <w:numFmt w:val="bullet"/>
      <w:lvlText w:val="▪"/>
      <w:lvlJc w:val="left"/>
      <w:pPr>
        <w:ind w:left="61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98" w15:restartNumberingAfterBreak="0">
    <w:nsid w:val="7AC63F18"/>
    <w:multiLevelType w:val="hybridMultilevel"/>
    <w:tmpl w:val="9BA459E4"/>
    <w:lvl w:ilvl="0" w:tplc="D7FA2EA4">
      <w:start w:val="1"/>
      <w:numFmt w:val="bullet"/>
      <w:lvlText w:val="-"/>
      <w:lvlJc w:val="left"/>
      <w:pPr>
        <w:ind w:left="94"/>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C5D61434">
      <w:start w:val="1"/>
      <w:numFmt w:val="bullet"/>
      <w:lvlText w:val="o"/>
      <w:lvlJc w:val="left"/>
      <w:pPr>
        <w:ind w:left="11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85660410">
      <w:start w:val="1"/>
      <w:numFmt w:val="bullet"/>
      <w:lvlText w:val="▪"/>
      <w:lvlJc w:val="left"/>
      <w:pPr>
        <w:ind w:left="18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16CE2B7C">
      <w:start w:val="1"/>
      <w:numFmt w:val="bullet"/>
      <w:lvlText w:val="•"/>
      <w:lvlJc w:val="left"/>
      <w:pPr>
        <w:ind w:left="25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7C00A992">
      <w:start w:val="1"/>
      <w:numFmt w:val="bullet"/>
      <w:lvlText w:val="o"/>
      <w:lvlJc w:val="left"/>
      <w:pPr>
        <w:ind w:left="33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C14E496C">
      <w:start w:val="1"/>
      <w:numFmt w:val="bullet"/>
      <w:lvlText w:val="▪"/>
      <w:lvlJc w:val="left"/>
      <w:pPr>
        <w:ind w:left="403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44A01376">
      <w:start w:val="1"/>
      <w:numFmt w:val="bullet"/>
      <w:lvlText w:val="•"/>
      <w:lvlJc w:val="left"/>
      <w:pPr>
        <w:ind w:left="47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E69CB634">
      <w:start w:val="1"/>
      <w:numFmt w:val="bullet"/>
      <w:lvlText w:val="o"/>
      <w:lvlJc w:val="left"/>
      <w:pPr>
        <w:ind w:left="54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979A97E6">
      <w:start w:val="1"/>
      <w:numFmt w:val="bullet"/>
      <w:lvlText w:val="▪"/>
      <w:lvlJc w:val="left"/>
      <w:pPr>
        <w:ind w:left="61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99" w15:restartNumberingAfterBreak="0">
    <w:nsid w:val="7D1B548A"/>
    <w:multiLevelType w:val="hybridMultilevel"/>
    <w:tmpl w:val="03286CBC"/>
    <w:lvl w:ilvl="0" w:tplc="CBE25380">
      <w:start w:val="1"/>
      <w:numFmt w:val="bullet"/>
      <w:lvlText w:val="-"/>
      <w:lvlJc w:val="left"/>
      <w:pPr>
        <w:ind w:left="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D8A8C46">
      <w:start w:val="1"/>
      <w:numFmt w:val="bullet"/>
      <w:lvlText w:val="o"/>
      <w:lvlJc w:val="left"/>
      <w:pPr>
        <w:ind w:left="1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4ACB0A6">
      <w:start w:val="1"/>
      <w:numFmt w:val="bullet"/>
      <w:lvlText w:val="▪"/>
      <w:lvlJc w:val="left"/>
      <w:pPr>
        <w:ind w:left="1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A628D22">
      <w:start w:val="1"/>
      <w:numFmt w:val="bullet"/>
      <w:lvlText w:val="•"/>
      <w:lvlJc w:val="left"/>
      <w:pPr>
        <w:ind w:left="2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7463C7E">
      <w:start w:val="1"/>
      <w:numFmt w:val="bullet"/>
      <w:lvlText w:val="o"/>
      <w:lvlJc w:val="left"/>
      <w:pPr>
        <w:ind w:left="33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BB854F6">
      <w:start w:val="1"/>
      <w:numFmt w:val="bullet"/>
      <w:lvlText w:val="▪"/>
      <w:lvlJc w:val="left"/>
      <w:pPr>
        <w:ind w:left="40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A1C0512">
      <w:start w:val="1"/>
      <w:numFmt w:val="bullet"/>
      <w:lvlText w:val="•"/>
      <w:lvlJc w:val="left"/>
      <w:pPr>
        <w:ind w:left="47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A8AA640">
      <w:start w:val="1"/>
      <w:numFmt w:val="bullet"/>
      <w:lvlText w:val="o"/>
      <w:lvlJc w:val="left"/>
      <w:pPr>
        <w:ind w:left="54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802310C">
      <w:start w:val="1"/>
      <w:numFmt w:val="bullet"/>
      <w:lvlText w:val="▪"/>
      <w:lvlJc w:val="left"/>
      <w:pPr>
        <w:ind w:left="61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0" w15:restartNumberingAfterBreak="0">
    <w:nsid w:val="7D1E4CBE"/>
    <w:multiLevelType w:val="hybridMultilevel"/>
    <w:tmpl w:val="B69C15D8"/>
    <w:lvl w:ilvl="0" w:tplc="4F944992">
      <w:start w:val="1"/>
      <w:numFmt w:val="decimal"/>
      <w:lvlText w:val="%1."/>
      <w:lvlJc w:val="left"/>
      <w:pPr>
        <w:ind w:left="2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FF0906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980D5F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B5C48F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006D05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9A031A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3A4C6C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EA241B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2581DE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1" w15:restartNumberingAfterBreak="0">
    <w:nsid w:val="7D2A0BBD"/>
    <w:multiLevelType w:val="hybridMultilevel"/>
    <w:tmpl w:val="2A4AD3C0"/>
    <w:lvl w:ilvl="0" w:tplc="F282E6E6">
      <w:start w:val="1"/>
      <w:numFmt w:val="bullet"/>
      <w:lvlText w:val="-"/>
      <w:lvlJc w:val="left"/>
      <w:pPr>
        <w:ind w:left="9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94FE6498">
      <w:start w:val="1"/>
      <w:numFmt w:val="bullet"/>
      <w:lvlText w:val="o"/>
      <w:lvlJc w:val="left"/>
      <w:pPr>
        <w:ind w:left="11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90C6766C">
      <w:start w:val="1"/>
      <w:numFmt w:val="bullet"/>
      <w:lvlText w:val="▪"/>
      <w:lvlJc w:val="left"/>
      <w:pPr>
        <w:ind w:left="18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7660DEAA">
      <w:start w:val="1"/>
      <w:numFmt w:val="bullet"/>
      <w:lvlText w:val="•"/>
      <w:lvlJc w:val="left"/>
      <w:pPr>
        <w:ind w:left="25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B40E065A">
      <w:start w:val="1"/>
      <w:numFmt w:val="bullet"/>
      <w:lvlText w:val="o"/>
      <w:lvlJc w:val="left"/>
      <w:pPr>
        <w:ind w:left="33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E4042F32">
      <w:start w:val="1"/>
      <w:numFmt w:val="bullet"/>
      <w:lvlText w:val="▪"/>
      <w:lvlJc w:val="left"/>
      <w:pPr>
        <w:ind w:left="403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EC94A036">
      <w:start w:val="1"/>
      <w:numFmt w:val="bullet"/>
      <w:lvlText w:val="•"/>
      <w:lvlJc w:val="left"/>
      <w:pPr>
        <w:ind w:left="475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B09C002E">
      <w:start w:val="1"/>
      <w:numFmt w:val="bullet"/>
      <w:lvlText w:val="o"/>
      <w:lvlJc w:val="left"/>
      <w:pPr>
        <w:ind w:left="547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609CAC82">
      <w:start w:val="1"/>
      <w:numFmt w:val="bullet"/>
      <w:lvlText w:val="▪"/>
      <w:lvlJc w:val="left"/>
      <w:pPr>
        <w:ind w:left="619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102" w15:restartNumberingAfterBreak="0">
    <w:nsid w:val="7EC80726"/>
    <w:multiLevelType w:val="hybridMultilevel"/>
    <w:tmpl w:val="FBF0C74A"/>
    <w:lvl w:ilvl="0" w:tplc="F1B2E1F2">
      <w:start w:val="15"/>
      <w:numFmt w:val="lowerLetter"/>
      <w:lvlText w:val="%1)"/>
      <w:lvlJc w:val="left"/>
      <w:pPr>
        <w:ind w:left="7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57C2252">
      <w:start w:val="1"/>
      <w:numFmt w:val="lowerLetter"/>
      <w:lvlText w:val="%2"/>
      <w:lvlJc w:val="left"/>
      <w:pPr>
        <w:ind w:left="15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EC5E8552">
      <w:start w:val="1"/>
      <w:numFmt w:val="lowerRoman"/>
      <w:lvlText w:val="%3"/>
      <w:lvlJc w:val="left"/>
      <w:pPr>
        <w:ind w:left="22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3FC6E476">
      <w:start w:val="1"/>
      <w:numFmt w:val="decimal"/>
      <w:lvlText w:val="%4"/>
      <w:lvlJc w:val="left"/>
      <w:pPr>
        <w:ind w:left="29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DAE4796">
      <w:start w:val="1"/>
      <w:numFmt w:val="lowerLetter"/>
      <w:lvlText w:val="%5"/>
      <w:lvlJc w:val="left"/>
      <w:pPr>
        <w:ind w:left="36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CF068F60">
      <w:start w:val="1"/>
      <w:numFmt w:val="lowerRoman"/>
      <w:lvlText w:val="%6"/>
      <w:lvlJc w:val="left"/>
      <w:pPr>
        <w:ind w:left="43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F6C2119C">
      <w:start w:val="1"/>
      <w:numFmt w:val="decimal"/>
      <w:lvlText w:val="%7"/>
      <w:lvlJc w:val="left"/>
      <w:pPr>
        <w:ind w:left="51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D1484746">
      <w:start w:val="1"/>
      <w:numFmt w:val="lowerLetter"/>
      <w:lvlText w:val="%8"/>
      <w:lvlJc w:val="left"/>
      <w:pPr>
        <w:ind w:left="58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F1E80DC">
      <w:start w:val="1"/>
      <w:numFmt w:val="lowerRoman"/>
      <w:lvlText w:val="%9"/>
      <w:lvlJc w:val="left"/>
      <w:pPr>
        <w:ind w:left="65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num w:numId="1">
    <w:abstractNumId w:val="31"/>
  </w:num>
  <w:num w:numId="2">
    <w:abstractNumId w:val="12"/>
  </w:num>
  <w:num w:numId="3">
    <w:abstractNumId w:val="15"/>
  </w:num>
  <w:num w:numId="4">
    <w:abstractNumId w:val="37"/>
  </w:num>
  <w:num w:numId="5">
    <w:abstractNumId w:val="8"/>
  </w:num>
  <w:num w:numId="6">
    <w:abstractNumId w:val="32"/>
  </w:num>
  <w:num w:numId="7">
    <w:abstractNumId w:val="40"/>
  </w:num>
  <w:num w:numId="8">
    <w:abstractNumId w:val="33"/>
  </w:num>
  <w:num w:numId="9">
    <w:abstractNumId w:val="87"/>
  </w:num>
  <w:num w:numId="10">
    <w:abstractNumId w:val="66"/>
  </w:num>
  <w:num w:numId="11">
    <w:abstractNumId w:val="100"/>
  </w:num>
  <w:num w:numId="12">
    <w:abstractNumId w:val="61"/>
  </w:num>
  <w:num w:numId="13">
    <w:abstractNumId w:val="70"/>
  </w:num>
  <w:num w:numId="14">
    <w:abstractNumId w:val="96"/>
  </w:num>
  <w:num w:numId="15">
    <w:abstractNumId w:val="51"/>
  </w:num>
  <w:num w:numId="16">
    <w:abstractNumId w:val="92"/>
  </w:num>
  <w:num w:numId="17">
    <w:abstractNumId w:val="56"/>
  </w:num>
  <w:num w:numId="18">
    <w:abstractNumId w:val="85"/>
  </w:num>
  <w:num w:numId="19">
    <w:abstractNumId w:val="52"/>
  </w:num>
  <w:num w:numId="20">
    <w:abstractNumId w:val="62"/>
  </w:num>
  <w:num w:numId="21">
    <w:abstractNumId w:val="65"/>
  </w:num>
  <w:num w:numId="22">
    <w:abstractNumId w:val="14"/>
  </w:num>
  <w:num w:numId="23">
    <w:abstractNumId w:val="11"/>
  </w:num>
  <w:num w:numId="24">
    <w:abstractNumId w:val="80"/>
  </w:num>
  <w:num w:numId="25">
    <w:abstractNumId w:val="13"/>
  </w:num>
  <w:num w:numId="26">
    <w:abstractNumId w:val="5"/>
  </w:num>
  <w:num w:numId="27">
    <w:abstractNumId w:val="22"/>
  </w:num>
  <w:num w:numId="28">
    <w:abstractNumId w:val="67"/>
  </w:num>
  <w:num w:numId="29">
    <w:abstractNumId w:val="35"/>
  </w:num>
  <w:num w:numId="30">
    <w:abstractNumId w:val="102"/>
  </w:num>
  <w:num w:numId="31">
    <w:abstractNumId w:val="93"/>
  </w:num>
  <w:num w:numId="32">
    <w:abstractNumId w:val="23"/>
  </w:num>
  <w:num w:numId="33">
    <w:abstractNumId w:val="27"/>
  </w:num>
  <w:num w:numId="34">
    <w:abstractNumId w:val="95"/>
  </w:num>
  <w:num w:numId="35">
    <w:abstractNumId w:val="49"/>
  </w:num>
  <w:num w:numId="36">
    <w:abstractNumId w:val="73"/>
  </w:num>
  <w:num w:numId="37">
    <w:abstractNumId w:val="60"/>
  </w:num>
  <w:num w:numId="38">
    <w:abstractNumId w:val="64"/>
  </w:num>
  <w:num w:numId="39">
    <w:abstractNumId w:val="63"/>
  </w:num>
  <w:num w:numId="40">
    <w:abstractNumId w:val="72"/>
  </w:num>
  <w:num w:numId="41">
    <w:abstractNumId w:val="16"/>
  </w:num>
  <w:num w:numId="42">
    <w:abstractNumId w:val="44"/>
  </w:num>
  <w:num w:numId="43">
    <w:abstractNumId w:val="30"/>
  </w:num>
  <w:num w:numId="44">
    <w:abstractNumId w:val="79"/>
  </w:num>
  <w:num w:numId="45">
    <w:abstractNumId w:val="20"/>
  </w:num>
  <w:num w:numId="46">
    <w:abstractNumId w:val="77"/>
  </w:num>
  <w:num w:numId="47">
    <w:abstractNumId w:val="45"/>
  </w:num>
  <w:num w:numId="48">
    <w:abstractNumId w:val="75"/>
  </w:num>
  <w:num w:numId="49">
    <w:abstractNumId w:val="41"/>
  </w:num>
  <w:num w:numId="50">
    <w:abstractNumId w:val="9"/>
  </w:num>
  <w:num w:numId="51">
    <w:abstractNumId w:val="90"/>
  </w:num>
  <w:num w:numId="52">
    <w:abstractNumId w:val="81"/>
  </w:num>
  <w:num w:numId="53">
    <w:abstractNumId w:val="50"/>
  </w:num>
  <w:num w:numId="54">
    <w:abstractNumId w:val="83"/>
  </w:num>
  <w:num w:numId="55">
    <w:abstractNumId w:val="54"/>
  </w:num>
  <w:num w:numId="56">
    <w:abstractNumId w:val="19"/>
  </w:num>
  <w:num w:numId="57">
    <w:abstractNumId w:val="94"/>
  </w:num>
  <w:num w:numId="58">
    <w:abstractNumId w:val="34"/>
  </w:num>
  <w:num w:numId="59">
    <w:abstractNumId w:val="55"/>
  </w:num>
  <w:num w:numId="60">
    <w:abstractNumId w:val="25"/>
  </w:num>
  <w:num w:numId="61">
    <w:abstractNumId w:val="91"/>
  </w:num>
  <w:num w:numId="62">
    <w:abstractNumId w:val="97"/>
  </w:num>
  <w:num w:numId="63">
    <w:abstractNumId w:val="21"/>
  </w:num>
  <w:num w:numId="64">
    <w:abstractNumId w:val="98"/>
  </w:num>
  <w:num w:numId="65">
    <w:abstractNumId w:val="76"/>
  </w:num>
  <w:num w:numId="66">
    <w:abstractNumId w:val="48"/>
  </w:num>
  <w:num w:numId="67">
    <w:abstractNumId w:val="53"/>
  </w:num>
  <w:num w:numId="68">
    <w:abstractNumId w:val="24"/>
  </w:num>
  <w:num w:numId="69">
    <w:abstractNumId w:val="17"/>
  </w:num>
  <w:num w:numId="70">
    <w:abstractNumId w:val="6"/>
  </w:num>
  <w:num w:numId="71">
    <w:abstractNumId w:val="69"/>
  </w:num>
  <w:num w:numId="72">
    <w:abstractNumId w:val="86"/>
  </w:num>
  <w:num w:numId="73">
    <w:abstractNumId w:val="58"/>
  </w:num>
  <w:num w:numId="74">
    <w:abstractNumId w:val="10"/>
  </w:num>
  <w:num w:numId="75">
    <w:abstractNumId w:val="88"/>
  </w:num>
  <w:num w:numId="76">
    <w:abstractNumId w:val="46"/>
  </w:num>
  <w:num w:numId="77">
    <w:abstractNumId w:val="57"/>
  </w:num>
  <w:num w:numId="78">
    <w:abstractNumId w:val="39"/>
  </w:num>
  <w:num w:numId="79">
    <w:abstractNumId w:val="74"/>
  </w:num>
  <w:num w:numId="80">
    <w:abstractNumId w:val="101"/>
  </w:num>
  <w:num w:numId="81">
    <w:abstractNumId w:val="59"/>
  </w:num>
  <w:num w:numId="82">
    <w:abstractNumId w:val="84"/>
  </w:num>
  <w:num w:numId="83">
    <w:abstractNumId w:val="47"/>
  </w:num>
  <w:num w:numId="84">
    <w:abstractNumId w:val="1"/>
  </w:num>
  <w:num w:numId="85">
    <w:abstractNumId w:val="0"/>
  </w:num>
  <w:num w:numId="86">
    <w:abstractNumId w:val="99"/>
  </w:num>
  <w:num w:numId="87">
    <w:abstractNumId w:val="4"/>
  </w:num>
  <w:num w:numId="88">
    <w:abstractNumId w:val="38"/>
  </w:num>
  <w:num w:numId="89">
    <w:abstractNumId w:val="71"/>
  </w:num>
  <w:num w:numId="90">
    <w:abstractNumId w:val="78"/>
  </w:num>
  <w:num w:numId="91">
    <w:abstractNumId w:val="2"/>
  </w:num>
  <w:num w:numId="92">
    <w:abstractNumId w:val="28"/>
  </w:num>
  <w:num w:numId="93">
    <w:abstractNumId w:val="43"/>
  </w:num>
  <w:num w:numId="94">
    <w:abstractNumId w:val="26"/>
  </w:num>
  <w:num w:numId="95">
    <w:abstractNumId w:val="89"/>
  </w:num>
  <w:num w:numId="96">
    <w:abstractNumId w:val="3"/>
  </w:num>
  <w:num w:numId="97">
    <w:abstractNumId w:val="29"/>
  </w:num>
  <w:num w:numId="98">
    <w:abstractNumId w:val="42"/>
  </w:num>
  <w:num w:numId="99">
    <w:abstractNumId w:val="36"/>
  </w:num>
  <w:num w:numId="100">
    <w:abstractNumId w:val="18"/>
  </w:num>
  <w:num w:numId="101">
    <w:abstractNumId w:val="82"/>
  </w:num>
  <w:num w:numId="102">
    <w:abstractNumId w:val="7"/>
  </w:num>
  <w:num w:numId="103">
    <w:abstractNumId w:val="6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3CB"/>
    <w:rsid w:val="00161698"/>
    <w:rsid w:val="00386DED"/>
    <w:rsid w:val="00423D55"/>
    <w:rsid w:val="004B5C2E"/>
    <w:rsid w:val="007043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AF2D"/>
  <w15:docId w15:val="{3EF05EA5-E5E6-45C1-A35A-F12A0A48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48" w:lineRule="auto"/>
      <w:ind w:left="617" w:hanging="281"/>
      <w:jc w:val="both"/>
    </w:pPr>
    <w:rPr>
      <w:rFonts w:ascii="Calibri" w:eastAsia="Calibri" w:hAnsi="Calibri" w:cs="Calibri"/>
      <w:color w:val="000000"/>
      <w:sz w:val="18"/>
    </w:rPr>
  </w:style>
  <w:style w:type="paragraph" w:styleId="Nadpis1">
    <w:name w:val="heading 1"/>
    <w:next w:val="Normln"/>
    <w:link w:val="Nadpis1Char"/>
    <w:uiPriority w:val="9"/>
    <w:unhideWhenUsed/>
    <w:qFormat/>
    <w:pPr>
      <w:keepNext/>
      <w:keepLines/>
      <w:spacing w:after="15" w:line="248" w:lineRule="auto"/>
      <w:ind w:left="152" w:hanging="10"/>
      <w:outlineLvl w:val="0"/>
    </w:pPr>
    <w:rPr>
      <w:rFonts w:ascii="Calibri" w:eastAsia="Calibri" w:hAnsi="Calibri" w:cs="Calibri"/>
      <w:b/>
      <w:color w:val="000000"/>
      <w:sz w:val="32"/>
    </w:rPr>
  </w:style>
  <w:style w:type="paragraph" w:styleId="Nadpis2">
    <w:name w:val="heading 2"/>
    <w:next w:val="Normln"/>
    <w:link w:val="Nadpis2Char"/>
    <w:uiPriority w:val="9"/>
    <w:unhideWhenUsed/>
    <w:qFormat/>
    <w:pPr>
      <w:keepNext/>
      <w:keepLines/>
      <w:spacing w:after="5" w:line="248" w:lineRule="auto"/>
      <w:ind w:left="152" w:hanging="10"/>
      <w:jc w:val="center"/>
      <w:outlineLvl w:val="1"/>
    </w:pPr>
    <w:rPr>
      <w:rFonts w:ascii="Calibri" w:eastAsia="Calibri" w:hAnsi="Calibri" w:cs="Calibri"/>
      <w:b/>
      <w:color w:val="000000"/>
      <w:sz w:val="20"/>
    </w:rPr>
  </w:style>
  <w:style w:type="paragraph" w:styleId="Nadpis3">
    <w:name w:val="heading 3"/>
    <w:next w:val="Normln"/>
    <w:link w:val="Nadpis3Char"/>
    <w:uiPriority w:val="9"/>
    <w:unhideWhenUsed/>
    <w:qFormat/>
    <w:pPr>
      <w:keepNext/>
      <w:keepLines/>
      <w:spacing w:after="5" w:line="248" w:lineRule="auto"/>
      <w:ind w:left="152" w:hanging="10"/>
      <w:jc w:val="center"/>
      <w:outlineLvl w:val="2"/>
    </w:pPr>
    <w:rPr>
      <w:rFonts w:ascii="Calibri" w:eastAsia="Calibri" w:hAnsi="Calibri" w:cs="Calibri"/>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32"/>
    </w:rPr>
  </w:style>
  <w:style w:type="character" w:customStyle="1" w:styleId="Nadpis2Char">
    <w:name w:val="Nadpis 2 Char"/>
    <w:link w:val="Nadpis2"/>
    <w:rPr>
      <w:rFonts w:ascii="Calibri" w:eastAsia="Calibri" w:hAnsi="Calibri" w:cs="Calibri"/>
      <w:b/>
      <w:color w:val="000000"/>
      <w:sz w:val="20"/>
    </w:rPr>
  </w:style>
  <w:style w:type="character" w:customStyle="1" w:styleId="Nadpis3Char">
    <w:name w:val="Nadpis 3 Char"/>
    <w:link w:val="Nadpis3"/>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koop.cz/" TargetMode="External"/><Relationship Id="rId17" Type="http://schemas.openxmlformats.org/officeDocument/2006/relationships/hyperlink" Target="http://www.vycvikpsa.cz/" TargetMode="External"/><Relationship Id="rId2" Type="http://schemas.openxmlformats.org/officeDocument/2006/relationships/styles" Target="styles.xml"/><Relationship Id="rId16" Type="http://schemas.openxmlformats.org/officeDocument/2006/relationships/hyperlink" Target="http://www.vycvikpsa.cz/" TargetMode="Externa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op.cz/" TargetMode="Externa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24393</Words>
  <Characters>143920</Characters>
  <Application>Microsoft Office Word</Application>
  <DocSecurity>0</DocSecurity>
  <Lines>1199</Lines>
  <Paragraphs>335</Paragraphs>
  <ScaleCrop>false</ScaleCrop>
  <HeadingPairs>
    <vt:vector size="2" baseType="variant">
      <vt:variant>
        <vt:lpstr>Název</vt:lpstr>
      </vt:variant>
      <vt:variant>
        <vt:i4>1</vt:i4>
      </vt:variant>
    </vt:vector>
  </HeadingPairs>
  <TitlesOfParts>
    <vt:vector size="1" baseType="lpstr">
      <vt:lpstr>verze 3</vt:lpstr>
    </vt:vector>
  </TitlesOfParts>
  <Company>Hewlett-Packard Company</Company>
  <LinksUpToDate>false</LinksUpToDate>
  <CharactersWithSpaces>167978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3</dc:title>
  <dc:subject/>
  <dc:creator>Ing. Martin Kortus</dc:creator>
  <cp:keywords/>
  <cp:lastModifiedBy>Zuzana Skuhrovcová</cp:lastModifiedBy>
  <cp:revision>5</cp:revision>
  <dcterms:created xsi:type="dcterms:W3CDTF">2017-11-01T08:12:00Z</dcterms:created>
  <dcterms:modified xsi:type="dcterms:W3CDTF">2017-12-04T10:24:00Z</dcterms:modified>
</cp:coreProperties>
</file>