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F84" w:rsidRDefault="00DB0F84" w:rsidP="00DB0F84">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p>
    <w:p w:rsidR="00DB0F84" w:rsidRDefault="00DB0F84" w:rsidP="00DB0F84">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Pr>
          <w:rFonts w:ascii="Arial" w:hAnsi="Arial" w:cs="Arial"/>
          <w:b/>
          <w:sz w:val="24"/>
          <w:szCs w:val="24"/>
        </w:rPr>
        <w:t>PROVÁDĚCÍ SMLOUVA Č. 1</w:t>
      </w:r>
    </w:p>
    <w:p w:rsidR="00DB0F84" w:rsidRPr="00317E82" w:rsidRDefault="00DB0F84" w:rsidP="00DB0F84">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roofErr w:type="spellStart"/>
      <w:r w:rsidRPr="00317E82">
        <w:rPr>
          <w:rFonts w:ascii="Arial" w:hAnsi="Arial" w:cs="Arial"/>
          <w:sz w:val="20"/>
          <w:szCs w:val="20"/>
        </w:rPr>
        <w:t>evid</w:t>
      </w:r>
      <w:proofErr w:type="spellEnd"/>
      <w:r w:rsidRPr="00317E82">
        <w:rPr>
          <w:rFonts w:ascii="Arial" w:hAnsi="Arial" w:cs="Arial"/>
          <w:sz w:val="20"/>
          <w:szCs w:val="20"/>
        </w:rPr>
        <w:t xml:space="preserve">. č. ČSÚ: </w:t>
      </w:r>
      <w:r w:rsidR="00BF1F0E" w:rsidRPr="00317E82">
        <w:rPr>
          <w:rFonts w:ascii="Arial" w:hAnsi="Arial" w:cs="Arial"/>
          <w:sz w:val="20"/>
          <w:szCs w:val="20"/>
        </w:rPr>
        <w:t>209-</w:t>
      </w:r>
      <w:r w:rsidRPr="00317E82">
        <w:rPr>
          <w:rFonts w:ascii="Arial" w:hAnsi="Arial" w:cs="Arial"/>
          <w:sz w:val="20"/>
          <w:szCs w:val="20"/>
        </w:rPr>
        <w:t>2017-S</w:t>
      </w:r>
    </w:p>
    <w:p w:rsidR="00DB0F84" w:rsidRPr="00324AD4" w:rsidRDefault="000C162F" w:rsidP="00DB0F84">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r>
        <w:rPr>
          <w:rFonts w:ascii="Arial" w:hAnsi="Arial" w:cs="Arial"/>
          <w:sz w:val="20"/>
          <w:szCs w:val="20"/>
        </w:rPr>
        <w:t>k</w:t>
      </w:r>
      <w:r w:rsidR="00324AD4">
        <w:rPr>
          <w:rFonts w:ascii="Arial" w:hAnsi="Arial" w:cs="Arial"/>
          <w:sz w:val="20"/>
          <w:szCs w:val="20"/>
        </w:rPr>
        <w:t xml:space="preserve"> Rámcové dohodě o poskytování </w:t>
      </w:r>
      <w:r w:rsidR="00324AD4" w:rsidRPr="00324AD4">
        <w:rPr>
          <w:rFonts w:ascii="Arial" w:hAnsi="Arial" w:cs="Arial"/>
          <w:sz w:val="20"/>
          <w:szCs w:val="20"/>
        </w:rPr>
        <w:t xml:space="preserve">služeb systémové podpory programového vybavení </w:t>
      </w:r>
      <w:proofErr w:type="spellStart"/>
      <w:r w:rsidR="00324AD4" w:rsidRPr="00324AD4">
        <w:rPr>
          <w:rFonts w:ascii="Arial" w:hAnsi="Arial" w:cs="Arial"/>
          <w:sz w:val="20"/>
          <w:szCs w:val="20"/>
        </w:rPr>
        <w:t>Oracle</w:t>
      </w:r>
      <w:proofErr w:type="spellEnd"/>
      <w:r w:rsidR="00DB0F84" w:rsidRPr="00324AD4">
        <w:rPr>
          <w:rFonts w:ascii="Arial" w:hAnsi="Arial" w:cs="Arial"/>
          <w:sz w:val="20"/>
          <w:szCs w:val="20"/>
        </w:rPr>
        <w:t xml:space="preserve"> </w:t>
      </w:r>
    </w:p>
    <w:p w:rsidR="00DB0F84" w:rsidRDefault="00DB0F84" w:rsidP="00DB0F84">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evid</w:t>
      </w:r>
      <w:proofErr w:type="spellEnd"/>
      <w:r>
        <w:rPr>
          <w:rFonts w:ascii="Arial" w:hAnsi="Arial" w:cs="Arial"/>
          <w:sz w:val="20"/>
          <w:szCs w:val="20"/>
        </w:rPr>
        <w:t xml:space="preserve">. č. ČSÚ: </w:t>
      </w:r>
      <w:r w:rsidR="00324AD4">
        <w:rPr>
          <w:rFonts w:ascii="Arial" w:hAnsi="Arial" w:cs="Arial"/>
          <w:sz w:val="20"/>
          <w:szCs w:val="20"/>
        </w:rPr>
        <w:t>154</w:t>
      </w:r>
      <w:r>
        <w:rPr>
          <w:rFonts w:ascii="Arial" w:hAnsi="Arial" w:cs="Arial"/>
          <w:sz w:val="20"/>
          <w:szCs w:val="20"/>
        </w:rPr>
        <w:t>-201</w:t>
      </w:r>
      <w:r w:rsidR="00324AD4">
        <w:rPr>
          <w:rFonts w:ascii="Arial" w:hAnsi="Arial" w:cs="Arial"/>
          <w:sz w:val="20"/>
          <w:szCs w:val="20"/>
        </w:rPr>
        <w:t>7</w:t>
      </w:r>
      <w:r>
        <w:rPr>
          <w:rFonts w:ascii="Arial" w:hAnsi="Arial" w:cs="Arial"/>
          <w:sz w:val="20"/>
          <w:szCs w:val="20"/>
        </w:rPr>
        <w:t>-R)</w:t>
      </w:r>
    </w:p>
    <w:p w:rsidR="00DB0F84" w:rsidRDefault="00DB0F84" w:rsidP="00DB0F84">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
    <w:p w:rsidR="00DB0F84" w:rsidRDefault="00DB0F84" w:rsidP="00DB0F84">
      <w:pPr>
        <w:pStyle w:val="Bezmezer"/>
        <w:spacing w:line="276" w:lineRule="auto"/>
        <w:jc w:val="center"/>
        <w:rPr>
          <w:rFonts w:ascii="Arial" w:hAnsi="Arial" w:cs="Arial"/>
          <w:sz w:val="20"/>
          <w:szCs w:val="20"/>
        </w:rPr>
      </w:pPr>
    </w:p>
    <w:p w:rsidR="00DB0F84" w:rsidRDefault="00DB0F84" w:rsidP="00DB0F84">
      <w:pPr>
        <w:pStyle w:val="Bezmezer"/>
        <w:spacing w:line="276" w:lineRule="auto"/>
        <w:jc w:val="both"/>
        <w:rPr>
          <w:rFonts w:ascii="Arial" w:hAnsi="Arial" w:cs="Arial"/>
          <w:sz w:val="20"/>
          <w:szCs w:val="20"/>
        </w:rPr>
      </w:pPr>
      <w:r>
        <w:rPr>
          <w:rFonts w:ascii="Arial" w:hAnsi="Arial" w:cs="Arial"/>
          <w:sz w:val="20"/>
          <w:szCs w:val="20"/>
        </w:rPr>
        <w:t>Níže uvedeného dne, měsíce a roku uzavřely smluvní strany:</w:t>
      </w:r>
    </w:p>
    <w:p w:rsidR="00DB0F84" w:rsidRDefault="00DB0F84" w:rsidP="00DB0F84">
      <w:pPr>
        <w:pStyle w:val="Bezmezer"/>
        <w:spacing w:line="276" w:lineRule="auto"/>
        <w:jc w:val="both"/>
        <w:rPr>
          <w:rFonts w:ascii="Arial" w:hAnsi="Arial" w:cs="Arial"/>
          <w:sz w:val="20"/>
          <w:szCs w:val="20"/>
        </w:rPr>
      </w:pPr>
    </w:p>
    <w:p w:rsidR="00DB0F84" w:rsidRDefault="00DB0F84" w:rsidP="00DB0F84">
      <w:pPr>
        <w:pStyle w:val="Bezmezer"/>
        <w:spacing w:line="276" w:lineRule="auto"/>
        <w:jc w:val="both"/>
        <w:rPr>
          <w:rFonts w:ascii="Arial" w:hAnsi="Arial" w:cs="Arial"/>
          <w:b/>
          <w:sz w:val="20"/>
          <w:szCs w:val="20"/>
        </w:rPr>
      </w:pPr>
      <w:r>
        <w:rPr>
          <w:rFonts w:ascii="Arial" w:hAnsi="Arial" w:cs="Arial"/>
          <w:b/>
          <w:sz w:val="20"/>
          <w:szCs w:val="20"/>
        </w:rPr>
        <w:t>Česká republika – Český statistický úřad</w:t>
      </w:r>
    </w:p>
    <w:p w:rsidR="00DB0F84" w:rsidRDefault="00DB0F84" w:rsidP="00DB0F84">
      <w:pPr>
        <w:pStyle w:val="Bezmezer"/>
        <w:spacing w:line="276" w:lineRule="auto"/>
        <w:jc w:val="both"/>
        <w:rPr>
          <w:rFonts w:ascii="Arial" w:hAnsi="Arial" w:cs="Arial"/>
          <w:sz w:val="20"/>
          <w:szCs w:val="20"/>
        </w:rPr>
      </w:pPr>
      <w:r>
        <w:rPr>
          <w:rFonts w:ascii="Arial" w:hAnsi="Arial" w:cs="Arial"/>
          <w:sz w:val="20"/>
          <w:szCs w:val="20"/>
        </w:rPr>
        <w:t>se sídlem Na padesátém 3268/81, Praha 10, PSČ 100 82</w:t>
      </w:r>
    </w:p>
    <w:p w:rsidR="00DB0F84" w:rsidRDefault="00DB0F84" w:rsidP="00DB0F84">
      <w:pPr>
        <w:pStyle w:val="Bezmezer"/>
        <w:spacing w:line="276" w:lineRule="auto"/>
        <w:jc w:val="both"/>
        <w:rPr>
          <w:rFonts w:ascii="Arial" w:hAnsi="Arial" w:cs="Arial"/>
          <w:sz w:val="20"/>
          <w:szCs w:val="20"/>
        </w:rPr>
      </w:pPr>
      <w:r>
        <w:rPr>
          <w:rFonts w:ascii="Arial" w:hAnsi="Arial" w:cs="Arial"/>
          <w:sz w:val="20"/>
          <w:szCs w:val="20"/>
        </w:rPr>
        <w:t>IČO: 000 25 593</w:t>
      </w:r>
    </w:p>
    <w:p w:rsidR="00DB0F84" w:rsidRDefault="00DB0F84" w:rsidP="00DB0F84">
      <w:pPr>
        <w:pStyle w:val="Bezmezer"/>
        <w:spacing w:line="276" w:lineRule="auto"/>
        <w:jc w:val="both"/>
        <w:rPr>
          <w:rFonts w:ascii="Arial" w:hAnsi="Arial" w:cs="Arial"/>
          <w:sz w:val="20"/>
          <w:szCs w:val="20"/>
        </w:rPr>
      </w:pPr>
      <w:r>
        <w:rPr>
          <w:rFonts w:ascii="Arial" w:hAnsi="Arial" w:cs="Arial"/>
          <w:sz w:val="20"/>
          <w:szCs w:val="20"/>
        </w:rPr>
        <w:t xml:space="preserve">zastoupena: Mgr. Radoslavem </w:t>
      </w:r>
      <w:proofErr w:type="spellStart"/>
      <w:r>
        <w:rPr>
          <w:rFonts w:ascii="Arial" w:hAnsi="Arial" w:cs="Arial"/>
          <w:sz w:val="20"/>
          <w:szCs w:val="20"/>
        </w:rPr>
        <w:t>Bulířem</w:t>
      </w:r>
      <w:proofErr w:type="spellEnd"/>
      <w:r>
        <w:rPr>
          <w:rFonts w:ascii="Arial" w:hAnsi="Arial" w:cs="Arial"/>
          <w:sz w:val="20"/>
          <w:szCs w:val="20"/>
        </w:rPr>
        <w:t xml:space="preserve">, ředitelem </w:t>
      </w:r>
      <w:r w:rsidR="00A633F7">
        <w:rPr>
          <w:rFonts w:ascii="Arial" w:hAnsi="Arial" w:cs="Arial"/>
          <w:sz w:val="20"/>
          <w:szCs w:val="20"/>
        </w:rPr>
        <w:t>s</w:t>
      </w:r>
      <w:r>
        <w:rPr>
          <w:rFonts w:ascii="Arial" w:hAnsi="Arial" w:cs="Arial"/>
          <w:sz w:val="20"/>
          <w:szCs w:val="20"/>
        </w:rPr>
        <w:t>ekce ekonomické a správní</w:t>
      </w:r>
    </w:p>
    <w:p w:rsidR="00DB0F84" w:rsidRDefault="00DB0F84" w:rsidP="00DB0F84">
      <w:pPr>
        <w:pStyle w:val="Bezmezer"/>
        <w:spacing w:line="276" w:lineRule="auto"/>
        <w:jc w:val="both"/>
        <w:rPr>
          <w:rFonts w:ascii="Arial" w:hAnsi="Arial" w:cs="Arial"/>
          <w:sz w:val="20"/>
          <w:szCs w:val="20"/>
        </w:rPr>
      </w:pPr>
      <w:r>
        <w:rPr>
          <w:rFonts w:ascii="Arial" w:hAnsi="Arial" w:cs="Arial"/>
          <w:sz w:val="20"/>
          <w:szCs w:val="20"/>
        </w:rPr>
        <w:t>na základě pověření předsedkyně ČSÚ ze dne 16. 3. 2015</w:t>
      </w:r>
    </w:p>
    <w:p w:rsidR="00DB0F84" w:rsidRDefault="00DB0F84" w:rsidP="00DB0F84">
      <w:pPr>
        <w:pStyle w:val="Bezmezer"/>
        <w:spacing w:line="276" w:lineRule="auto"/>
        <w:jc w:val="both"/>
        <w:rPr>
          <w:rFonts w:ascii="Arial" w:hAnsi="Arial" w:cs="Arial"/>
          <w:sz w:val="20"/>
          <w:szCs w:val="20"/>
        </w:rPr>
      </w:pPr>
      <w:r>
        <w:rPr>
          <w:rFonts w:ascii="Arial" w:hAnsi="Arial" w:cs="Arial"/>
          <w:sz w:val="20"/>
          <w:szCs w:val="20"/>
        </w:rPr>
        <w:t xml:space="preserve">bankovní spojení: </w:t>
      </w:r>
      <w:proofErr w:type="spellStart"/>
      <w:r w:rsidR="007807BA">
        <w:rPr>
          <w:rFonts w:ascii="Arial" w:hAnsi="Arial" w:cs="Arial"/>
          <w:sz w:val="20"/>
          <w:szCs w:val="20"/>
        </w:rPr>
        <w:t>xxxxxxxxxxxxxxxxxxxxxxx</w:t>
      </w:r>
      <w:proofErr w:type="spellEnd"/>
    </w:p>
    <w:p w:rsidR="00DB0F84" w:rsidRDefault="00DB0F84" w:rsidP="00DB0F84">
      <w:pPr>
        <w:pStyle w:val="Bezmezer"/>
        <w:spacing w:line="276" w:lineRule="auto"/>
        <w:jc w:val="both"/>
        <w:rPr>
          <w:rFonts w:ascii="Arial" w:hAnsi="Arial" w:cs="Arial"/>
          <w:sz w:val="20"/>
          <w:szCs w:val="20"/>
        </w:rPr>
      </w:pPr>
      <w:r>
        <w:rPr>
          <w:rFonts w:ascii="Arial" w:hAnsi="Arial" w:cs="Arial"/>
          <w:sz w:val="20"/>
          <w:szCs w:val="20"/>
        </w:rPr>
        <w:t>(dále jen „objednatel“ nebo „ČSÚ“) na straně jedné</w:t>
      </w:r>
    </w:p>
    <w:p w:rsidR="00DB0F84" w:rsidRDefault="00DB0F84" w:rsidP="00DB0F84">
      <w:pPr>
        <w:pStyle w:val="Bezmezer"/>
        <w:spacing w:line="276" w:lineRule="auto"/>
        <w:jc w:val="both"/>
        <w:rPr>
          <w:rFonts w:ascii="Arial" w:hAnsi="Arial" w:cs="Arial"/>
          <w:sz w:val="20"/>
          <w:szCs w:val="20"/>
        </w:rPr>
      </w:pPr>
    </w:p>
    <w:p w:rsidR="00DB0F84" w:rsidRDefault="00DB0F84" w:rsidP="00DB0F84">
      <w:pPr>
        <w:pStyle w:val="Bezmezer"/>
        <w:spacing w:line="276" w:lineRule="auto"/>
        <w:jc w:val="both"/>
        <w:rPr>
          <w:rFonts w:ascii="Arial" w:hAnsi="Arial" w:cs="Arial"/>
          <w:sz w:val="20"/>
          <w:szCs w:val="20"/>
        </w:rPr>
      </w:pPr>
      <w:r>
        <w:rPr>
          <w:rFonts w:ascii="Arial" w:hAnsi="Arial" w:cs="Arial"/>
          <w:sz w:val="20"/>
          <w:szCs w:val="20"/>
        </w:rPr>
        <w:t>a</w:t>
      </w:r>
    </w:p>
    <w:p w:rsidR="00DB0F84" w:rsidRDefault="00DB0F84" w:rsidP="00DB0F84">
      <w:pPr>
        <w:pStyle w:val="Bezmezer"/>
        <w:spacing w:line="276" w:lineRule="auto"/>
        <w:jc w:val="both"/>
        <w:rPr>
          <w:rFonts w:ascii="Arial" w:hAnsi="Arial" w:cs="Arial"/>
          <w:sz w:val="20"/>
          <w:szCs w:val="20"/>
        </w:rPr>
      </w:pPr>
    </w:p>
    <w:p w:rsidR="008F00C4" w:rsidRPr="005B3C0C" w:rsidRDefault="008F00C4" w:rsidP="008F00C4">
      <w:pPr>
        <w:pStyle w:val="Bezmezer"/>
        <w:spacing w:line="276" w:lineRule="auto"/>
        <w:jc w:val="both"/>
        <w:rPr>
          <w:rFonts w:ascii="Arial" w:hAnsi="Arial" w:cs="Arial"/>
          <w:b/>
          <w:sz w:val="20"/>
          <w:szCs w:val="20"/>
        </w:rPr>
      </w:pPr>
      <w:r w:rsidRPr="005B3C0C">
        <w:rPr>
          <w:rFonts w:ascii="Arial" w:hAnsi="Arial" w:cs="Arial"/>
          <w:b/>
          <w:sz w:val="20"/>
          <w:szCs w:val="20"/>
        </w:rPr>
        <w:t>TECHNISERV IT, spol. s r.o.</w:t>
      </w:r>
    </w:p>
    <w:p w:rsidR="008F00C4" w:rsidRDefault="008F00C4" w:rsidP="008F00C4">
      <w:pPr>
        <w:pStyle w:val="Bezmezer"/>
        <w:spacing w:line="276" w:lineRule="auto"/>
        <w:jc w:val="both"/>
        <w:rPr>
          <w:rFonts w:ascii="Arial" w:hAnsi="Arial" w:cs="Arial"/>
          <w:sz w:val="20"/>
          <w:szCs w:val="20"/>
        </w:rPr>
      </w:pPr>
      <w:r w:rsidRPr="005B3C0C">
        <w:rPr>
          <w:rFonts w:ascii="Arial" w:hAnsi="Arial" w:cs="Arial"/>
          <w:sz w:val="20"/>
          <w:szCs w:val="20"/>
        </w:rPr>
        <w:t>se sídlem</w:t>
      </w:r>
      <w:r w:rsidR="00D15FD5">
        <w:rPr>
          <w:rFonts w:ascii="Arial" w:hAnsi="Arial" w:cs="Arial"/>
          <w:sz w:val="20"/>
          <w:szCs w:val="20"/>
        </w:rPr>
        <w:t>:</w:t>
      </w:r>
      <w:r w:rsidR="00D15FD5">
        <w:rPr>
          <w:rFonts w:ascii="Arial" w:hAnsi="Arial" w:cs="Arial"/>
          <w:sz w:val="20"/>
          <w:szCs w:val="20"/>
        </w:rPr>
        <w:tab/>
      </w:r>
      <w:r w:rsidR="00D15FD5">
        <w:rPr>
          <w:rFonts w:ascii="Arial" w:hAnsi="Arial" w:cs="Arial"/>
          <w:sz w:val="20"/>
          <w:szCs w:val="20"/>
        </w:rPr>
        <w:tab/>
      </w:r>
      <w:r w:rsidRPr="005B3C0C">
        <w:rPr>
          <w:rFonts w:ascii="Arial" w:hAnsi="Arial" w:cs="Arial"/>
          <w:sz w:val="20"/>
          <w:szCs w:val="20"/>
        </w:rPr>
        <w:t>Traťová 574/1, 619 00 Brno</w:t>
      </w:r>
    </w:p>
    <w:p w:rsidR="008F00C4" w:rsidRPr="005B3C0C" w:rsidRDefault="008F00C4" w:rsidP="008F00C4">
      <w:pPr>
        <w:pStyle w:val="Bezmezer"/>
        <w:spacing w:line="276" w:lineRule="auto"/>
        <w:jc w:val="both"/>
        <w:rPr>
          <w:rFonts w:ascii="Arial" w:hAnsi="Arial" w:cs="Arial"/>
          <w:sz w:val="20"/>
          <w:szCs w:val="20"/>
          <w:vertAlign w:val="superscript"/>
        </w:rPr>
      </w:pPr>
      <w:r>
        <w:rPr>
          <w:rFonts w:ascii="Arial" w:hAnsi="Arial" w:cs="Arial"/>
          <w:sz w:val="20"/>
          <w:szCs w:val="20"/>
        </w:rPr>
        <w:t xml:space="preserve">zastoupena: </w:t>
      </w:r>
      <w:r w:rsidR="00D15FD5">
        <w:rPr>
          <w:rFonts w:ascii="Arial" w:hAnsi="Arial" w:cs="Arial"/>
          <w:sz w:val="20"/>
          <w:szCs w:val="20"/>
        </w:rPr>
        <w:tab/>
      </w:r>
      <w:r w:rsidR="00D15FD5">
        <w:rPr>
          <w:rFonts w:ascii="Arial" w:hAnsi="Arial" w:cs="Arial"/>
          <w:sz w:val="20"/>
          <w:szCs w:val="20"/>
        </w:rPr>
        <w:tab/>
      </w:r>
      <w:r>
        <w:rPr>
          <w:rFonts w:ascii="Arial" w:hAnsi="Arial" w:cs="Arial"/>
          <w:sz w:val="20"/>
          <w:szCs w:val="20"/>
        </w:rPr>
        <w:t xml:space="preserve">Ing. Luďkem </w:t>
      </w:r>
      <w:proofErr w:type="spellStart"/>
      <w:r>
        <w:rPr>
          <w:rFonts w:ascii="Arial" w:hAnsi="Arial" w:cs="Arial"/>
          <w:sz w:val="20"/>
          <w:szCs w:val="20"/>
        </w:rPr>
        <w:t>Teleckým</w:t>
      </w:r>
      <w:proofErr w:type="spellEnd"/>
      <w:r>
        <w:rPr>
          <w:rFonts w:ascii="Arial" w:hAnsi="Arial" w:cs="Arial"/>
          <w:sz w:val="20"/>
          <w:szCs w:val="20"/>
        </w:rPr>
        <w:t>, jednatelem</w:t>
      </w:r>
    </w:p>
    <w:p w:rsidR="00DB0F84" w:rsidRPr="00D655CC" w:rsidRDefault="008F00C4" w:rsidP="008F00C4">
      <w:pPr>
        <w:pStyle w:val="Bezmezer"/>
        <w:spacing w:line="276" w:lineRule="auto"/>
        <w:jc w:val="both"/>
        <w:rPr>
          <w:rFonts w:ascii="Arial" w:hAnsi="Arial" w:cs="Arial"/>
          <w:sz w:val="20"/>
          <w:szCs w:val="20"/>
          <w:vertAlign w:val="superscript"/>
        </w:rPr>
      </w:pPr>
      <w:r w:rsidRPr="00D655CC">
        <w:rPr>
          <w:rFonts w:ascii="Arial" w:hAnsi="Arial" w:cs="Arial"/>
          <w:sz w:val="20"/>
          <w:szCs w:val="20"/>
        </w:rPr>
        <w:t xml:space="preserve">IČO: </w:t>
      </w:r>
      <w:r w:rsidR="00D15FD5">
        <w:rPr>
          <w:rFonts w:ascii="Arial" w:hAnsi="Arial" w:cs="Arial"/>
          <w:sz w:val="20"/>
          <w:szCs w:val="20"/>
        </w:rPr>
        <w:tab/>
      </w:r>
      <w:r w:rsidR="00D15FD5">
        <w:rPr>
          <w:rFonts w:ascii="Arial" w:hAnsi="Arial" w:cs="Arial"/>
          <w:sz w:val="20"/>
          <w:szCs w:val="20"/>
        </w:rPr>
        <w:tab/>
      </w:r>
      <w:r w:rsidR="00D15FD5">
        <w:rPr>
          <w:rFonts w:ascii="Arial" w:hAnsi="Arial" w:cs="Arial"/>
          <w:sz w:val="20"/>
          <w:szCs w:val="20"/>
        </w:rPr>
        <w:tab/>
      </w:r>
      <w:r w:rsidRPr="00D655CC">
        <w:rPr>
          <w:rFonts w:ascii="Arial" w:hAnsi="Arial" w:cs="Arial"/>
          <w:sz w:val="20"/>
          <w:szCs w:val="20"/>
        </w:rPr>
        <w:t>26298953</w:t>
      </w:r>
    </w:p>
    <w:p w:rsidR="008F00C4" w:rsidRPr="00D655CC" w:rsidRDefault="00DB0F84" w:rsidP="00DB0F84">
      <w:pPr>
        <w:pStyle w:val="Bezmezer"/>
        <w:spacing w:line="276" w:lineRule="auto"/>
        <w:jc w:val="both"/>
        <w:rPr>
          <w:rFonts w:ascii="Arial" w:hAnsi="Arial" w:cs="Arial"/>
          <w:sz w:val="20"/>
          <w:szCs w:val="20"/>
        </w:rPr>
      </w:pPr>
      <w:r w:rsidRPr="00D655CC">
        <w:rPr>
          <w:rFonts w:ascii="Arial" w:hAnsi="Arial" w:cs="Arial"/>
          <w:sz w:val="20"/>
          <w:szCs w:val="20"/>
        </w:rPr>
        <w:t xml:space="preserve">DIČ: </w:t>
      </w:r>
      <w:r w:rsidR="00D15FD5">
        <w:rPr>
          <w:rFonts w:ascii="Arial" w:hAnsi="Arial" w:cs="Arial"/>
          <w:sz w:val="20"/>
          <w:szCs w:val="20"/>
        </w:rPr>
        <w:tab/>
      </w:r>
      <w:r w:rsidR="00D15FD5">
        <w:rPr>
          <w:rFonts w:ascii="Arial" w:hAnsi="Arial" w:cs="Arial"/>
          <w:sz w:val="20"/>
          <w:szCs w:val="20"/>
        </w:rPr>
        <w:tab/>
      </w:r>
      <w:r w:rsidR="00D15FD5">
        <w:rPr>
          <w:rFonts w:ascii="Arial" w:hAnsi="Arial" w:cs="Arial"/>
          <w:sz w:val="20"/>
          <w:szCs w:val="20"/>
        </w:rPr>
        <w:tab/>
      </w:r>
      <w:r w:rsidR="008F00C4" w:rsidRPr="00D655CC">
        <w:rPr>
          <w:rFonts w:ascii="Arial" w:hAnsi="Arial" w:cs="Arial"/>
          <w:sz w:val="20"/>
          <w:szCs w:val="20"/>
        </w:rPr>
        <w:t>CZ26298953</w:t>
      </w:r>
    </w:p>
    <w:p w:rsidR="008F00C4" w:rsidRPr="00D655CC" w:rsidRDefault="008F00C4" w:rsidP="008F00C4">
      <w:pPr>
        <w:pStyle w:val="Bezmezer"/>
        <w:spacing w:line="276" w:lineRule="auto"/>
        <w:jc w:val="both"/>
        <w:rPr>
          <w:rFonts w:ascii="Arial" w:hAnsi="Arial" w:cs="Arial"/>
          <w:sz w:val="20"/>
          <w:szCs w:val="20"/>
          <w:vertAlign w:val="superscript"/>
        </w:rPr>
      </w:pPr>
      <w:r w:rsidRPr="00D655CC">
        <w:rPr>
          <w:rFonts w:ascii="Arial" w:hAnsi="Arial" w:cs="Arial"/>
          <w:sz w:val="20"/>
          <w:szCs w:val="20"/>
        </w:rPr>
        <w:t>zapsaná v obchodním rejstříku vedeném Krajským soudem v Brně, oddíl C, vložka č. 42557</w:t>
      </w:r>
    </w:p>
    <w:p w:rsidR="00DB0F84" w:rsidRPr="00D655CC" w:rsidRDefault="00DB0F84" w:rsidP="00DB0F84">
      <w:pPr>
        <w:pStyle w:val="Bezmezer"/>
        <w:spacing w:line="276" w:lineRule="auto"/>
        <w:jc w:val="both"/>
        <w:rPr>
          <w:rFonts w:ascii="Arial" w:hAnsi="Arial" w:cs="Arial"/>
          <w:sz w:val="20"/>
          <w:szCs w:val="20"/>
          <w:vertAlign w:val="superscript"/>
        </w:rPr>
      </w:pPr>
      <w:r w:rsidRPr="00D655CC">
        <w:rPr>
          <w:rFonts w:ascii="Arial" w:hAnsi="Arial" w:cs="Arial"/>
          <w:sz w:val="20"/>
          <w:szCs w:val="20"/>
        </w:rPr>
        <w:t>bankovní spojení:</w:t>
      </w:r>
      <w:r w:rsidRPr="00D655CC">
        <w:rPr>
          <w:rFonts w:ascii="Arial" w:hAnsi="Arial" w:cs="Arial"/>
          <w:sz w:val="20"/>
          <w:szCs w:val="20"/>
        </w:rPr>
        <w:tab/>
      </w:r>
      <w:proofErr w:type="spellStart"/>
      <w:r w:rsidR="007807BA">
        <w:rPr>
          <w:rFonts w:ascii="Arial" w:hAnsi="Arial" w:cs="Arial"/>
          <w:sz w:val="20"/>
          <w:szCs w:val="20"/>
        </w:rPr>
        <w:t>xxxxxxxxxxxxxxxxxxxxxxx</w:t>
      </w:r>
      <w:proofErr w:type="spellEnd"/>
    </w:p>
    <w:p w:rsidR="00DB0F84" w:rsidRPr="00D655CC" w:rsidRDefault="00DB0F84" w:rsidP="00DB0F84">
      <w:pPr>
        <w:pStyle w:val="Bezmezer"/>
        <w:spacing w:line="276" w:lineRule="auto"/>
        <w:jc w:val="both"/>
        <w:rPr>
          <w:rFonts w:ascii="Arial" w:hAnsi="Arial" w:cs="Arial"/>
          <w:sz w:val="20"/>
          <w:szCs w:val="20"/>
          <w:vertAlign w:val="superscript"/>
        </w:rPr>
      </w:pPr>
      <w:r w:rsidRPr="00D655CC">
        <w:rPr>
          <w:rFonts w:ascii="Arial" w:hAnsi="Arial" w:cs="Arial"/>
          <w:sz w:val="20"/>
          <w:szCs w:val="20"/>
        </w:rPr>
        <w:t xml:space="preserve">číslo účtu: </w:t>
      </w:r>
      <w:r w:rsidRPr="00D655CC">
        <w:rPr>
          <w:rFonts w:ascii="Arial" w:hAnsi="Arial" w:cs="Arial"/>
          <w:sz w:val="20"/>
          <w:szCs w:val="20"/>
        </w:rPr>
        <w:tab/>
      </w:r>
      <w:r w:rsidRPr="00D655CC">
        <w:rPr>
          <w:rFonts w:ascii="Arial" w:hAnsi="Arial" w:cs="Arial"/>
          <w:sz w:val="20"/>
          <w:szCs w:val="20"/>
        </w:rPr>
        <w:tab/>
      </w:r>
      <w:proofErr w:type="spellStart"/>
      <w:r w:rsidR="007807BA">
        <w:rPr>
          <w:rFonts w:ascii="Arial" w:hAnsi="Arial" w:cs="Arial"/>
          <w:sz w:val="20"/>
          <w:szCs w:val="20"/>
        </w:rPr>
        <w:t>xxxxxxxxxxxxxxxxxxxxxxx</w:t>
      </w:r>
      <w:proofErr w:type="spellEnd"/>
    </w:p>
    <w:p w:rsidR="00DB0F84" w:rsidRDefault="00DB0F84" w:rsidP="00DB0F84">
      <w:pPr>
        <w:pStyle w:val="Bezmezer"/>
        <w:spacing w:line="276" w:lineRule="auto"/>
        <w:jc w:val="both"/>
        <w:rPr>
          <w:rFonts w:ascii="Arial" w:hAnsi="Arial" w:cs="Arial"/>
          <w:sz w:val="20"/>
          <w:szCs w:val="20"/>
        </w:rPr>
      </w:pPr>
      <w:r w:rsidRPr="00D655CC">
        <w:rPr>
          <w:rFonts w:ascii="Arial" w:hAnsi="Arial" w:cs="Arial"/>
          <w:sz w:val="20"/>
          <w:szCs w:val="20"/>
        </w:rPr>
        <w:t>(dále jen „</w:t>
      </w:r>
      <w:r w:rsidR="008B3C22" w:rsidRPr="00D655CC">
        <w:rPr>
          <w:rFonts w:ascii="Arial" w:hAnsi="Arial" w:cs="Arial"/>
          <w:sz w:val="20"/>
          <w:szCs w:val="20"/>
        </w:rPr>
        <w:t>dodavatel</w:t>
      </w:r>
      <w:r w:rsidRPr="00D655CC">
        <w:rPr>
          <w:rFonts w:ascii="Arial" w:hAnsi="Arial" w:cs="Arial"/>
          <w:sz w:val="20"/>
          <w:szCs w:val="20"/>
        </w:rPr>
        <w:t>“) na straně druhé</w:t>
      </w:r>
    </w:p>
    <w:p w:rsidR="00DB0F84" w:rsidRDefault="00DB0F84" w:rsidP="00DB0F84">
      <w:pPr>
        <w:pStyle w:val="Bezmezer"/>
        <w:spacing w:line="276" w:lineRule="auto"/>
        <w:jc w:val="both"/>
        <w:rPr>
          <w:rFonts w:ascii="Arial" w:hAnsi="Arial" w:cs="Arial"/>
          <w:sz w:val="20"/>
          <w:szCs w:val="20"/>
        </w:rPr>
      </w:pPr>
    </w:p>
    <w:p w:rsidR="00DB0F84" w:rsidRDefault="00DB0F84" w:rsidP="00DB0F84">
      <w:pPr>
        <w:pStyle w:val="Bezmezer"/>
        <w:spacing w:line="276" w:lineRule="auto"/>
        <w:jc w:val="both"/>
        <w:rPr>
          <w:rFonts w:ascii="Arial" w:hAnsi="Arial" w:cs="Arial"/>
          <w:sz w:val="20"/>
          <w:szCs w:val="20"/>
        </w:rPr>
      </w:pPr>
      <w:r>
        <w:rPr>
          <w:rFonts w:ascii="Arial" w:hAnsi="Arial" w:cs="Arial"/>
          <w:sz w:val="20"/>
          <w:szCs w:val="20"/>
        </w:rPr>
        <w:t>tuto</w:t>
      </w:r>
    </w:p>
    <w:p w:rsidR="00DB0F84" w:rsidRDefault="00DB0F84" w:rsidP="00DB0F84">
      <w:pPr>
        <w:pStyle w:val="Bezmezer"/>
        <w:spacing w:line="276" w:lineRule="auto"/>
        <w:jc w:val="both"/>
        <w:rPr>
          <w:rFonts w:ascii="Arial" w:hAnsi="Arial" w:cs="Arial"/>
          <w:sz w:val="20"/>
          <w:szCs w:val="20"/>
        </w:rPr>
      </w:pPr>
    </w:p>
    <w:p w:rsidR="00DB0F84" w:rsidRDefault="00DB0F84" w:rsidP="00DB0F84">
      <w:pPr>
        <w:pStyle w:val="Bezmezer"/>
        <w:spacing w:line="276" w:lineRule="auto"/>
        <w:jc w:val="center"/>
        <w:rPr>
          <w:rFonts w:ascii="Arial" w:hAnsi="Arial" w:cs="Arial"/>
          <w:b/>
          <w:sz w:val="20"/>
          <w:szCs w:val="20"/>
        </w:rPr>
      </w:pPr>
      <w:r>
        <w:rPr>
          <w:rFonts w:ascii="Arial" w:hAnsi="Arial" w:cs="Arial"/>
          <w:b/>
          <w:sz w:val="20"/>
          <w:szCs w:val="20"/>
        </w:rPr>
        <w:t xml:space="preserve">prováděcí smlouvu č. </w:t>
      </w:r>
      <w:r w:rsidR="0053431E">
        <w:rPr>
          <w:rFonts w:ascii="Arial" w:hAnsi="Arial" w:cs="Arial"/>
          <w:b/>
          <w:sz w:val="20"/>
          <w:szCs w:val="20"/>
        </w:rPr>
        <w:t>1</w:t>
      </w:r>
    </w:p>
    <w:p w:rsidR="00DB0F84" w:rsidRDefault="00DB0F84" w:rsidP="00DB0F84">
      <w:pPr>
        <w:pStyle w:val="Bezmezer"/>
        <w:spacing w:line="276" w:lineRule="auto"/>
        <w:jc w:val="center"/>
        <w:rPr>
          <w:rFonts w:ascii="Arial" w:hAnsi="Arial" w:cs="Arial"/>
          <w:b/>
          <w:sz w:val="20"/>
          <w:szCs w:val="20"/>
        </w:rPr>
      </w:pPr>
    </w:p>
    <w:p w:rsidR="00DB0F84" w:rsidRDefault="00DB0F84" w:rsidP="00DB0F84">
      <w:pPr>
        <w:pStyle w:val="Bezmezer"/>
        <w:spacing w:line="276" w:lineRule="auto"/>
        <w:jc w:val="both"/>
        <w:rPr>
          <w:rFonts w:ascii="Arial" w:hAnsi="Arial" w:cs="Arial"/>
          <w:sz w:val="20"/>
          <w:szCs w:val="20"/>
        </w:rPr>
      </w:pPr>
      <w:r>
        <w:rPr>
          <w:rFonts w:ascii="Arial" w:hAnsi="Arial" w:cs="Arial"/>
          <w:sz w:val="20"/>
          <w:szCs w:val="20"/>
        </w:rPr>
        <w:t xml:space="preserve">k Rámcové </w:t>
      </w:r>
      <w:r w:rsidR="0053431E">
        <w:rPr>
          <w:rFonts w:ascii="Arial" w:hAnsi="Arial" w:cs="Arial"/>
          <w:sz w:val="20"/>
          <w:szCs w:val="20"/>
        </w:rPr>
        <w:t>dohodě</w:t>
      </w:r>
      <w:r>
        <w:rPr>
          <w:rFonts w:ascii="Arial" w:hAnsi="Arial" w:cs="Arial"/>
          <w:sz w:val="20"/>
          <w:szCs w:val="20"/>
        </w:rPr>
        <w:t xml:space="preserve"> o poskytování služeb systémové podpory programového vybavení </w:t>
      </w:r>
      <w:proofErr w:type="spellStart"/>
      <w:r>
        <w:rPr>
          <w:rFonts w:ascii="Arial" w:hAnsi="Arial" w:cs="Arial"/>
          <w:sz w:val="20"/>
          <w:szCs w:val="20"/>
        </w:rPr>
        <w:t>Oracle</w:t>
      </w:r>
      <w:proofErr w:type="spellEnd"/>
      <w:r>
        <w:rPr>
          <w:rFonts w:ascii="Arial" w:hAnsi="Arial" w:cs="Arial"/>
          <w:sz w:val="20"/>
          <w:szCs w:val="20"/>
        </w:rPr>
        <w:t xml:space="preserve">, </w:t>
      </w:r>
      <w:proofErr w:type="spellStart"/>
      <w:r>
        <w:rPr>
          <w:rFonts w:ascii="Arial" w:hAnsi="Arial" w:cs="Arial"/>
          <w:sz w:val="20"/>
          <w:szCs w:val="20"/>
        </w:rPr>
        <w:t>evid</w:t>
      </w:r>
      <w:proofErr w:type="spellEnd"/>
      <w:r>
        <w:rPr>
          <w:rFonts w:ascii="Arial" w:hAnsi="Arial" w:cs="Arial"/>
          <w:sz w:val="20"/>
          <w:szCs w:val="20"/>
        </w:rPr>
        <w:t xml:space="preserve">. č. ČSÚ: </w:t>
      </w:r>
      <w:r w:rsidR="00324AD4">
        <w:rPr>
          <w:rFonts w:ascii="Arial" w:hAnsi="Arial" w:cs="Arial"/>
          <w:sz w:val="20"/>
          <w:szCs w:val="20"/>
        </w:rPr>
        <w:t>154</w:t>
      </w:r>
      <w:r>
        <w:rPr>
          <w:rFonts w:ascii="Arial" w:hAnsi="Arial" w:cs="Arial"/>
          <w:sz w:val="20"/>
          <w:szCs w:val="20"/>
        </w:rPr>
        <w:t>-201</w:t>
      </w:r>
      <w:r w:rsidR="00324AD4">
        <w:rPr>
          <w:rFonts w:ascii="Arial" w:hAnsi="Arial" w:cs="Arial"/>
          <w:sz w:val="20"/>
          <w:szCs w:val="20"/>
        </w:rPr>
        <w:t>7</w:t>
      </w:r>
      <w:r>
        <w:rPr>
          <w:rFonts w:ascii="Arial" w:hAnsi="Arial" w:cs="Arial"/>
          <w:sz w:val="20"/>
          <w:szCs w:val="20"/>
        </w:rPr>
        <w:t xml:space="preserve">-R (dále jen „rámcová </w:t>
      </w:r>
      <w:r w:rsidR="008347A5">
        <w:rPr>
          <w:rFonts w:ascii="Arial" w:hAnsi="Arial" w:cs="Arial"/>
          <w:sz w:val="20"/>
          <w:szCs w:val="20"/>
        </w:rPr>
        <w:t>dohoda</w:t>
      </w:r>
      <w:r>
        <w:rPr>
          <w:rFonts w:ascii="Arial" w:hAnsi="Arial" w:cs="Arial"/>
          <w:sz w:val="20"/>
          <w:szCs w:val="20"/>
        </w:rPr>
        <w:t>“):</w:t>
      </w:r>
    </w:p>
    <w:p w:rsidR="00DB0F84" w:rsidRDefault="00DB0F84" w:rsidP="00DB0F84">
      <w:pPr>
        <w:pStyle w:val="Bezmezer"/>
        <w:spacing w:line="276" w:lineRule="auto"/>
        <w:jc w:val="both"/>
        <w:rPr>
          <w:rFonts w:ascii="Arial" w:hAnsi="Arial" w:cs="Arial"/>
          <w:sz w:val="20"/>
          <w:szCs w:val="20"/>
        </w:rPr>
      </w:pPr>
    </w:p>
    <w:p w:rsidR="00DB0F84" w:rsidRDefault="00DB0F84" w:rsidP="00DB0F84">
      <w:pPr>
        <w:pStyle w:val="Bezmezer"/>
        <w:spacing w:line="276" w:lineRule="auto"/>
        <w:jc w:val="center"/>
        <w:rPr>
          <w:rFonts w:ascii="Arial" w:hAnsi="Arial" w:cs="Arial"/>
          <w:b/>
          <w:sz w:val="20"/>
          <w:szCs w:val="20"/>
        </w:rPr>
      </w:pPr>
      <w:r>
        <w:rPr>
          <w:rFonts w:ascii="Arial" w:hAnsi="Arial" w:cs="Arial"/>
          <w:b/>
          <w:sz w:val="20"/>
          <w:szCs w:val="20"/>
        </w:rPr>
        <w:t>Preambule</w:t>
      </w:r>
    </w:p>
    <w:p w:rsidR="00DB0F84" w:rsidRDefault="00DB0F84" w:rsidP="00DB0F84">
      <w:pPr>
        <w:pStyle w:val="Bezmezer"/>
        <w:spacing w:line="276" w:lineRule="auto"/>
        <w:jc w:val="center"/>
        <w:rPr>
          <w:rFonts w:ascii="Arial" w:hAnsi="Arial" w:cs="Arial"/>
          <w:b/>
          <w:sz w:val="20"/>
          <w:szCs w:val="20"/>
        </w:rPr>
      </w:pPr>
    </w:p>
    <w:p w:rsidR="00DB0F84" w:rsidRDefault="00DB0F84" w:rsidP="00DB0F84">
      <w:pPr>
        <w:pStyle w:val="Bezmezer"/>
        <w:spacing w:line="276" w:lineRule="auto"/>
        <w:jc w:val="both"/>
        <w:rPr>
          <w:rFonts w:ascii="Arial" w:hAnsi="Arial" w:cs="Arial"/>
          <w:sz w:val="20"/>
          <w:szCs w:val="20"/>
        </w:rPr>
      </w:pPr>
      <w:r>
        <w:rPr>
          <w:rFonts w:ascii="Arial" w:hAnsi="Arial" w:cs="Arial"/>
          <w:sz w:val="20"/>
          <w:szCs w:val="20"/>
        </w:rPr>
        <w:t xml:space="preserve">Tato smlouva se mezi smluvními stranami uzavírá na základě výsledku zadávacího řízení realizovaného na základě rámcové </w:t>
      </w:r>
      <w:r w:rsidR="008347A5">
        <w:rPr>
          <w:rFonts w:ascii="Arial" w:hAnsi="Arial" w:cs="Arial"/>
          <w:sz w:val="20"/>
          <w:szCs w:val="20"/>
        </w:rPr>
        <w:t>dohod</w:t>
      </w:r>
      <w:r>
        <w:rPr>
          <w:rFonts w:ascii="Arial" w:hAnsi="Arial" w:cs="Arial"/>
          <w:sz w:val="20"/>
          <w:szCs w:val="20"/>
        </w:rPr>
        <w:t xml:space="preserve">y podle ustanovení § </w:t>
      </w:r>
      <w:r w:rsidR="008347A5">
        <w:rPr>
          <w:rFonts w:ascii="Arial" w:hAnsi="Arial" w:cs="Arial"/>
          <w:sz w:val="20"/>
          <w:szCs w:val="20"/>
        </w:rPr>
        <w:t>135</w:t>
      </w:r>
      <w:r>
        <w:rPr>
          <w:rFonts w:ascii="Arial" w:hAnsi="Arial" w:cs="Arial"/>
          <w:sz w:val="20"/>
          <w:szCs w:val="20"/>
        </w:rPr>
        <w:t xml:space="preserve"> zákona č. 13</w:t>
      </w:r>
      <w:r w:rsidR="008347A5">
        <w:rPr>
          <w:rFonts w:ascii="Arial" w:hAnsi="Arial" w:cs="Arial"/>
          <w:sz w:val="20"/>
          <w:szCs w:val="20"/>
        </w:rPr>
        <w:t>4</w:t>
      </w:r>
      <w:r>
        <w:rPr>
          <w:rFonts w:ascii="Arial" w:hAnsi="Arial" w:cs="Arial"/>
          <w:sz w:val="20"/>
          <w:szCs w:val="20"/>
        </w:rPr>
        <w:t>/20</w:t>
      </w:r>
      <w:r w:rsidR="008347A5">
        <w:rPr>
          <w:rFonts w:ascii="Arial" w:hAnsi="Arial" w:cs="Arial"/>
          <w:sz w:val="20"/>
          <w:szCs w:val="20"/>
        </w:rPr>
        <w:t>1</w:t>
      </w:r>
      <w:r>
        <w:rPr>
          <w:rFonts w:ascii="Arial" w:hAnsi="Arial" w:cs="Arial"/>
          <w:sz w:val="20"/>
          <w:szCs w:val="20"/>
        </w:rPr>
        <w:t xml:space="preserve">6 Sb., o </w:t>
      </w:r>
      <w:r w:rsidR="008347A5">
        <w:rPr>
          <w:rFonts w:ascii="Arial" w:hAnsi="Arial" w:cs="Arial"/>
          <w:sz w:val="20"/>
          <w:szCs w:val="20"/>
        </w:rPr>
        <w:t xml:space="preserve">zadávání </w:t>
      </w:r>
      <w:r>
        <w:rPr>
          <w:rFonts w:ascii="Arial" w:hAnsi="Arial" w:cs="Arial"/>
          <w:sz w:val="20"/>
          <w:szCs w:val="20"/>
        </w:rPr>
        <w:t>veřejných zakáz</w:t>
      </w:r>
      <w:r w:rsidR="008347A5">
        <w:rPr>
          <w:rFonts w:ascii="Arial" w:hAnsi="Arial" w:cs="Arial"/>
          <w:sz w:val="20"/>
          <w:szCs w:val="20"/>
        </w:rPr>
        <w:t>e</w:t>
      </w:r>
      <w:r>
        <w:rPr>
          <w:rFonts w:ascii="Arial" w:hAnsi="Arial" w:cs="Arial"/>
          <w:sz w:val="20"/>
          <w:szCs w:val="20"/>
        </w:rPr>
        <w:t>k (dále jen „zákon o veřejných zakázkách“) na plnění dílčí veřejné zakázky s názvem „</w:t>
      </w:r>
      <w:r w:rsidR="009B0E77">
        <w:rPr>
          <w:rFonts w:ascii="Arial" w:hAnsi="Arial" w:cs="Arial"/>
          <w:sz w:val="20"/>
          <w:szCs w:val="20"/>
        </w:rPr>
        <w:t xml:space="preserve">ORACLE </w:t>
      </w:r>
      <w:proofErr w:type="spellStart"/>
      <w:r w:rsidR="009B0E77">
        <w:rPr>
          <w:rFonts w:ascii="Arial" w:hAnsi="Arial" w:cs="Arial"/>
          <w:sz w:val="20"/>
          <w:szCs w:val="20"/>
        </w:rPr>
        <w:t>m</w:t>
      </w:r>
      <w:r>
        <w:rPr>
          <w:rFonts w:ascii="Arial" w:hAnsi="Arial" w:cs="Arial"/>
          <w:sz w:val="20"/>
          <w:szCs w:val="20"/>
        </w:rPr>
        <w:t>aintenance</w:t>
      </w:r>
      <w:proofErr w:type="spellEnd"/>
      <w:r>
        <w:rPr>
          <w:rFonts w:ascii="Arial" w:hAnsi="Arial" w:cs="Arial"/>
          <w:sz w:val="20"/>
          <w:szCs w:val="20"/>
        </w:rPr>
        <w:t xml:space="preserve"> </w:t>
      </w:r>
      <w:r w:rsidR="009B0E77">
        <w:rPr>
          <w:rFonts w:ascii="Arial" w:hAnsi="Arial" w:cs="Arial"/>
          <w:sz w:val="20"/>
          <w:szCs w:val="20"/>
        </w:rPr>
        <w:t xml:space="preserve">včetně </w:t>
      </w:r>
      <w:proofErr w:type="spellStart"/>
      <w:r w:rsidR="009B0E77">
        <w:rPr>
          <w:rFonts w:ascii="Arial" w:hAnsi="Arial" w:cs="Arial"/>
          <w:sz w:val="20"/>
          <w:szCs w:val="20"/>
        </w:rPr>
        <w:t>onsite</w:t>
      </w:r>
      <w:proofErr w:type="spellEnd"/>
      <w:r w:rsidR="009B0E77">
        <w:rPr>
          <w:rFonts w:ascii="Arial" w:hAnsi="Arial" w:cs="Arial"/>
          <w:sz w:val="20"/>
          <w:szCs w:val="20"/>
        </w:rPr>
        <w:t xml:space="preserve"> support na rok 2018</w:t>
      </w:r>
      <w:r>
        <w:rPr>
          <w:rFonts w:ascii="Arial" w:hAnsi="Arial" w:cs="Arial"/>
          <w:sz w:val="20"/>
          <w:szCs w:val="20"/>
        </w:rPr>
        <w:t xml:space="preserve">“, interní číslo objednatele </w:t>
      </w:r>
      <w:r w:rsidR="00052C95">
        <w:rPr>
          <w:rFonts w:ascii="Arial" w:hAnsi="Arial" w:cs="Arial"/>
          <w:sz w:val="20"/>
          <w:szCs w:val="20"/>
        </w:rPr>
        <w:t>073</w:t>
      </w:r>
      <w:r>
        <w:rPr>
          <w:rFonts w:ascii="Arial" w:hAnsi="Arial" w:cs="Arial"/>
          <w:sz w:val="20"/>
          <w:szCs w:val="20"/>
        </w:rPr>
        <w:t>/201</w:t>
      </w:r>
      <w:r w:rsidR="009B0E77">
        <w:rPr>
          <w:rFonts w:ascii="Arial" w:hAnsi="Arial" w:cs="Arial"/>
          <w:sz w:val="20"/>
          <w:szCs w:val="20"/>
        </w:rPr>
        <w:t>7</w:t>
      </w:r>
      <w:r>
        <w:rPr>
          <w:rFonts w:ascii="Arial" w:hAnsi="Arial" w:cs="Arial"/>
          <w:sz w:val="20"/>
          <w:szCs w:val="20"/>
        </w:rPr>
        <w:t xml:space="preserve"> (dále jen „dílčí veřejná zakázka“), v němž byla nabídka </w:t>
      </w:r>
      <w:r w:rsidR="008B3C22">
        <w:rPr>
          <w:rFonts w:ascii="Arial" w:hAnsi="Arial" w:cs="Arial"/>
          <w:sz w:val="20"/>
          <w:szCs w:val="20"/>
        </w:rPr>
        <w:t>dodavatel</w:t>
      </w:r>
      <w:r>
        <w:rPr>
          <w:rFonts w:ascii="Arial" w:hAnsi="Arial" w:cs="Arial"/>
          <w:sz w:val="20"/>
          <w:szCs w:val="20"/>
        </w:rPr>
        <w:t>e vybrána jako nejvhodnější.</w:t>
      </w:r>
    </w:p>
    <w:p w:rsidR="00DB0F84" w:rsidRDefault="00DB0F84" w:rsidP="00DB0F84">
      <w:pPr>
        <w:pStyle w:val="Bezmezer"/>
        <w:spacing w:line="276" w:lineRule="auto"/>
        <w:jc w:val="both"/>
        <w:rPr>
          <w:rFonts w:ascii="Arial" w:hAnsi="Arial" w:cs="Arial"/>
          <w:sz w:val="20"/>
          <w:szCs w:val="20"/>
        </w:rPr>
      </w:pPr>
    </w:p>
    <w:p w:rsidR="00317E82" w:rsidRDefault="00317E82" w:rsidP="00DB0F84">
      <w:pPr>
        <w:pStyle w:val="Bezmezer"/>
        <w:spacing w:line="276" w:lineRule="auto"/>
        <w:jc w:val="center"/>
        <w:rPr>
          <w:rFonts w:ascii="Arial" w:hAnsi="Arial" w:cs="Arial"/>
          <w:b/>
          <w:sz w:val="20"/>
          <w:szCs w:val="20"/>
        </w:rPr>
      </w:pPr>
    </w:p>
    <w:p w:rsidR="00DB0F84" w:rsidRDefault="00824615" w:rsidP="00DB0F84">
      <w:pPr>
        <w:pStyle w:val="Bezmezer"/>
        <w:spacing w:line="276" w:lineRule="auto"/>
        <w:jc w:val="center"/>
        <w:rPr>
          <w:rFonts w:ascii="Arial" w:hAnsi="Arial" w:cs="Arial"/>
          <w:b/>
          <w:sz w:val="20"/>
          <w:szCs w:val="20"/>
        </w:rPr>
      </w:pPr>
      <w:r>
        <w:rPr>
          <w:rFonts w:ascii="Arial" w:hAnsi="Arial" w:cs="Arial"/>
          <w:b/>
          <w:sz w:val="20"/>
          <w:szCs w:val="20"/>
        </w:rPr>
        <w:t>Článek I</w:t>
      </w:r>
    </w:p>
    <w:p w:rsidR="00DB0F84" w:rsidRDefault="00DB0F84" w:rsidP="00DB0F84">
      <w:pPr>
        <w:pStyle w:val="Bezmezer"/>
        <w:spacing w:line="276" w:lineRule="auto"/>
        <w:jc w:val="center"/>
        <w:rPr>
          <w:rFonts w:ascii="Arial" w:hAnsi="Arial" w:cs="Arial"/>
          <w:b/>
          <w:sz w:val="20"/>
          <w:szCs w:val="20"/>
        </w:rPr>
      </w:pPr>
      <w:r>
        <w:rPr>
          <w:rFonts w:ascii="Arial" w:hAnsi="Arial" w:cs="Arial"/>
          <w:b/>
          <w:sz w:val="20"/>
          <w:szCs w:val="20"/>
        </w:rPr>
        <w:t>Předmět prováděcí smlouvy</w:t>
      </w:r>
    </w:p>
    <w:p w:rsidR="00DB0F84" w:rsidRDefault="00DB0F84" w:rsidP="00DB0F84">
      <w:pPr>
        <w:pStyle w:val="Bezmezer"/>
        <w:spacing w:line="276" w:lineRule="auto"/>
        <w:jc w:val="center"/>
        <w:rPr>
          <w:rFonts w:ascii="Arial" w:hAnsi="Arial" w:cs="Arial"/>
          <w:b/>
          <w:sz w:val="20"/>
          <w:szCs w:val="20"/>
        </w:rPr>
      </w:pPr>
    </w:p>
    <w:p w:rsidR="00DB0F84" w:rsidRDefault="008B3C22" w:rsidP="00DB0F84">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Dodavatel</w:t>
      </w:r>
      <w:r w:rsidR="00DB0F84">
        <w:rPr>
          <w:rFonts w:ascii="Arial" w:hAnsi="Arial" w:cs="Arial"/>
          <w:sz w:val="20"/>
          <w:szCs w:val="20"/>
        </w:rPr>
        <w:t xml:space="preserve"> se zavazuje za podmínek stanovených v rámcové </w:t>
      </w:r>
      <w:r>
        <w:rPr>
          <w:rFonts w:ascii="Arial" w:hAnsi="Arial" w:cs="Arial"/>
          <w:sz w:val="20"/>
          <w:szCs w:val="20"/>
        </w:rPr>
        <w:t>dohodě</w:t>
      </w:r>
      <w:r w:rsidR="00DB0F84">
        <w:rPr>
          <w:rFonts w:ascii="Arial" w:hAnsi="Arial" w:cs="Arial"/>
          <w:sz w:val="20"/>
          <w:szCs w:val="20"/>
        </w:rPr>
        <w:t xml:space="preserve"> a této prováděcí smlouvě poskytovat objednateli služby systémové podpory programového vybavení </w:t>
      </w:r>
      <w:proofErr w:type="spellStart"/>
      <w:r w:rsidR="00DB0F84">
        <w:rPr>
          <w:rFonts w:ascii="Arial" w:hAnsi="Arial" w:cs="Arial"/>
          <w:sz w:val="20"/>
          <w:szCs w:val="20"/>
        </w:rPr>
        <w:t>Oracle</w:t>
      </w:r>
      <w:proofErr w:type="spellEnd"/>
      <w:r w:rsidR="00DB0F84">
        <w:rPr>
          <w:rFonts w:ascii="Arial" w:hAnsi="Arial" w:cs="Arial"/>
          <w:sz w:val="20"/>
          <w:szCs w:val="20"/>
        </w:rPr>
        <w:t xml:space="preserve">, tj. služby </w:t>
      </w:r>
      <w:r w:rsidR="00DB0F84">
        <w:rPr>
          <w:rFonts w:ascii="Arial" w:hAnsi="Arial" w:cs="Arial"/>
          <w:sz w:val="20"/>
          <w:szCs w:val="20"/>
        </w:rPr>
        <w:lastRenderedPageBreak/>
        <w:t>„Software Update Licence &amp; Support“ a služby rozšířené „On-</w:t>
      </w:r>
      <w:proofErr w:type="spellStart"/>
      <w:r w:rsidR="00DB0F84">
        <w:rPr>
          <w:rFonts w:ascii="Arial" w:hAnsi="Arial" w:cs="Arial"/>
          <w:sz w:val="20"/>
          <w:szCs w:val="20"/>
        </w:rPr>
        <w:t>Site</w:t>
      </w:r>
      <w:proofErr w:type="spellEnd"/>
      <w:r w:rsidR="00DB0F84">
        <w:rPr>
          <w:rFonts w:ascii="Arial" w:hAnsi="Arial" w:cs="Arial"/>
          <w:sz w:val="20"/>
          <w:szCs w:val="20"/>
        </w:rPr>
        <w:t xml:space="preserve"> Support“ podpory pro softwarové produkty společnosti </w:t>
      </w:r>
      <w:proofErr w:type="spellStart"/>
      <w:r w:rsidR="00DB0F84">
        <w:rPr>
          <w:rFonts w:ascii="Arial" w:hAnsi="Arial" w:cs="Arial"/>
          <w:sz w:val="20"/>
          <w:szCs w:val="20"/>
        </w:rPr>
        <w:t>Oracle</w:t>
      </w:r>
      <w:proofErr w:type="spellEnd"/>
      <w:r w:rsidR="00DB0F84">
        <w:rPr>
          <w:rFonts w:ascii="Arial" w:hAnsi="Arial" w:cs="Arial"/>
          <w:sz w:val="20"/>
          <w:szCs w:val="20"/>
        </w:rPr>
        <w:t xml:space="preserve"> uvedené v příloze č. 2 tvořící nedílnou součást této prováděcí smlouvy </w:t>
      </w:r>
      <w:r w:rsidR="00E242F5">
        <w:rPr>
          <w:rFonts w:ascii="Arial" w:hAnsi="Arial" w:cs="Arial"/>
          <w:sz w:val="20"/>
          <w:szCs w:val="20"/>
        </w:rPr>
        <w:t>a další související služby</w:t>
      </w:r>
      <w:r w:rsidR="00BF15BD">
        <w:rPr>
          <w:rFonts w:ascii="Arial" w:hAnsi="Arial" w:cs="Arial"/>
          <w:sz w:val="20"/>
          <w:szCs w:val="20"/>
        </w:rPr>
        <w:t xml:space="preserve"> </w:t>
      </w:r>
      <w:r w:rsidR="002A0EA8">
        <w:rPr>
          <w:rFonts w:ascii="Arial" w:hAnsi="Arial" w:cs="Arial"/>
          <w:sz w:val="20"/>
          <w:szCs w:val="20"/>
        </w:rPr>
        <w:t xml:space="preserve">(licence, provedení migrace licencí atd.) </w:t>
      </w:r>
      <w:r w:rsidR="00DB0F84">
        <w:rPr>
          <w:rFonts w:ascii="Arial" w:hAnsi="Arial" w:cs="Arial"/>
          <w:sz w:val="20"/>
          <w:szCs w:val="20"/>
        </w:rPr>
        <w:t>s tím, že přesná specifikace služeb je uvedena v příloze č. 1 tvořící nedílnou součást této prováděcí smlouvy (dále jen „služby“).</w:t>
      </w:r>
    </w:p>
    <w:p w:rsidR="00DB0F84" w:rsidRDefault="00DB0F84" w:rsidP="00DB0F84">
      <w:pPr>
        <w:pStyle w:val="Bezmezer"/>
        <w:spacing w:line="276" w:lineRule="auto"/>
        <w:ind w:left="426" w:hanging="426"/>
        <w:jc w:val="both"/>
        <w:rPr>
          <w:rFonts w:ascii="Arial" w:hAnsi="Arial" w:cs="Arial"/>
          <w:sz w:val="20"/>
          <w:szCs w:val="20"/>
        </w:rPr>
      </w:pPr>
    </w:p>
    <w:p w:rsidR="00DB0F84" w:rsidRDefault="00DB0F84" w:rsidP="00DB0F84">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 xml:space="preserve">Objednatel se zavazuje uhradit </w:t>
      </w:r>
      <w:r w:rsidR="008B3C22">
        <w:rPr>
          <w:rFonts w:ascii="Arial" w:hAnsi="Arial" w:cs="Arial"/>
          <w:sz w:val="20"/>
          <w:szCs w:val="20"/>
        </w:rPr>
        <w:t>dodavatel</w:t>
      </w:r>
      <w:r>
        <w:rPr>
          <w:rFonts w:ascii="Arial" w:hAnsi="Arial" w:cs="Arial"/>
          <w:sz w:val="20"/>
          <w:szCs w:val="20"/>
        </w:rPr>
        <w:t>i za poskytnuté služby cenu ve výši a za podmínek stanovených v článku III. této smlouvy.</w:t>
      </w:r>
    </w:p>
    <w:p w:rsidR="00DB0F84" w:rsidRDefault="00DB0F84" w:rsidP="00DB0F84">
      <w:pPr>
        <w:pStyle w:val="Bezmezer"/>
        <w:spacing w:line="276" w:lineRule="auto"/>
        <w:jc w:val="both"/>
        <w:rPr>
          <w:rFonts w:ascii="Arial" w:hAnsi="Arial" w:cs="Arial"/>
          <w:sz w:val="20"/>
          <w:szCs w:val="20"/>
        </w:rPr>
      </w:pPr>
    </w:p>
    <w:p w:rsidR="00DB0F84" w:rsidRDefault="00824615" w:rsidP="00DB0F84">
      <w:pPr>
        <w:pStyle w:val="Bezmezer"/>
        <w:spacing w:line="276" w:lineRule="auto"/>
        <w:jc w:val="center"/>
        <w:rPr>
          <w:rFonts w:ascii="Arial" w:hAnsi="Arial" w:cs="Arial"/>
          <w:b/>
          <w:sz w:val="20"/>
          <w:szCs w:val="20"/>
        </w:rPr>
      </w:pPr>
      <w:r>
        <w:rPr>
          <w:rFonts w:ascii="Arial" w:hAnsi="Arial" w:cs="Arial"/>
          <w:b/>
          <w:sz w:val="20"/>
          <w:szCs w:val="20"/>
        </w:rPr>
        <w:t>Článek II</w:t>
      </w:r>
    </w:p>
    <w:p w:rsidR="00DB0F84" w:rsidRDefault="00DB0F84" w:rsidP="00DB0F84">
      <w:pPr>
        <w:pStyle w:val="Bezmezer"/>
        <w:spacing w:line="276" w:lineRule="auto"/>
        <w:jc w:val="center"/>
        <w:rPr>
          <w:rFonts w:ascii="Arial" w:hAnsi="Arial" w:cs="Arial"/>
          <w:b/>
          <w:sz w:val="20"/>
          <w:szCs w:val="20"/>
        </w:rPr>
      </w:pPr>
      <w:r>
        <w:rPr>
          <w:rFonts w:ascii="Arial" w:hAnsi="Arial" w:cs="Arial"/>
          <w:b/>
          <w:sz w:val="20"/>
          <w:szCs w:val="20"/>
        </w:rPr>
        <w:t>Doba a místa plnění</w:t>
      </w:r>
    </w:p>
    <w:p w:rsidR="00DB0F84" w:rsidRDefault="00DB0F84" w:rsidP="00DB0F84">
      <w:pPr>
        <w:pStyle w:val="Bezmezer"/>
        <w:spacing w:line="276" w:lineRule="auto"/>
        <w:jc w:val="center"/>
        <w:rPr>
          <w:rFonts w:ascii="Arial" w:hAnsi="Arial" w:cs="Arial"/>
          <w:b/>
          <w:sz w:val="20"/>
          <w:szCs w:val="20"/>
        </w:rPr>
      </w:pPr>
    </w:p>
    <w:p w:rsidR="00DB0F84" w:rsidRDefault="00DB0F84" w:rsidP="00DB0F84">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Tato prováděcí smlouva se uzavírá na dobu určitou od 31. 12. 201</w:t>
      </w:r>
      <w:r w:rsidR="007B62B0">
        <w:rPr>
          <w:rFonts w:ascii="Arial" w:hAnsi="Arial" w:cs="Arial"/>
          <w:sz w:val="20"/>
          <w:szCs w:val="20"/>
        </w:rPr>
        <w:t>7</w:t>
      </w:r>
      <w:r>
        <w:rPr>
          <w:rFonts w:ascii="Arial" w:hAnsi="Arial" w:cs="Arial"/>
          <w:sz w:val="20"/>
          <w:szCs w:val="20"/>
        </w:rPr>
        <w:t xml:space="preserve"> do 30. 12. 201</w:t>
      </w:r>
      <w:r w:rsidR="007B62B0">
        <w:rPr>
          <w:rFonts w:ascii="Arial" w:hAnsi="Arial" w:cs="Arial"/>
          <w:sz w:val="20"/>
          <w:szCs w:val="20"/>
        </w:rPr>
        <w:t>8</w:t>
      </w:r>
      <w:r>
        <w:rPr>
          <w:rFonts w:ascii="Arial" w:hAnsi="Arial" w:cs="Arial"/>
          <w:sz w:val="20"/>
          <w:szCs w:val="20"/>
        </w:rPr>
        <w:t>.</w:t>
      </w:r>
    </w:p>
    <w:p w:rsidR="00DB0F84" w:rsidRDefault="00DB0F84" w:rsidP="00DB0F84">
      <w:pPr>
        <w:pStyle w:val="Bezmezer"/>
        <w:spacing w:line="276" w:lineRule="auto"/>
        <w:ind w:left="426" w:hanging="426"/>
        <w:jc w:val="both"/>
        <w:rPr>
          <w:rFonts w:ascii="Arial" w:hAnsi="Arial" w:cs="Arial"/>
          <w:sz w:val="20"/>
          <w:szCs w:val="20"/>
        </w:rPr>
      </w:pPr>
    </w:p>
    <w:p w:rsidR="00DB0F84" w:rsidRPr="00241B15" w:rsidRDefault="00DB0F84" w:rsidP="00DB0F84">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 xml:space="preserve">Místy plnění podle této prováděcí smlouvy jsou </w:t>
      </w:r>
      <w:r w:rsidRPr="00241B15">
        <w:rPr>
          <w:rFonts w:ascii="Arial" w:hAnsi="Arial" w:cs="Arial"/>
          <w:sz w:val="20"/>
          <w:szCs w:val="20"/>
        </w:rPr>
        <w:t xml:space="preserve">všechna pracoviště ČSÚ uvedená v článku III rámcové </w:t>
      </w:r>
      <w:r w:rsidR="007B62B0" w:rsidRPr="00241B15">
        <w:rPr>
          <w:rFonts w:ascii="Arial" w:hAnsi="Arial" w:cs="Arial"/>
          <w:sz w:val="20"/>
          <w:szCs w:val="20"/>
        </w:rPr>
        <w:t>dohody</w:t>
      </w:r>
      <w:r w:rsidRPr="00241B15">
        <w:rPr>
          <w:rFonts w:ascii="Arial" w:hAnsi="Arial" w:cs="Arial"/>
          <w:sz w:val="20"/>
          <w:szCs w:val="20"/>
        </w:rPr>
        <w:t>.</w:t>
      </w:r>
    </w:p>
    <w:p w:rsidR="00DB0F84" w:rsidRDefault="00DB0F84" w:rsidP="00DB0F84">
      <w:pPr>
        <w:pStyle w:val="Bezmezer"/>
        <w:spacing w:line="276" w:lineRule="auto"/>
        <w:jc w:val="both"/>
        <w:rPr>
          <w:rFonts w:ascii="Arial" w:hAnsi="Arial" w:cs="Arial"/>
          <w:sz w:val="20"/>
          <w:szCs w:val="20"/>
        </w:rPr>
      </w:pPr>
    </w:p>
    <w:p w:rsidR="00DB0F84" w:rsidRDefault="00824615" w:rsidP="00DB0F84">
      <w:pPr>
        <w:pStyle w:val="Bezmezer"/>
        <w:spacing w:line="276" w:lineRule="auto"/>
        <w:jc w:val="center"/>
        <w:rPr>
          <w:rFonts w:ascii="Arial" w:hAnsi="Arial" w:cs="Arial"/>
          <w:b/>
          <w:sz w:val="20"/>
          <w:szCs w:val="20"/>
        </w:rPr>
      </w:pPr>
      <w:r>
        <w:rPr>
          <w:rFonts w:ascii="Arial" w:hAnsi="Arial" w:cs="Arial"/>
          <w:b/>
          <w:sz w:val="20"/>
          <w:szCs w:val="20"/>
        </w:rPr>
        <w:t>Článek III</w:t>
      </w:r>
    </w:p>
    <w:p w:rsidR="00DB0F84" w:rsidRDefault="00DB0F84" w:rsidP="00DB0F84">
      <w:pPr>
        <w:pStyle w:val="Bezmezer"/>
        <w:spacing w:line="276" w:lineRule="auto"/>
        <w:jc w:val="center"/>
        <w:rPr>
          <w:rFonts w:ascii="Arial" w:hAnsi="Arial" w:cs="Arial"/>
          <w:b/>
          <w:sz w:val="20"/>
          <w:szCs w:val="20"/>
        </w:rPr>
      </w:pPr>
      <w:r>
        <w:rPr>
          <w:rFonts w:ascii="Arial" w:hAnsi="Arial" w:cs="Arial"/>
          <w:b/>
          <w:sz w:val="20"/>
          <w:szCs w:val="20"/>
        </w:rPr>
        <w:t>Cena služeb a platební podmínky</w:t>
      </w:r>
    </w:p>
    <w:p w:rsidR="00DB0F84" w:rsidRDefault="00DB0F84" w:rsidP="00DB0F84">
      <w:pPr>
        <w:pStyle w:val="Bezmezer"/>
        <w:spacing w:line="276" w:lineRule="auto"/>
        <w:jc w:val="center"/>
        <w:rPr>
          <w:rFonts w:ascii="Arial" w:hAnsi="Arial" w:cs="Arial"/>
          <w:b/>
          <w:sz w:val="20"/>
          <w:szCs w:val="20"/>
        </w:rPr>
      </w:pPr>
    </w:p>
    <w:p w:rsidR="00DB0F84" w:rsidRDefault="00DB0F84" w:rsidP="00DB0F84">
      <w:pPr>
        <w:pStyle w:val="Bezmezer"/>
        <w:numPr>
          <w:ilvl w:val="0"/>
          <w:numId w:val="3"/>
        </w:numPr>
        <w:spacing w:line="276" w:lineRule="auto"/>
        <w:ind w:left="426" w:hanging="426"/>
        <w:jc w:val="both"/>
        <w:rPr>
          <w:rFonts w:ascii="Arial" w:hAnsi="Arial" w:cs="Arial"/>
          <w:sz w:val="20"/>
          <w:szCs w:val="20"/>
        </w:rPr>
      </w:pPr>
      <w:r>
        <w:rPr>
          <w:rFonts w:ascii="Arial" w:hAnsi="Arial" w:cs="Arial"/>
          <w:sz w:val="20"/>
          <w:szCs w:val="20"/>
        </w:rPr>
        <w:t>Ceny služeb poskytovaných na základě této prováděcí smlouvy jsou uvedeny v příloze č. 2 tvořící její nedílnou součást.</w:t>
      </w:r>
    </w:p>
    <w:p w:rsidR="00DB0F84" w:rsidRDefault="00DB0F84" w:rsidP="00DB0F84">
      <w:pPr>
        <w:pStyle w:val="Bezmezer"/>
        <w:spacing w:line="276" w:lineRule="auto"/>
        <w:ind w:left="426" w:hanging="426"/>
        <w:jc w:val="both"/>
        <w:rPr>
          <w:rFonts w:ascii="Arial" w:hAnsi="Arial" w:cs="Arial"/>
          <w:sz w:val="20"/>
          <w:szCs w:val="20"/>
        </w:rPr>
      </w:pPr>
    </w:p>
    <w:p w:rsidR="00DB0F84" w:rsidRPr="00241B15" w:rsidRDefault="008B3C22" w:rsidP="00DB0F84">
      <w:pPr>
        <w:pStyle w:val="Bezmezer"/>
        <w:numPr>
          <w:ilvl w:val="0"/>
          <w:numId w:val="3"/>
        </w:numPr>
        <w:spacing w:line="276" w:lineRule="auto"/>
        <w:ind w:left="426" w:hanging="426"/>
        <w:jc w:val="both"/>
        <w:rPr>
          <w:rFonts w:ascii="Arial" w:hAnsi="Arial" w:cs="Arial"/>
          <w:sz w:val="20"/>
          <w:szCs w:val="20"/>
        </w:rPr>
      </w:pPr>
      <w:r w:rsidRPr="00241B15">
        <w:rPr>
          <w:rFonts w:ascii="Arial" w:hAnsi="Arial" w:cs="Arial"/>
          <w:sz w:val="20"/>
          <w:szCs w:val="20"/>
        </w:rPr>
        <w:t>Dodavatel</w:t>
      </w:r>
      <w:r w:rsidR="00DB0F84" w:rsidRPr="00241B15">
        <w:rPr>
          <w:rFonts w:ascii="Arial" w:hAnsi="Arial" w:cs="Arial"/>
          <w:sz w:val="20"/>
          <w:szCs w:val="20"/>
        </w:rPr>
        <w:t xml:space="preserve"> ve smyslu </w:t>
      </w:r>
      <w:proofErr w:type="spellStart"/>
      <w:r w:rsidR="00DB0F84" w:rsidRPr="00241B15">
        <w:rPr>
          <w:rFonts w:ascii="Arial" w:hAnsi="Arial" w:cs="Arial"/>
          <w:sz w:val="20"/>
          <w:szCs w:val="20"/>
        </w:rPr>
        <w:t>ust</w:t>
      </w:r>
      <w:proofErr w:type="spellEnd"/>
      <w:r w:rsidR="00DB0F84" w:rsidRPr="00241B15">
        <w:rPr>
          <w:rFonts w:ascii="Arial" w:hAnsi="Arial" w:cs="Arial"/>
          <w:sz w:val="20"/>
          <w:szCs w:val="20"/>
        </w:rPr>
        <w:t>. § 1765 odst. 2) zákona č. 89/2012 Sb., občanský zákoník (dále jen „občanský zákoník“), přebírá nebezpečí změny okolností po uzavření této prováděcí smlouvy.</w:t>
      </w:r>
    </w:p>
    <w:p w:rsidR="00DB0F84" w:rsidRDefault="00DB0F84" w:rsidP="00DB0F84">
      <w:pPr>
        <w:pStyle w:val="Bezmezer"/>
        <w:spacing w:line="276" w:lineRule="auto"/>
        <w:ind w:left="426" w:hanging="426"/>
        <w:jc w:val="both"/>
        <w:rPr>
          <w:rFonts w:ascii="Arial" w:hAnsi="Arial" w:cs="Arial"/>
          <w:sz w:val="20"/>
          <w:szCs w:val="20"/>
        </w:rPr>
      </w:pPr>
    </w:p>
    <w:p w:rsidR="00DB0F84" w:rsidRDefault="00DB0F84" w:rsidP="00DB0F84">
      <w:pPr>
        <w:pStyle w:val="Bezmezer"/>
        <w:numPr>
          <w:ilvl w:val="0"/>
          <w:numId w:val="3"/>
        </w:numPr>
        <w:spacing w:line="276" w:lineRule="auto"/>
        <w:ind w:left="426" w:hanging="426"/>
        <w:jc w:val="both"/>
        <w:rPr>
          <w:rFonts w:ascii="Arial" w:hAnsi="Arial" w:cs="Arial"/>
          <w:sz w:val="20"/>
          <w:szCs w:val="20"/>
        </w:rPr>
      </w:pPr>
      <w:r>
        <w:rPr>
          <w:rFonts w:ascii="Arial" w:hAnsi="Arial" w:cs="Arial"/>
          <w:sz w:val="20"/>
          <w:szCs w:val="20"/>
        </w:rPr>
        <w:t xml:space="preserve">Lhůta splatnosti cen služeb činí 30 (slovy: třicet) dnů ode dne doručení daňového dokladu – faktury </w:t>
      </w:r>
      <w:r w:rsidR="008B3C22">
        <w:rPr>
          <w:rFonts w:ascii="Arial" w:hAnsi="Arial" w:cs="Arial"/>
          <w:sz w:val="20"/>
          <w:szCs w:val="20"/>
        </w:rPr>
        <w:t>dodavatel</w:t>
      </w:r>
      <w:r>
        <w:rPr>
          <w:rFonts w:ascii="Arial" w:hAnsi="Arial" w:cs="Arial"/>
          <w:sz w:val="20"/>
          <w:szCs w:val="20"/>
        </w:rPr>
        <w:t>e s náležitostmi podle čl</w:t>
      </w:r>
      <w:r w:rsidR="0058695B">
        <w:rPr>
          <w:rFonts w:ascii="Arial" w:hAnsi="Arial" w:cs="Arial"/>
          <w:sz w:val="20"/>
          <w:szCs w:val="20"/>
        </w:rPr>
        <w:t xml:space="preserve">ánku </w:t>
      </w:r>
      <w:r>
        <w:rPr>
          <w:rFonts w:ascii="Arial" w:hAnsi="Arial" w:cs="Arial"/>
          <w:sz w:val="20"/>
          <w:szCs w:val="20"/>
        </w:rPr>
        <w:t xml:space="preserve">VI odst. 3. rámcové </w:t>
      </w:r>
      <w:r w:rsidR="007B62B0">
        <w:rPr>
          <w:rFonts w:ascii="Arial" w:hAnsi="Arial" w:cs="Arial"/>
          <w:sz w:val="20"/>
          <w:szCs w:val="20"/>
        </w:rPr>
        <w:t>dohody</w:t>
      </w:r>
      <w:r>
        <w:rPr>
          <w:rFonts w:ascii="Arial" w:hAnsi="Arial" w:cs="Arial"/>
          <w:sz w:val="20"/>
          <w:szCs w:val="20"/>
        </w:rPr>
        <w:t xml:space="preserve"> objednateli doporučenou listovní zásilkou, do datové schránky nebo osobně do podatelny ČSÚ na adrese sídla objednatele.</w:t>
      </w:r>
    </w:p>
    <w:p w:rsidR="00DB0F84" w:rsidRDefault="00DB0F84" w:rsidP="00DB0F84">
      <w:pPr>
        <w:pStyle w:val="Bezmezer"/>
        <w:spacing w:line="276" w:lineRule="auto"/>
        <w:ind w:left="426" w:hanging="426"/>
        <w:jc w:val="both"/>
        <w:rPr>
          <w:rFonts w:ascii="Arial" w:hAnsi="Arial" w:cs="Arial"/>
          <w:sz w:val="20"/>
          <w:szCs w:val="20"/>
        </w:rPr>
      </w:pPr>
    </w:p>
    <w:p w:rsidR="00DB0F84" w:rsidRDefault="00824615" w:rsidP="00DB0F84">
      <w:pPr>
        <w:pStyle w:val="Bezmezer"/>
        <w:spacing w:line="276" w:lineRule="auto"/>
        <w:jc w:val="center"/>
        <w:rPr>
          <w:rFonts w:ascii="Arial" w:hAnsi="Arial" w:cs="Arial"/>
          <w:b/>
          <w:sz w:val="20"/>
          <w:szCs w:val="20"/>
        </w:rPr>
      </w:pPr>
      <w:r>
        <w:rPr>
          <w:rFonts w:ascii="Arial" w:hAnsi="Arial" w:cs="Arial"/>
          <w:b/>
          <w:sz w:val="20"/>
          <w:szCs w:val="20"/>
        </w:rPr>
        <w:t>Článek IV</w:t>
      </w:r>
    </w:p>
    <w:p w:rsidR="00DB0F84" w:rsidRDefault="00DB0F84" w:rsidP="00DB0F84">
      <w:pPr>
        <w:pStyle w:val="Bezmezer"/>
        <w:spacing w:line="276" w:lineRule="auto"/>
        <w:jc w:val="center"/>
        <w:rPr>
          <w:rFonts w:ascii="Arial" w:hAnsi="Arial" w:cs="Arial"/>
          <w:b/>
          <w:sz w:val="20"/>
          <w:szCs w:val="20"/>
        </w:rPr>
      </w:pPr>
      <w:r>
        <w:rPr>
          <w:rFonts w:ascii="Arial" w:hAnsi="Arial" w:cs="Arial"/>
          <w:b/>
          <w:sz w:val="20"/>
          <w:szCs w:val="20"/>
        </w:rPr>
        <w:t>Ukončení smlouvy</w:t>
      </w:r>
    </w:p>
    <w:p w:rsidR="00DB0F84" w:rsidRDefault="00DB0F84" w:rsidP="00DB0F84">
      <w:pPr>
        <w:pStyle w:val="Bezmezer"/>
        <w:spacing w:line="276" w:lineRule="auto"/>
        <w:jc w:val="center"/>
        <w:rPr>
          <w:rFonts w:ascii="Arial" w:hAnsi="Arial" w:cs="Arial"/>
          <w:b/>
          <w:sz w:val="20"/>
          <w:szCs w:val="20"/>
        </w:rPr>
      </w:pPr>
    </w:p>
    <w:p w:rsidR="00DB0F84" w:rsidRDefault="00DB0F84" w:rsidP="00DB0F84">
      <w:pPr>
        <w:pStyle w:val="Bezmezer"/>
        <w:numPr>
          <w:ilvl w:val="0"/>
          <w:numId w:val="4"/>
        </w:numPr>
        <w:spacing w:line="276" w:lineRule="auto"/>
        <w:ind w:left="426" w:hanging="426"/>
        <w:jc w:val="both"/>
        <w:rPr>
          <w:rFonts w:ascii="Arial" w:hAnsi="Arial" w:cs="Arial"/>
          <w:sz w:val="20"/>
          <w:szCs w:val="20"/>
        </w:rPr>
      </w:pPr>
      <w:r>
        <w:rPr>
          <w:rFonts w:ascii="Arial" w:hAnsi="Arial" w:cs="Arial"/>
          <w:sz w:val="20"/>
          <w:szCs w:val="20"/>
        </w:rPr>
        <w:t>Před uplynutím sjednané doby trvání může být tato prováděcí smlouva ukončena písemnou dohodou smluvních stran, výpovědí nebo odstoupením od smlouvy v př</w:t>
      </w:r>
      <w:r w:rsidR="00B95A0D">
        <w:rPr>
          <w:rFonts w:ascii="Arial" w:hAnsi="Arial" w:cs="Arial"/>
          <w:sz w:val="20"/>
          <w:szCs w:val="20"/>
        </w:rPr>
        <w:t xml:space="preserve">ípadech uvedených v článku </w:t>
      </w:r>
      <w:r w:rsidR="00B95A0D" w:rsidRPr="00824615">
        <w:rPr>
          <w:rFonts w:ascii="Arial" w:hAnsi="Arial" w:cs="Arial"/>
          <w:sz w:val="20"/>
          <w:szCs w:val="20"/>
        </w:rPr>
        <w:t>XVII</w:t>
      </w:r>
      <w:r>
        <w:rPr>
          <w:rFonts w:ascii="Arial" w:hAnsi="Arial" w:cs="Arial"/>
          <w:sz w:val="20"/>
          <w:szCs w:val="20"/>
        </w:rPr>
        <w:t xml:space="preserve"> rámcové </w:t>
      </w:r>
      <w:r w:rsidR="00B95A0D">
        <w:rPr>
          <w:rFonts w:ascii="Arial" w:hAnsi="Arial" w:cs="Arial"/>
          <w:sz w:val="20"/>
          <w:szCs w:val="20"/>
        </w:rPr>
        <w:t>dohody</w:t>
      </w:r>
      <w:r>
        <w:rPr>
          <w:rFonts w:ascii="Arial" w:hAnsi="Arial" w:cs="Arial"/>
          <w:sz w:val="20"/>
          <w:szCs w:val="20"/>
        </w:rPr>
        <w:t>.</w:t>
      </w:r>
    </w:p>
    <w:p w:rsidR="00DB0F84" w:rsidRDefault="00DB0F84" w:rsidP="00DB0F84">
      <w:pPr>
        <w:pStyle w:val="Bezmezer"/>
        <w:spacing w:line="276" w:lineRule="auto"/>
        <w:ind w:left="426" w:hanging="426"/>
        <w:jc w:val="both"/>
        <w:rPr>
          <w:rFonts w:ascii="Arial" w:hAnsi="Arial" w:cs="Arial"/>
          <w:sz w:val="20"/>
          <w:szCs w:val="20"/>
        </w:rPr>
      </w:pPr>
    </w:p>
    <w:p w:rsidR="00DB0F84" w:rsidRDefault="00DB0F84" w:rsidP="00DB0F84">
      <w:pPr>
        <w:pStyle w:val="Bezmezer"/>
        <w:numPr>
          <w:ilvl w:val="0"/>
          <w:numId w:val="4"/>
        </w:numPr>
        <w:spacing w:line="276" w:lineRule="auto"/>
        <w:ind w:left="426" w:hanging="426"/>
        <w:jc w:val="both"/>
        <w:rPr>
          <w:rFonts w:ascii="Arial" w:hAnsi="Arial" w:cs="Arial"/>
          <w:sz w:val="20"/>
          <w:szCs w:val="20"/>
        </w:rPr>
      </w:pPr>
      <w:r>
        <w:rPr>
          <w:rFonts w:ascii="Arial" w:hAnsi="Arial" w:cs="Arial"/>
          <w:sz w:val="20"/>
          <w:szCs w:val="20"/>
        </w:rPr>
        <w:t xml:space="preserve">Objednatel je oprávněn tuto prováděcí smlouvu jednostranně vypovědět s tříměsíční výpověďní lhůtou, která počne běžet prvého dne kalendářního měsíce následujícího po doručení výpovědi </w:t>
      </w:r>
      <w:r w:rsidR="008B3C22">
        <w:rPr>
          <w:rFonts w:ascii="Arial" w:hAnsi="Arial" w:cs="Arial"/>
          <w:sz w:val="20"/>
          <w:szCs w:val="20"/>
        </w:rPr>
        <w:t>dodavatel</w:t>
      </w:r>
      <w:r>
        <w:rPr>
          <w:rFonts w:ascii="Arial" w:hAnsi="Arial" w:cs="Arial"/>
          <w:sz w:val="20"/>
          <w:szCs w:val="20"/>
        </w:rPr>
        <w:t>i.</w:t>
      </w:r>
    </w:p>
    <w:p w:rsidR="00DB0F84" w:rsidRDefault="00DB0F84" w:rsidP="00DB0F84">
      <w:pPr>
        <w:pStyle w:val="Bezmezer"/>
        <w:spacing w:line="276" w:lineRule="auto"/>
        <w:jc w:val="both"/>
        <w:rPr>
          <w:rFonts w:ascii="Arial" w:hAnsi="Arial" w:cs="Arial"/>
          <w:sz w:val="20"/>
          <w:szCs w:val="20"/>
        </w:rPr>
      </w:pPr>
    </w:p>
    <w:p w:rsidR="00824615" w:rsidRDefault="00824615" w:rsidP="00DB0F84">
      <w:pPr>
        <w:pStyle w:val="Bezmezer"/>
        <w:spacing w:line="276" w:lineRule="auto"/>
        <w:jc w:val="center"/>
        <w:rPr>
          <w:rFonts w:ascii="Arial" w:hAnsi="Arial" w:cs="Arial"/>
          <w:b/>
          <w:sz w:val="20"/>
          <w:szCs w:val="20"/>
        </w:rPr>
      </w:pPr>
    </w:p>
    <w:p w:rsidR="00DB0F84" w:rsidRDefault="00DB0F84" w:rsidP="00DB0F84">
      <w:pPr>
        <w:pStyle w:val="Bezmezer"/>
        <w:spacing w:line="276" w:lineRule="auto"/>
        <w:jc w:val="center"/>
        <w:rPr>
          <w:rFonts w:ascii="Arial" w:hAnsi="Arial" w:cs="Arial"/>
          <w:b/>
          <w:sz w:val="20"/>
          <w:szCs w:val="20"/>
        </w:rPr>
      </w:pPr>
      <w:r>
        <w:rPr>
          <w:rFonts w:ascii="Arial" w:hAnsi="Arial" w:cs="Arial"/>
          <w:b/>
          <w:sz w:val="20"/>
          <w:szCs w:val="20"/>
        </w:rPr>
        <w:t>Článek V</w:t>
      </w:r>
    </w:p>
    <w:p w:rsidR="00DB0F84" w:rsidRDefault="00DB0F84" w:rsidP="00DB0F84">
      <w:pPr>
        <w:pStyle w:val="Bezmezer"/>
        <w:spacing w:line="276" w:lineRule="auto"/>
        <w:jc w:val="center"/>
        <w:rPr>
          <w:rFonts w:ascii="Arial" w:hAnsi="Arial" w:cs="Arial"/>
          <w:b/>
          <w:sz w:val="20"/>
          <w:szCs w:val="20"/>
        </w:rPr>
      </w:pPr>
      <w:r>
        <w:rPr>
          <w:rFonts w:ascii="Arial" w:hAnsi="Arial" w:cs="Arial"/>
          <w:b/>
          <w:sz w:val="20"/>
          <w:szCs w:val="20"/>
        </w:rPr>
        <w:t>Závěrečná ustanovení</w:t>
      </w:r>
    </w:p>
    <w:p w:rsidR="00DB0F84" w:rsidRDefault="00DB0F84" w:rsidP="00DB0F84">
      <w:pPr>
        <w:pStyle w:val="Bezmezer"/>
        <w:spacing w:line="276" w:lineRule="auto"/>
        <w:jc w:val="center"/>
        <w:rPr>
          <w:rFonts w:ascii="Arial" w:hAnsi="Arial" w:cs="Arial"/>
          <w:b/>
          <w:sz w:val="20"/>
          <w:szCs w:val="20"/>
        </w:rPr>
      </w:pPr>
    </w:p>
    <w:p w:rsidR="00DB0F84" w:rsidRDefault="00DB0F84" w:rsidP="00DB0F8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Veškeré sporné záležitosti, které se vyskytnou a budou se týkat závazků vyplývajících z této prováděcí smlouvy, budou prioritně řešeny dohodou smluvních stran.</w:t>
      </w:r>
    </w:p>
    <w:p w:rsidR="00DB0F84" w:rsidRDefault="00DB0F84" w:rsidP="00DB0F84">
      <w:pPr>
        <w:pStyle w:val="Bezmezer"/>
        <w:spacing w:line="276" w:lineRule="auto"/>
        <w:ind w:left="426"/>
        <w:jc w:val="both"/>
        <w:rPr>
          <w:rFonts w:ascii="Arial" w:hAnsi="Arial" w:cs="Arial"/>
          <w:sz w:val="20"/>
          <w:szCs w:val="20"/>
        </w:rPr>
      </w:pPr>
    </w:p>
    <w:p w:rsidR="00DB0F84" w:rsidRDefault="00DB0F84" w:rsidP="00DB0F8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Jakékoli změny či doplnění této prováděcí smlouvy je možné činit výhradně formou písemných, vzestupně číslovaných dodatků podepsaných oprávněnými zástupci obou smluvních stran.</w:t>
      </w:r>
    </w:p>
    <w:p w:rsidR="00DB0F84" w:rsidRDefault="00DB0F84" w:rsidP="00DB0F84">
      <w:pPr>
        <w:pStyle w:val="Bezmezer"/>
        <w:spacing w:line="276" w:lineRule="auto"/>
        <w:ind w:left="426" w:hanging="426"/>
        <w:jc w:val="both"/>
        <w:rPr>
          <w:rFonts w:ascii="Arial" w:hAnsi="Arial" w:cs="Arial"/>
          <w:sz w:val="20"/>
          <w:szCs w:val="20"/>
        </w:rPr>
      </w:pPr>
    </w:p>
    <w:p w:rsidR="00DB0F84" w:rsidRDefault="008B3C22" w:rsidP="00DB0F8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lastRenderedPageBreak/>
        <w:t>Dodavatel</w:t>
      </w:r>
      <w:r w:rsidR="00DB0F84">
        <w:rPr>
          <w:rFonts w:ascii="Arial" w:hAnsi="Arial" w:cs="Arial"/>
          <w:sz w:val="20"/>
          <w:szCs w:val="20"/>
        </w:rPr>
        <w:t xml:space="preserve"> je povinen bez zbytečného odkladu písemně oznámit objednateli veškeré skutečnosti, které mohou mít vliv na povahu nebo na podmínky plnění této smlouvy, zejména změny svého majetkoprávního postavení, vstup do likvidace, úpadek, prohlášení konkursu apod.</w:t>
      </w:r>
    </w:p>
    <w:p w:rsidR="00DB0F84" w:rsidRDefault="00DB0F84" w:rsidP="00DB0F84">
      <w:pPr>
        <w:pStyle w:val="Bezmezer"/>
        <w:spacing w:line="276" w:lineRule="auto"/>
        <w:ind w:left="426" w:hanging="426"/>
        <w:jc w:val="both"/>
        <w:rPr>
          <w:rFonts w:ascii="Arial" w:hAnsi="Arial" w:cs="Arial"/>
          <w:sz w:val="20"/>
          <w:szCs w:val="20"/>
        </w:rPr>
      </w:pPr>
    </w:p>
    <w:p w:rsidR="00DB0F84" w:rsidRDefault="00DB0F84" w:rsidP="00DB0F8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Jednacím jazykem mezi smluvními stranami bude pro veškerá plnění vyplývající z této prováděcí smlouvy a dílčí veřejné zakázky výhradně jazyk český, a to včetně veškeré dokumentace vztahující se k předmětu této prováděcí smlouvy a dílčí veřejné zakázky.</w:t>
      </w:r>
    </w:p>
    <w:p w:rsidR="00DB0F84" w:rsidRDefault="00DB0F84" w:rsidP="00DB0F84">
      <w:pPr>
        <w:pStyle w:val="Bezmezer"/>
        <w:spacing w:line="276" w:lineRule="auto"/>
        <w:ind w:left="426" w:hanging="426"/>
        <w:jc w:val="both"/>
        <w:rPr>
          <w:rFonts w:ascii="Arial" w:hAnsi="Arial" w:cs="Arial"/>
          <w:sz w:val="20"/>
          <w:szCs w:val="20"/>
        </w:rPr>
      </w:pPr>
    </w:p>
    <w:p w:rsidR="00DB0F84" w:rsidRDefault="00DB0F84" w:rsidP="00DB0F8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Veškerá ujednání smluvních stran v jakékoli formě neobsažená v textu této prováděcí smlouvy jsou zcela nahrazena ujednáními této prováděcí smlouvy.</w:t>
      </w:r>
    </w:p>
    <w:p w:rsidR="00DB0F84" w:rsidRDefault="00DB0F84" w:rsidP="00DB0F84">
      <w:pPr>
        <w:pStyle w:val="Bezmezer"/>
        <w:spacing w:line="276" w:lineRule="auto"/>
        <w:ind w:left="426" w:hanging="426"/>
        <w:jc w:val="both"/>
        <w:rPr>
          <w:rFonts w:ascii="Arial" w:hAnsi="Arial" w:cs="Arial"/>
          <w:sz w:val="20"/>
          <w:szCs w:val="20"/>
        </w:rPr>
      </w:pPr>
    </w:p>
    <w:p w:rsidR="00DB0F84" w:rsidRDefault="00DB0F84" w:rsidP="00DB0F8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Otázky touto prováděcí smlouvou výslovně neupravené se řídí rámcovou </w:t>
      </w:r>
      <w:r w:rsidR="0058695B">
        <w:rPr>
          <w:rFonts w:ascii="Arial" w:hAnsi="Arial" w:cs="Arial"/>
          <w:sz w:val="20"/>
          <w:szCs w:val="20"/>
        </w:rPr>
        <w:t>dohodou</w:t>
      </w:r>
      <w:r>
        <w:rPr>
          <w:rFonts w:ascii="Arial" w:hAnsi="Arial" w:cs="Arial"/>
          <w:sz w:val="20"/>
          <w:szCs w:val="20"/>
        </w:rPr>
        <w:t xml:space="preserve"> a platnými právními předpisy České republiky, zejména příslušnými ustanoveními občanského zákoníku a zákona o veřejných zakázkách.</w:t>
      </w:r>
    </w:p>
    <w:p w:rsidR="00DB0F84" w:rsidRDefault="00DB0F84" w:rsidP="00DB0F84">
      <w:pPr>
        <w:pStyle w:val="Bezmezer"/>
        <w:spacing w:line="276" w:lineRule="auto"/>
        <w:jc w:val="both"/>
        <w:rPr>
          <w:rFonts w:ascii="Arial" w:hAnsi="Arial" w:cs="Arial"/>
          <w:sz w:val="20"/>
          <w:szCs w:val="20"/>
        </w:rPr>
      </w:pPr>
    </w:p>
    <w:p w:rsidR="00DB0F84" w:rsidRDefault="00DB0F84" w:rsidP="00DB0F8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Nedílnou součástí této prováděcí smlouvy jsou tyto přílohy:</w:t>
      </w:r>
    </w:p>
    <w:p w:rsidR="00DB0F84" w:rsidRDefault="00DB0F84" w:rsidP="00DB0F84">
      <w:pPr>
        <w:pStyle w:val="Bezmezer"/>
        <w:numPr>
          <w:ilvl w:val="0"/>
          <w:numId w:val="6"/>
        </w:numPr>
        <w:spacing w:line="276" w:lineRule="auto"/>
        <w:jc w:val="both"/>
        <w:rPr>
          <w:rFonts w:ascii="Arial" w:hAnsi="Arial" w:cs="Arial"/>
          <w:sz w:val="20"/>
          <w:szCs w:val="20"/>
        </w:rPr>
      </w:pPr>
      <w:r>
        <w:rPr>
          <w:rFonts w:ascii="Arial" w:hAnsi="Arial" w:cs="Arial"/>
          <w:sz w:val="20"/>
          <w:szCs w:val="20"/>
        </w:rPr>
        <w:t>Příloha č. 1 – Specifikace služeb</w:t>
      </w:r>
    </w:p>
    <w:p w:rsidR="00DB0F84" w:rsidRDefault="00DB0F84" w:rsidP="00DB0F84">
      <w:pPr>
        <w:pStyle w:val="Bezmezer"/>
        <w:numPr>
          <w:ilvl w:val="0"/>
          <w:numId w:val="6"/>
        </w:numPr>
        <w:spacing w:line="276" w:lineRule="auto"/>
        <w:jc w:val="both"/>
        <w:rPr>
          <w:rFonts w:ascii="Arial" w:hAnsi="Arial" w:cs="Arial"/>
          <w:sz w:val="20"/>
          <w:szCs w:val="20"/>
        </w:rPr>
      </w:pPr>
      <w:r>
        <w:rPr>
          <w:rFonts w:ascii="Arial" w:hAnsi="Arial" w:cs="Arial"/>
          <w:sz w:val="20"/>
          <w:szCs w:val="20"/>
        </w:rPr>
        <w:t>Příloha č. 2 – Ceny služeb</w:t>
      </w:r>
    </w:p>
    <w:p w:rsidR="00DB0F84" w:rsidRDefault="00DB0F84" w:rsidP="00DB0F84">
      <w:pPr>
        <w:pStyle w:val="Bezmezer"/>
        <w:spacing w:line="276" w:lineRule="auto"/>
        <w:jc w:val="both"/>
        <w:rPr>
          <w:rFonts w:ascii="Arial" w:hAnsi="Arial" w:cs="Arial"/>
          <w:sz w:val="20"/>
          <w:szCs w:val="20"/>
        </w:rPr>
      </w:pPr>
    </w:p>
    <w:p w:rsidR="00DB0F84" w:rsidRDefault="00DB0F84" w:rsidP="00DB0F8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Tato prováděcí smlouva je vyhotovena ve čtyřech stejnopisech, z nichž po dvou obdrží každá ze smluvních stran.</w:t>
      </w:r>
    </w:p>
    <w:p w:rsidR="00DB0F84" w:rsidRDefault="00DB0F84" w:rsidP="00DB0F84">
      <w:pPr>
        <w:pStyle w:val="Bezmezer"/>
        <w:spacing w:line="276" w:lineRule="auto"/>
        <w:jc w:val="both"/>
        <w:rPr>
          <w:rFonts w:ascii="Arial" w:hAnsi="Arial" w:cs="Arial"/>
          <w:sz w:val="20"/>
          <w:szCs w:val="20"/>
        </w:rPr>
      </w:pPr>
    </w:p>
    <w:p w:rsidR="00DB0F84" w:rsidRDefault="00DB0F84" w:rsidP="00DB0F8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Smluvní strany shodně prohlašují, že si tuto prováděcí smlouvu před jejím podpisem přečetly a že byla uzavřena podle jejich pravé a svobodné vůle, vážně, určitě a srozumitelně.</w:t>
      </w:r>
    </w:p>
    <w:p w:rsidR="00DB0F84" w:rsidRDefault="00DB0F84" w:rsidP="00DB0F84">
      <w:pPr>
        <w:pStyle w:val="Bezmezer"/>
        <w:spacing w:line="276" w:lineRule="auto"/>
        <w:jc w:val="both"/>
        <w:rPr>
          <w:rFonts w:ascii="Arial" w:hAnsi="Arial" w:cs="Arial"/>
          <w:sz w:val="20"/>
          <w:szCs w:val="20"/>
        </w:rPr>
      </w:pPr>
    </w:p>
    <w:p w:rsidR="00DB0F84" w:rsidRDefault="00DB0F84" w:rsidP="00DB0F84">
      <w:pPr>
        <w:pStyle w:val="Bezmezer"/>
        <w:spacing w:line="276" w:lineRule="auto"/>
        <w:jc w:val="both"/>
        <w:rPr>
          <w:rFonts w:ascii="Arial" w:hAnsi="Arial" w:cs="Arial"/>
          <w:sz w:val="20"/>
          <w:szCs w:val="20"/>
        </w:rPr>
      </w:pPr>
    </w:p>
    <w:p w:rsidR="00DB0F84" w:rsidRDefault="00DB0F84" w:rsidP="00DB0F84">
      <w:pPr>
        <w:pStyle w:val="Bezmezer"/>
        <w:spacing w:line="276" w:lineRule="auto"/>
        <w:jc w:val="both"/>
        <w:rPr>
          <w:rFonts w:ascii="Arial" w:hAnsi="Arial" w:cs="Arial"/>
          <w:sz w:val="20"/>
          <w:szCs w:val="20"/>
        </w:rPr>
      </w:pPr>
    </w:p>
    <w:p w:rsidR="00DB0F84" w:rsidRDefault="00DB0F84" w:rsidP="00DB0F84">
      <w:pPr>
        <w:pStyle w:val="Bezmezer"/>
        <w:spacing w:line="276" w:lineRule="auto"/>
        <w:jc w:val="both"/>
        <w:rPr>
          <w:rFonts w:ascii="Arial" w:hAnsi="Arial" w:cs="Arial"/>
          <w:sz w:val="20"/>
          <w:szCs w:val="20"/>
          <w:vertAlign w:val="superscript"/>
        </w:rPr>
      </w:pPr>
      <w:r>
        <w:rPr>
          <w:rFonts w:ascii="Arial" w:hAnsi="Arial" w:cs="Arial"/>
          <w:sz w:val="20"/>
          <w:szCs w:val="20"/>
        </w:rPr>
        <w:t xml:space="preserve">V Praze dne </w:t>
      </w:r>
      <w:r w:rsidR="007807BA">
        <w:rPr>
          <w:rFonts w:ascii="Arial" w:hAnsi="Arial" w:cs="Arial"/>
          <w:sz w:val="20"/>
          <w:szCs w:val="20"/>
        </w:rPr>
        <w:t>19. 12. 2017</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V </w:t>
      </w:r>
      <w:r w:rsidR="007807BA">
        <w:rPr>
          <w:rFonts w:ascii="Arial" w:hAnsi="Arial" w:cs="Arial"/>
          <w:sz w:val="20"/>
          <w:szCs w:val="20"/>
        </w:rPr>
        <w:t>Brně</w:t>
      </w:r>
      <w:r w:rsidRPr="00663391">
        <w:rPr>
          <w:rFonts w:ascii="Arial" w:hAnsi="Arial" w:cs="Arial"/>
          <w:sz w:val="20"/>
          <w:szCs w:val="20"/>
        </w:rPr>
        <w:t xml:space="preserve"> dne </w:t>
      </w:r>
      <w:r w:rsidR="007807BA">
        <w:rPr>
          <w:rFonts w:ascii="Arial" w:hAnsi="Arial" w:cs="Arial"/>
          <w:sz w:val="20"/>
          <w:szCs w:val="20"/>
        </w:rPr>
        <w:t>18. 12. 2017</w:t>
      </w:r>
    </w:p>
    <w:p w:rsidR="00DB0F84" w:rsidRDefault="00DB0F84" w:rsidP="00DB0F84">
      <w:pPr>
        <w:pStyle w:val="Bezmezer"/>
        <w:spacing w:line="276" w:lineRule="auto"/>
        <w:jc w:val="both"/>
        <w:rPr>
          <w:rFonts w:ascii="Arial" w:hAnsi="Arial" w:cs="Arial"/>
          <w:sz w:val="20"/>
          <w:szCs w:val="20"/>
          <w:vertAlign w:val="superscript"/>
        </w:rPr>
      </w:pPr>
    </w:p>
    <w:p w:rsidR="00DB0F84" w:rsidRDefault="00DB0F84" w:rsidP="00DB0F84">
      <w:pPr>
        <w:pStyle w:val="Bezmezer"/>
        <w:spacing w:line="276" w:lineRule="auto"/>
        <w:jc w:val="both"/>
        <w:rPr>
          <w:rFonts w:ascii="Arial" w:hAnsi="Arial" w:cs="Arial"/>
          <w:sz w:val="20"/>
          <w:szCs w:val="20"/>
          <w:vertAlign w:val="superscript"/>
        </w:rPr>
      </w:pPr>
    </w:p>
    <w:p w:rsidR="00DB0F84" w:rsidRDefault="00DB0F84" w:rsidP="00DB0F84">
      <w:pPr>
        <w:pStyle w:val="Bezmezer"/>
        <w:spacing w:line="276" w:lineRule="auto"/>
        <w:jc w:val="both"/>
        <w:rPr>
          <w:rFonts w:ascii="Arial" w:hAnsi="Arial" w:cs="Arial"/>
          <w:sz w:val="20"/>
          <w:szCs w:val="20"/>
          <w:vertAlign w:val="superscript"/>
        </w:rPr>
      </w:pPr>
    </w:p>
    <w:p w:rsidR="00DB0F84" w:rsidRDefault="00DB0F84" w:rsidP="00DB0F84">
      <w:pPr>
        <w:pStyle w:val="Bezmezer"/>
        <w:spacing w:line="276" w:lineRule="auto"/>
        <w:jc w:val="both"/>
        <w:rPr>
          <w:rFonts w:ascii="Arial" w:hAnsi="Arial" w:cs="Arial"/>
          <w:sz w:val="20"/>
          <w:szCs w:val="20"/>
        </w:rPr>
      </w:pPr>
    </w:p>
    <w:p w:rsidR="00DB0F84" w:rsidRDefault="00DB0F84" w:rsidP="00DB0F84">
      <w:pPr>
        <w:pStyle w:val="Bezmezer"/>
        <w:spacing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DB0F84" w:rsidRPr="00663391" w:rsidRDefault="00DB0F84" w:rsidP="00DB0F84">
      <w:pPr>
        <w:pStyle w:val="Bezmezer"/>
        <w:spacing w:line="276" w:lineRule="auto"/>
        <w:jc w:val="both"/>
        <w:rPr>
          <w:rFonts w:ascii="Arial" w:hAnsi="Arial" w:cs="Arial"/>
          <w:sz w:val="20"/>
          <w:szCs w:val="20"/>
          <w:vertAlign w:val="superscript"/>
        </w:rPr>
      </w:pPr>
      <w:r>
        <w:rPr>
          <w:rFonts w:ascii="Arial" w:hAnsi="Arial" w:cs="Arial"/>
          <w:sz w:val="20"/>
          <w:szCs w:val="20"/>
        </w:rPr>
        <w:t>Česká republika – Český statistický úřad</w:t>
      </w:r>
      <w:r>
        <w:rPr>
          <w:rFonts w:ascii="Arial" w:hAnsi="Arial" w:cs="Arial"/>
          <w:sz w:val="20"/>
          <w:szCs w:val="20"/>
        </w:rPr>
        <w:tab/>
      </w:r>
      <w:r>
        <w:rPr>
          <w:rFonts w:ascii="Arial" w:hAnsi="Arial" w:cs="Arial"/>
          <w:sz w:val="20"/>
          <w:szCs w:val="20"/>
        </w:rPr>
        <w:tab/>
      </w:r>
      <w:r>
        <w:rPr>
          <w:rFonts w:ascii="Arial" w:hAnsi="Arial" w:cs="Arial"/>
          <w:sz w:val="20"/>
          <w:szCs w:val="20"/>
        </w:rPr>
        <w:tab/>
      </w:r>
      <w:r w:rsidR="00663391" w:rsidRPr="00663391">
        <w:rPr>
          <w:rFonts w:ascii="Arial" w:hAnsi="Arial" w:cs="Arial"/>
          <w:sz w:val="20"/>
          <w:szCs w:val="20"/>
        </w:rPr>
        <w:t>TECHNISERV IT, spol. s r.o.</w:t>
      </w:r>
    </w:p>
    <w:p w:rsidR="00DB0F84" w:rsidRPr="00663391" w:rsidRDefault="00DB0F84" w:rsidP="00DB0F84">
      <w:pPr>
        <w:pStyle w:val="Bezmezer"/>
        <w:spacing w:line="276" w:lineRule="auto"/>
        <w:jc w:val="both"/>
        <w:rPr>
          <w:rFonts w:ascii="Arial" w:hAnsi="Arial" w:cs="Arial"/>
          <w:sz w:val="20"/>
          <w:szCs w:val="20"/>
          <w:vertAlign w:val="superscript"/>
        </w:rPr>
      </w:pPr>
      <w:r w:rsidRPr="00663391">
        <w:rPr>
          <w:rFonts w:ascii="Arial" w:hAnsi="Arial" w:cs="Arial"/>
          <w:sz w:val="20"/>
          <w:szCs w:val="20"/>
        </w:rPr>
        <w:t xml:space="preserve">Mgr. Radoslav </w:t>
      </w:r>
      <w:proofErr w:type="spellStart"/>
      <w:r w:rsidRPr="00663391">
        <w:rPr>
          <w:rFonts w:ascii="Arial" w:hAnsi="Arial" w:cs="Arial"/>
          <w:sz w:val="20"/>
          <w:szCs w:val="20"/>
        </w:rPr>
        <w:t>Bulíř</w:t>
      </w:r>
      <w:proofErr w:type="spellEnd"/>
      <w:r w:rsidRPr="00663391">
        <w:rPr>
          <w:rFonts w:ascii="Arial" w:hAnsi="Arial" w:cs="Arial"/>
          <w:sz w:val="20"/>
          <w:szCs w:val="20"/>
        </w:rPr>
        <w:tab/>
      </w:r>
      <w:r w:rsidRPr="00663391">
        <w:rPr>
          <w:rFonts w:ascii="Arial" w:hAnsi="Arial" w:cs="Arial"/>
          <w:sz w:val="20"/>
          <w:szCs w:val="20"/>
        </w:rPr>
        <w:tab/>
      </w:r>
      <w:r w:rsidRPr="00663391">
        <w:rPr>
          <w:rFonts w:ascii="Arial" w:hAnsi="Arial" w:cs="Arial"/>
          <w:sz w:val="20"/>
          <w:szCs w:val="20"/>
        </w:rPr>
        <w:tab/>
      </w:r>
      <w:r w:rsidRPr="00663391">
        <w:rPr>
          <w:rFonts w:ascii="Arial" w:hAnsi="Arial" w:cs="Arial"/>
          <w:sz w:val="20"/>
          <w:szCs w:val="20"/>
        </w:rPr>
        <w:tab/>
      </w:r>
      <w:r w:rsidRPr="00663391">
        <w:rPr>
          <w:rFonts w:ascii="Arial" w:hAnsi="Arial" w:cs="Arial"/>
          <w:sz w:val="20"/>
          <w:szCs w:val="20"/>
        </w:rPr>
        <w:tab/>
      </w:r>
      <w:r w:rsidRPr="00663391">
        <w:rPr>
          <w:rFonts w:ascii="Arial" w:hAnsi="Arial" w:cs="Arial"/>
          <w:sz w:val="20"/>
          <w:szCs w:val="20"/>
        </w:rPr>
        <w:tab/>
      </w:r>
      <w:r w:rsidR="00663391" w:rsidRPr="00663391">
        <w:rPr>
          <w:rFonts w:ascii="Arial" w:hAnsi="Arial" w:cs="Arial"/>
          <w:sz w:val="20"/>
          <w:szCs w:val="20"/>
        </w:rPr>
        <w:t xml:space="preserve">Ing. Luděk </w:t>
      </w:r>
      <w:proofErr w:type="spellStart"/>
      <w:r w:rsidR="00663391" w:rsidRPr="00663391">
        <w:rPr>
          <w:rFonts w:ascii="Arial" w:hAnsi="Arial" w:cs="Arial"/>
          <w:sz w:val="20"/>
          <w:szCs w:val="20"/>
        </w:rPr>
        <w:t>Telecký</w:t>
      </w:r>
      <w:proofErr w:type="spellEnd"/>
    </w:p>
    <w:p w:rsidR="00DB0F84" w:rsidRPr="00663391" w:rsidRDefault="00DB0F84" w:rsidP="00DB0F84">
      <w:pPr>
        <w:pStyle w:val="Bezmezer"/>
        <w:spacing w:line="276" w:lineRule="auto"/>
        <w:jc w:val="both"/>
        <w:rPr>
          <w:rFonts w:ascii="Arial" w:hAnsi="Arial" w:cs="Arial"/>
          <w:sz w:val="20"/>
          <w:szCs w:val="20"/>
          <w:vertAlign w:val="superscript"/>
        </w:rPr>
      </w:pPr>
      <w:r w:rsidRPr="00663391">
        <w:rPr>
          <w:rFonts w:ascii="Arial" w:hAnsi="Arial" w:cs="Arial"/>
          <w:sz w:val="20"/>
          <w:szCs w:val="20"/>
        </w:rPr>
        <w:t xml:space="preserve">ředitel </w:t>
      </w:r>
      <w:r w:rsidR="00A633F7" w:rsidRPr="00663391">
        <w:rPr>
          <w:rFonts w:ascii="Arial" w:hAnsi="Arial" w:cs="Arial"/>
          <w:sz w:val="20"/>
          <w:szCs w:val="20"/>
        </w:rPr>
        <w:t>s</w:t>
      </w:r>
      <w:r w:rsidRPr="00663391">
        <w:rPr>
          <w:rFonts w:ascii="Arial" w:hAnsi="Arial" w:cs="Arial"/>
          <w:sz w:val="20"/>
          <w:szCs w:val="20"/>
        </w:rPr>
        <w:t>ekce ekonomické a správní</w:t>
      </w:r>
      <w:r w:rsidRPr="00663391">
        <w:rPr>
          <w:rFonts w:ascii="Arial" w:hAnsi="Arial" w:cs="Arial"/>
          <w:sz w:val="20"/>
          <w:szCs w:val="20"/>
        </w:rPr>
        <w:tab/>
      </w:r>
      <w:r w:rsidRPr="00663391">
        <w:rPr>
          <w:rFonts w:ascii="Arial" w:hAnsi="Arial" w:cs="Arial"/>
          <w:sz w:val="20"/>
          <w:szCs w:val="20"/>
        </w:rPr>
        <w:tab/>
      </w:r>
      <w:r w:rsidRPr="00663391">
        <w:rPr>
          <w:rFonts w:ascii="Arial" w:hAnsi="Arial" w:cs="Arial"/>
          <w:sz w:val="20"/>
          <w:szCs w:val="20"/>
        </w:rPr>
        <w:tab/>
      </w:r>
      <w:r w:rsidRPr="00663391">
        <w:rPr>
          <w:rFonts w:ascii="Arial" w:hAnsi="Arial" w:cs="Arial"/>
          <w:sz w:val="20"/>
          <w:szCs w:val="20"/>
        </w:rPr>
        <w:tab/>
      </w:r>
      <w:r w:rsidR="00663391" w:rsidRPr="00663391">
        <w:rPr>
          <w:rFonts w:ascii="Arial" w:hAnsi="Arial" w:cs="Arial"/>
          <w:sz w:val="20"/>
          <w:szCs w:val="20"/>
        </w:rPr>
        <w:t>jednatel</w:t>
      </w:r>
    </w:p>
    <w:p w:rsidR="00DB0F84" w:rsidRDefault="00DB0F84" w:rsidP="00DB0F84">
      <w:pPr>
        <w:pStyle w:val="Bezmezer"/>
        <w:spacing w:line="276" w:lineRule="auto"/>
        <w:jc w:val="both"/>
        <w:rPr>
          <w:rFonts w:ascii="Arial" w:hAnsi="Arial" w:cs="Arial"/>
          <w:sz w:val="20"/>
          <w:szCs w:val="20"/>
        </w:rPr>
      </w:pPr>
    </w:p>
    <w:p w:rsidR="00DB0F84" w:rsidRDefault="00DB0F84" w:rsidP="00DB0F84">
      <w:pPr>
        <w:pStyle w:val="Bezmezer"/>
        <w:spacing w:line="276" w:lineRule="auto"/>
        <w:jc w:val="both"/>
        <w:rPr>
          <w:rFonts w:ascii="Arial" w:hAnsi="Arial" w:cs="Arial"/>
          <w:sz w:val="20"/>
          <w:szCs w:val="20"/>
        </w:rPr>
      </w:pPr>
    </w:p>
    <w:p w:rsidR="00DB0F84" w:rsidRDefault="00DB0F84" w:rsidP="00DB0F84">
      <w:pPr>
        <w:pStyle w:val="Bezmezer"/>
        <w:spacing w:line="276" w:lineRule="auto"/>
        <w:jc w:val="center"/>
        <w:rPr>
          <w:rFonts w:ascii="Arial" w:hAnsi="Arial" w:cs="Arial"/>
          <w:b/>
          <w:sz w:val="20"/>
          <w:szCs w:val="20"/>
        </w:rPr>
      </w:pPr>
    </w:p>
    <w:p w:rsidR="00DB0F84" w:rsidRDefault="00DB0F84" w:rsidP="00DB0F84">
      <w:pPr>
        <w:pStyle w:val="Bezmezer"/>
        <w:spacing w:line="276" w:lineRule="auto"/>
        <w:jc w:val="center"/>
        <w:rPr>
          <w:rFonts w:ascii="Arial" w:hAnsi="Arial" w:cs="Arial"/>
          <w:b/>
          <w:sz w:val="20"/>
          <w:szCs w:val="20"/>
        </w:rPr>
      </w:pPr>
    </w:p>
    <w:p w:rsidR="00D655CC" w:rsidRDefault="00D655CC" w:rsidP="00DB0F84">
      <w:pPr>
        <w:pStyle w:val="Bezmezer"/>
        <w:spacing w:line="276" w:lineRule="auto"/>
        <w:jc w:val="center"/>
        <w:rPr>
          <w:rFonts w:ascii="Arial" w:hAnsi="Arial" w:cs="Arial"/>
          <w:b/>
          <w:sz w:val="20"/>
          <w:szCs w:val="20"/>
        </w:rPr>
      </w:pPr>
    </w:p>
    <w:p w:rsidR="00D655CC" w:rsidRDefault="00D655CC" w:rsidP="00DB0F84">
      <w:pPr>
        <w:pStyle w:val="Bezmezer"/>
        <w:spacing w:line="276" w:lineRule="auto"/>
        <w:jc w:val="center"/>
        <w:rPr>
          <w:rFonts w:ascii="Arial" w:hAnsi="Arial" w:cs="Arial"/>
          <w:b/>
          <w:sz w:val="20"/>
          <w:szCs w:val="20"/>
        </w:rPr>
      </w:pPr>
    </w:p>
    <w:p w:rsidR="00D655CC" w:rsidRDefault="00D655CC" w:rsidP="00DB0F84">
      <w:pPr>
        <w:pStyle w:val="Bezmezer"/>
        <w:spacing w:line="276" w:lineRule="auto"/>
        <w:jc w:val="center"/>
        <w:rPr>
          <w:rFonts w:ascii="Arial" w:hAnsi="Arial" w:cs="Arial"/>
          <w:b/>
          <w:sz w:val="20"/>
          <w:szCs w:val="20"/>
        </w:rPr>
      </w:pPr>
    </w:p>
    <w:p w:rsidR="00D655CC" w:rsidRDefault="00D655CC" w:rsidP="00DB0F84">
      <w:pPr>
        <w:pStyle w:val="Bezmezer"/>
        <w:spacing w:line="276" w:lineRule="auto"/>
        <w:jc w:val="center"/>
        <w:rPr>
          <w:rFonts w:ascii="Arial" w:hAnsi="Arial" w:cs="Arial"/>
          <w:b/>
          <w:sz w:val="20"/>
          <w:szCs w:val="20"/>
        </w:rPr>
      </w:pPr>
    </w:p>
    <w:p w:rsidR="00EA124D" w:rsidRDefault="00EA124D" w:rsidP="00DB0F84">
      <w:pPr>
        <w:pStyle w:val="Bezmezer"/>
        <w:spacing w:line="276" w:lineRule="auto"/>
        <w:jc w:val="center"/>
        <w:rPr>
          <w:rFonts w:ascii="Arial" w:hAnsi="Arial" w:cs="Arial"/>
          <w:b/>
          <w:sz w:val="20"/>
          <w:szCs w:val="20"/>
        </w:rPr>
      </w:pPr>
    </w:p>
    <w:p w:rsidR="00D655CC" w:rsidRDefault="00D655CC" w:rsidP="00DB0F84">
      <w:pPr>
        <w:pStyle w:val="Bezmezer"/>
        <w:spacing w:line="276" w:lineRule="auto"/>
        <w:jc w:val="center"/>
        <w:rPr>
          <w:rFonts w:ascii="Arial" w:hAnsi="Arial" w:cs="Arial"/>
          <w:b/>
          <w:sz w:val="20"/>
          <w:szCs w:val="20"/>
        </w:rPr>
      </w:pPr>
    </w:p>
    <w:p w:rsidR="00D655CC" w:rsidRDefault="00D655CC" w:rsidP="00DB0F84">
      <w:pPr>
        <w:pStyle w:val="Bezmezer"/>
        <w:spacing w:line="276" w:lineRule="auto"/>
        <w:jc w:val="center"/>
        <w:rPr>
          <w:rFonts w:ascii="Arial" w:hAnsi="Arial" w:cs="Arial"/>
          <w:b/>
          <w:sz w:val="20"/>
          <w:szCs w:val="20"/>
        </w:rPr>
      </w:pPr>
    </w:p>
    <w:p w:rsidR="00EA124D" w:rsidRDefault="00EA124D" w:rsidP="00DB0F84">
      <w:pPr>
        <w:pStyle w:val="Bezmezer"/>
        <w:spacing w:line="276" w:lineRule="auto"/>
        <w:jc w:val="center"/>
        <w:rPr>
          <w:rFonts w:ascii="Arial" w:hAnsi="Arial" w:cs="Arial"/>
          <w:b/>
          <w:sz w:val="20"/>
          <w:szCs w:val="20"/>
        </w:rPr>
      </w:pPr>
    </w:p>
    <w:p w:rsidR="00DB0F84" w:rsidRDefault="00DB0F84" w:rsidP="00DB0F84">
      <w:pPr>
        <w:pStyle w:val="Bezmezer"/>
        <w:spacing w:line="276" w:lineRule="auto"/>
        <w:jc w:val="both"/>
        <w:rPr>
          <w:rFonts w:ascii="Arial" w:hAnsi="Arial" w:cs="Arial"/>
          <w:sz w:val="20"/>
          <w:szCs w:val="20"/>
        </w:rPr>
      </w:pPr>
    </w:p>
    <w:p w:rsidR="00EA124D" w:rsidRDefault="00EA124D" w:rsidP="00DB0F84">
      <w:pPr>
        <w:pStyle w:val="Bezmezer"/>
        <w:spacing w:line="276" w:lineRule="auto"/>
        <w:jc w:val="both"/>
        <w:rPr>
          <w:rFonts w:ascii="Arial" w:hAnsi="Arial" w:cs="Arial"/>
          <w:sz w:val="20"/>
          <w:szCs w:val="20"/>
        </w:rPr>
      </w:pPr>
    </w:p>
    <w:p w:rsidR="00EA124D" w:rsidRDefault="00EA124D">
      <w:pPr>
        <w:spacing w:after="200" w:line="276" w:lineRule="auto"/>
        <w:rPr>
          <w:rFonts w:ascii="Arial" w:eastAsiaTheme="minorHAnsi" w:hAnsi="Arial" w:cs="Arial"/>
          <w:sz w:val="20"/>
          <w:szCs w:val="20"/>
          <w:lang w:eastAsia="en-US"/>
        </w:rPr>
      </w:pPr>
      <w:r>
        <w:rPr>
          <w:rFonts w:ascii="Arial" w:hAnsi="Arial" w:cs="Arial"/>
          <w:sz w:val="20"/>
          <w:szCs w:val="20"/>
        </w:rPr>
        <w:br w:type="page"/>
      </w:r>
    </w:p>
    <w:p w:rsidR="00EA124D" w:rsidRDefault="00EA124D" w:rsidP="00DB0F84">
      <w:pPr>
        <w:pStyle w:val="Bezmezer"/>
        <w:spacing w:line="276" w:lineRule="auto"/>
        <w:jc w:val="both"/>
        <w:rPr>
          <w:rFonts w:ascii="Arial" w:hAnsi="Arial" w:cs="Arial"/>
          <w:sz w:val="20"/>
          <w:szCs w:val="20"/>
        </w:rPr>
      </w:pPr>
    </w:p>
    <w:p w:rsidR="00EA124D" w:rsidRDefault="00EA124D">
      <w:pPr>
        <w:spacing w:after="200" w:line="276" w:lineRule="auto"/>
        <w:rPr>
          <w:rFonts w:ascii="Arial" w:eastAsiaTheme="minorHAnsi" w:hAnsi="Arial" w:cs="Arial"/>
          <w:sz w:val="20"/>
          <w:szCs w:val="20"/>
          <w:lang w:eastAsia="en-US"/>
        </w:rPr>
      </w:pPr>
      <w:r>
        <w:rPr>
          <w:rFonts w:ascii="Arial" w:hAnsi="Arial" w:cs="Arial"/>
          <w:sz w:val="20"/>
          <w:szCs w:val="20"/>
        </w:rPr>
        <w:br w:type="page"/>
      </w:r>
    </w:p>
    <w:p w:rsidR="00DB0F84" w:rsidRDefault="00DB0F84" w:rsidP="00A633F7">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lastRenderedPageBreak/>
        <w:t>Příloha č. 1</w:t>
      </w:r>
    </w:p>
    <w:p w:rsidR="0027272E" w:rsidRDefault="00DB0F84" w:rsidP="00A633F7">
      <w:pPr>
        <w:pBdr>
          <w:top w:val="single" w:sz="4" w:space="1" w:color="auto"/>
          <w:left w:val="single" w:sz="4" w:space="4" w:color="auto"/>
          <w:bottom w:val="single" w:sz="4" w:space="1" w:color="auto"/>
          <w:right w:val="single" w:sz="4" w:space="4" w:color="auto"/>
        </w:pBdr>
        <w:rPr>
          <w:rFonts w:ascii="Arial" w:hAnsi="Arial" w:cs="Arial"/>
          <w:sz w:val="20"/>
          <w:szCs w:val="20"/>
        </w:rPr>
      </w:pPr>
      <w:r w:rsidRPr="0027272E">
        <w:rPr>
          <w:rFonts w:ascii="Arial" w:hAnsi="Arial" w:cs="Arial"/>
          <w:sz w:val="20"/>
          <w:szCs w:val="20"/>
        </w:rPr>
        <w:t xml:space="preserve">prováděcí smlouvy č. </w:t>
      </w:r>
      <w:r w:rsidR="00A633F7" w:rsidRPr="0027272E">
        <w:rPr>
          <w:rFonts w:ascii="Arial" w:hAnsi="Arial" w:cs="Arial"/>
          <w:sz w:val="20"/>
          <w:szCs w:val="20"/>
        </w:rPr>
        <w:t>1</w:t>
      </w:r>
      <w:r w:rsidRPr="0027272E">
        <w:rPr>
          <w:rFonts w:ascii="Arial" w:hAnsi="Arial" w:cs="Arial"/>
          <w:sz w:val="20"/>
          <w:szCs w:val="20"/>
        </w:rPr>
        <w:t xml:space="preserve"> k</w:t>
      </w:r>
      <w:r w:rsidR="00A633F7" w:rsidRPr="0027272E">
        <w:rPr>
          <w:rFonts w:ascii="Arial" w:hAnsi="Arial" w:cs="Arial"/>
          <w:sz w:val="20"/>
          <w:szCs w:val="20"/>
        </w:rPr>
        <w:t> rámcové dohodě</w:t>
      </w:r>
      <w:r w:rsidRPr="0027272E">
        <w:rPr>
          <w:rFonts w:ascii="Arial" w:hAnsi="Arial" w:cs="Arial"/>
          <w:sz w:val="20"/>
          <w:szCs w:val="20"/>
        </w:rPr>
        <w:t xml:space="preserve"> o poskytování služeb systémové podpory</w:t>
      </w:r>
      <w:r w:rsidR="0027272E" w:rsidRPr="0027272E">
        <w:rPr>
          <w:rFonts w:ascii="Arial" w:hAnsi="Arial" w:cs="Arial"/>
          <w:sz w:val="20"/>
          <w:szCs w:val="20"/>
        </w:rPr>
        <w:t xml:space="preserve"> </w:t>
      </w:r>
      <w:r w:rsidRPr="0027272E">
        <w:rPr>
          <w:rFonts w:ascii="Arial" w:hAnsi="Arial" w:cs="Arial"/>
          <w:sz w:val="20"/>
          <w:szCs w:val="20"/>
        </w:rPr>
        <w:t xml:space="preserve">programového vybavení </w:t>
      </w:r>
      <w:proofErr w:type="spellStart"/>
      <w:r w:rsidRPr="0027272E">
        <w:rPr>
          <w:rFonts w:ascii="Arial" w:hAnsi="Arial" w:cs="Arial"/>
          <w:sz w:val="20"/>
          <w:szCs w:val="20"/>
        </w:rPr>
        <w:t>Oracle</w:t>
      </w:r>
      <w:proofErr w:type="spellEnd"/>
      <w:r w:rsidR="00A633F7" w:rsidRPr="0027272E">
        <w:rPr>
          <w:rFonts w:ascii="Arial" w:hAnsi="Arial" w:cs="Arial"/>
          <w:sz w:val="20"/>
          <w:szCs w:val="20"/>
        </w:rPr>
        <w:t xml:space="preserve">, </w:t>
      </w:r>
      <w:proofErr w:type="spellStart"/>
      <w:r w:rsidRPr="0027272E">
        <w:rPr>
          <w:rFonts w:ascii="Arial" w:hAnsi="Arial" w:cs="Arial"/>
          <w:sz w:val="20"/>
          <w:szCs w:val="20"/>
        </w:rPr>
        <w:t>evid</w:t>
      </w:r>
      <w:proofErr w:type="spellEnd"/>
      <w:r w:rsidRPr="0027272E">
        <w:rPr>
          <w:rFonts w:ascii="Arial" w:hAnsi="Arial" w:cs="Arial"/>
          <w:sz w:val="20"/>
          <w:szCs w:val="20"/>
        </w:rPr>
        <w:t xml:space="preserve">. č. ČSÚ: </w:t>
      </w:r>
      <w:r w:rsidR="00A633F7" w:rsidRPr="0027272E">
        <w:rPr>
          <w:rFonts w:ascii="Arial" w:hAnsi="Arial" w:cs="Arial"/>
          <w:sz w:val="20"/>
          <w:szCs w:val="20"/>
        </w:rPr>
        <w:t>154-2017</w:t>
      </w:r>
      <w:r w:rsidRPr="0027272E">
        <w:rPr>
          <w:rFonts w:ascii="Arial" w:hAnsi="Arial" w:cs="Arial"/>
          <w:sz w:val="20"/>
          <w:szCs w:val="20"/>
        </w:rPr>
        <w:t>-R</w:t>
      </w:r>
    </w:p>
    <w:p w:rsidR="00DB0F84" w:rsidRPr="0027272E" w:rsidRDefault="0027272E" w:rsidP="00A633F7">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Specifikace služeb</w:t>
      </w:r>
      <w:r w:rsidR="00DB0F84" w:rsidRPr="0027272E">
        <w:rPr>
          <w:rFonts w:ascii="Arial" w:hAnsi="Arial" w:cs="Arial"/>
          <w:sz w:val="20"/>
          <w:szCs w:val="20"/>
        </w:rPr>
        <w:t xml:space="preserve"> </w:t>
      </w:r>
      <w:r w:rsidR="00DB0F84" w:rsidRPr="0027272E">
        <w:rPr>
          <w:rFonts w:ascii="Arial" w:hAnsi="Arial" w:cs="Arial"/>
          <w:b/>
          <w:sz w:val="20"/>
          <w:szCs w:val="20"/>
        </w:rPr>
        <w:t xml:space="preserve">                           </w:t>
      </w:r>
    </w:p>
    <w:p w:rsidR="00DB0F84" w:rsidRDefault="00DB0F84" w:rsidP="00DB0F84">
      <w:pPr>
        <w:rPr>
          <w:rFonts w:ascii="Arial" w:hAnsi="Arial" w:cs="Arial"/>
          <w:b/>
          <w:sz w:val="20"/>
          <w:szCs w:val="20"/>
        </w:rPr>
      </w:pPr>
      <w:r>
        <w:rPr>
          <w:rFonts w:ascii="Arial" w:hAnsi="Arial" w:cs="Arial"/>
          <w:b/>
          <w:sz w:val="20"/>
          <w:szCs w:val="20"/>
        </w:rPr>
        <w:t xml:space="preserve">    </w:t>
      </w:r>
    </w:p>
    <w:p w:rsidR="00CB5FBD" w:rsidRPr="001D285A" w:rsidRDefault="00CB5FBD" w:rsidP="00CB5FBD">
      <w:pPr>
        <w:jc w:val="center"/>
        <w:rPr>
          <w:rFonts w:ascii="Arial" w:hAnsi="Arial" w:cs="Arial"/>
          <w:b/>
          <w:snapToGrid w:val="0"/>
          <w:sz w:val="20"/>
          <w:szCs w:val="20"/>
          <w:u w:val="single"/>
          <w:lang w:val="en-GB"/>
        </w:rPr>
      </w:pPr>
      <w:r w:rsidRPr="001D285A">
        <w:rPr>
          <w:rFonts w:ascii="Arial" w:hAnsi="Arial" w:cs="Arial"/>
          <w:sz w:val="20"/>
          <w:szCs w:val="20"/>
          <w:u w:val="single"/>
        </w:rPr>
        <w:t xml:space="preserve">Popis služeb aktualizace, základní a rozšířené technické podpory programového vybavení </w:t>
      </w:r>
      <w:proofErr w:type="spellStart"/>
      <w:r w:rsidRPr="001D285A">
        <w:rPr>
          <w:rFonts w:ascii="Arial" w:hAnsi="Arial" w:cs="Arial"/>
          <w:sz w:val="20"/>
          <w:szCs w:val="20"/>
          <w:u w:val="single"/>
        </w:rPr>
        <w:t>Oracle</w:t>
      </w:r>
      <w:proofErr w:type="spellEnd"/>
      <w:r w:rsidRPr="001D285A" w:rsidDel="00012037">
        <w:rPr>
          <w:rFonts w:ascii="Arial" w:hAnsi="Arial" w:cs="Arial"/>
          <w:b/>
          <w:snapToGrid w:val="0"/>
          <w:sz w:val="20"/>
          <w:szCs w:val="20"/>
          <w:u w:val="single"/>
          <w:lang w:val="en-GB"/>
        </w:rPr>
        <w:t xml:space="preserve"> </w:t>
      </w:r>
    </w:p>
    <w:p w:rsidR="00CB5FBD" w:rsidRPr="00054CFE" w:rsidRDefault="00CB5FBD" w:rsidP="00CB5FBD">
      <w:pPr>
        <w:jc w:val="center"/>
        <w:rPr>
          <w:rFonts w:ascii="Arial" w:hAnsi="Arial" w:cs="Arial"/>
          <w:b/>
          <w:snapToGrid w:val="0"/>
          <w:sz w:val="22"/>
          <w:szCs w:val="22"/>
          <w:lang w:val="en-GB"/>
        </w:rPr>
      </w:pPr>
    </w:p>
    <w:p w:rsidR="00CB5FBD" w:rsidRPr="001D285A" w:rsidRDefault="00CB5FBD" w:rsidP="00CB5FBD">
      <w:pPr>
        <w:rPr>
          <w:rFonts w:ascii="Arial" w:hAnsi="Arial" w:cs="Arial"/>
          <w:b/>
          <w:snapToGrid w:val="0"/>
          <w:sz w:val="20"/>
          <w:szCs w:val="20"/>
          <w:u w:val="single"/>
          <w:lang w:val="en-GB"/>
        </w:rPr>
      </w:pPr>
      <w:proofErr w:type="spellStart"/>
      <w:r w:rsidRPr="001D285A">
        <w:rPr>
          <w:rFonts w:ascii="Arial" w:hAnsi="Arial" w:cs="Arial"/>
          <w:b/>
          <w:snapToGrid w:val="0"/>
          <w:sz w:val="20"/>
          <w:szCs w:val="20"/>
          <w:u w:val="single"/>
          <w:lang w:val="en-GB"/>
        </w:rPr>
        <w:t>Aktualizace</w:t>
      </w:r>
      <w:proofErr w:type="spellEnd"/>
      <w:r w:rsidRPr="001D285A">
        <w:rPr>
          <w:rFonts w:ascii="Arial" w:hAnsi="Arial" w:cs="Arial"/>
          <w:b/>
          <w:snapToGrid w:val="0"/>
          <w:sz w:val="20"/>
          <w:szCs w:val="20"/>
          <w:u w:val="single"/>
          <w:lang w:val="en-GB"/>
        </w:rPr>
        <w:t xml:space="preserve"> a </w:t>
      </w:r>
      <w:proofErr w:type="spellStart"/>
      <w:r w:rsidRPr="001D285A">
        <w:rPr>
          <w:rFonts w:ascii="Arial" w:hAnsi="Arial" w:cs="Arial"/>
          <w:b/>
          <w:snapToGrid w:val="0"/>
          <w:sz w:val="20"/>
          <w:szCs w:val="20"/>
          <w:u w:val="single"/>
          <w:lang w:val="en-GB"/>
        </w:rPr>
        <w:t>základní</w:t>
      </w:r>
      <w:proofErr w:type="spellEnd"/>
      <w:r w:rsidRPr="001D285A">
        <w:rPr>
          <w:rFonts w:ascii="Arial" w:hAnsi="Arial" w:cs="Arial"/>
          <w:b/>
          <w:snapToGrid w:val="0"/>
          <w:sz w:val="20"/>
          <w:szCs w:val="20"/>
          <w:u w:val="single"/>
          <w:lang w:val="en-GB"/>
        </w:rPr>
        <w:t xml:space="preserve"> </w:t>
      </w:r>
      <w:proofErr w:type="spellStart"/>
      <w:r w:rsidRPr="001D285A">
        <w:rPr>
          <w:rFonts w:ascii="Arial" w:hAnsi="Arial" w:cs="Arial"/>
          <w:b/>
          <w:snapToGrid w:val="0"/>
          <w:sz w:val="20"/>
          <w:szCs w:val="20"/>
          <w:u w:val="single"/>
          <w:lang w:val="en-GB"/>
        </w:rPr>
        <w:t>podpora</w:t>
      </w:r>
      <w:proofErr w:type="spellEnd"/>
    </w:p>
    <w:p w:rsidR="00CB5FBD" w:rsidRPr="001D285A" w:rsidRDefault="00CB5FBD" w:rsidP="00CB5FBD">
      <w:pPr>
        <w:rPr>
          <w:rFonts w:ascii="Arial" w:hAnsi="Arial" w:cs="Arial"/>
          <w:b/>
          <w:snapToGrid w:val="0"/>
          <w:sz w:val="20"/>
          <w:szCs w:val="20"/>
          <w:lang w:val="en-GB"/>
        </w:rPr>
      </w:pPr>
    </w:p>
    <w:p w:rsidR="00CB5FBD" w:rsidRPr="001D285A" w:rsidRDefault="00CB5FBD" w:rsidP="00CB5FBD">
      <w:pPr>
        <w:jc w:val="both"/>
        <w:rPr>
          <w:rFonts w:ascii="Arial" w:hAnsi="Arial" w:cs="Arial"/>
          <w:snapToGrid w:val="0"/>
          <w:sz w:val="20"/>
          <w:szCs w:val="20"/>
          <w:lang w:val="en-GB"/>
        </w:rPr>
      </w:pPr>
      <w:r w:rsidRPr="001D285A">
        <w:rPr>
          <w:rFonts w:ascii="Arial" w:hAnsi="Arial" w:cs="Arial"/>
          <w:snapToGrid w:val="0"/>
          <w:sz w:val="20"/>
          <w:szCs w:val="20"/>
        </w:rPr>
        <w:t xml:space="preserve">V této příloze jsou uvedeny informace o službě Software Update </w:t>
      </w:r>
      <w:proofErr w:type="spellStart"/>
      <w:r w:rsidRPr="001D285A">
        <w:rPr>
          <w:rFonts w:ascii="Arial" w:hAnsi="Arial" w:cs="Arial"/>
          <w:snapToGrid w:val="0"/>
          <w:sz w:val="20"/>
          <w:szCs w:val="20"/>
        </w:rPr>
        <w:t>License</w:t>
      </w:r>
      <w:proofErr w:type="spellEnd"/>
      <w:r w:rsidRPr="001D285A">
        <w:rPr>
          <w:rFonts w:ascii="Arial" w:hAnsi="Arial" w:cs="Arial"/>
          <w:snapToGrid w:val="0"/>
          <w:sz w:val="20"/>
          <w:szCs w:val="20"/>
        </w:rPr>
        <w:t xml:space="preserve"> </w:t>
      </w:r>
      <w:r w:rsidRPr="001D285A">
        <w:rPr>
          <w:rFonts w:ascii="Arial" w:hAnsi="Arial" w:cs="Arial"/>
          <w:snapToGrid w:val="0"/>
          <w:sz w:val="20"/>
          <w:szCs w:val="20"/>
          <w:lang w:val="en-US"/>
        </w:rPr>
        <w:t>&amp;</w:t>
      </w:r>
      <w:r w:rsidRPr="001D285A">
        <w:rPr>
          <w:rFonts w:ascii="Arial" w:hAnsi="Arial" w:cs="Arial"/>
          <w:snapToGrid w:val="0"/>
          <w:sz w:val="20"/>
          <w:szCs w:val="20"/>
        </w:rPr>
        <w:t xml:space="preserve"> Support poskytované oddělením </w:t>
      </w:r>
      <w:proofErr w:type="spellStart"/>
      <w:r w:rsidRPr="001D285A">
        <w:rPr>
          <w:rFonts w:ascii="Arial" w:hAnsi="Arial" w:cs="Arial"/>
          <w:snapToGrid w:val="0"/>
          <w:sz w:val="20"/>
          <w:szCs w:val="20"/>
        </w:rPr>
        <w:t>Oracle</w:t>
      </w:r>
      <w:proofErr w:type="spellEnd"/>
      <w:r w:rsidRPr="001D285A">
        <w:rPr>
          <w:rFonts w:ascii="Arial" w:hAnsi="Arial" w:cs="Arial"/>
          <w:snapToGrid w:val="0"/>
          <w:sz w:val="20"/>
          <w:szCs w:val="20"/>
        </w:rPr>
        <w:t xml:space="preserve"> Support </w:t>
      </w:r>
      <w:proofErr w:type="spellStart"/>
      <w:r w:rsidRPr="001D285A">
        <w:rPr>
          <w:rFonts w:ascii="Arial" w:hAnsi="Arial" w:cs="Arial"/>
          <w:snapToGrid w:val="0"/>
          <w:sz w:val="20"/>
          <w:szCs w:val="20"/>
        </w:rPr>
        <w:t>Services</w:t>
      </w:r>
      <w:proofErr w:type="spellEnd"/>
      <w:r w:rsidRPr="001D285A">
        <w:rPr>
          <w:rFonts w:ascii="Arial" w:hAnsi="Arial" w:cs="Arial"/>
          <w:snapToGrid w:val="0"/>
          <w:sz w:val="20"/>
          <w:szCs w:val="20"/>
        </w:rPr>
        <w:t xml:space="preserve"> (dále jen „oddělení Support“) společnosti </w:t>
      </w:r>
      <w:proofErr w:type="spellStart"/>
      <w:r w:rsidRPr="001D285A">
        <w:rPr>
          <w:rFonts w:ascii="Arial" w:hAnsi="Arial" w:cs="Arial"/>
          <w:snapToGrid w:val="0"/>
          <w:sz w:val="20"/>
          <w:szCs w:val="20"/>
        </w:rPr>
        <w:t>Oracle</w:t>
      </w:r>
      <w:proofErr w:type="spellEnd"/>
      <w:r w:rsidRPr="001D285A">
        <w:rPr>
          <w:rFonts w:ascii="Arial" w:hAnsi="Arial" w:cs="Arial"/>
          <w:snapToGrid w:val="0"/>
          <w:sz w:val="20"/>
          <w:szCs w:val="20"/>
        </w:rPr>
        <w:t xml:space="preserve"> </w:t>
      </w:r>
      <w:proofErr w:type="spellStart"/>
      <w:r w:rsidRPr="001D285A">
        <w:rPr>
          <w:rFonts w:ascii="Arial" w:hAnsi="Arial" w:cs="Arial"/>
          <w:snapToGrid w:val="0"/>
          <w:sz w:val="20"/>
          <w:szCs w:val="20"/>
        </w:rPr>
        <w:t>Czech</w:t>
      </w:r>
      <w:proofErr w:type="spellEnd"/>
      <w:r w:rsidRPr="001D285A">
        <w:rPr>
          <w:rFonts w:ascii="Arial" w:hAnsi="Arial" w:cs="Arial"/>
          <w:snapToGrid w:val="0"/>
          <w:sz w:val="20"/>
          <w:szCs w:val="20"/>
        </w:rPr>
        <w:t xml:space="preserve">, s. r. o. (dále jen „společnost </w:t>
      </w:r>
      <w:proofErr w:type="spellStart"/>
      <w:r w:rsidRPr="001D285A">
        <w:rPr>
          <w:rFonts w:ascii="Arial" w:hAnsi="Arial" w:cs="Arial"/>
          <w:snapToGrid w:val="0"/>
          <w:sz w:val="20"/>
          <w:szCs w:val="20"/>
        </w:rPr>
        <w:t>Oracle</w:t>
      </w:r>
      <w:proofErr w:type="spellEnd"/>
      <w:r w:rsidRPr="001D285A">
        <w:rPr>
          <w:rFonts w:ascii="Arial" w:hAnsi="Arial" w:cs="Arial"/>
          <w:snapToGrid w:val="0"/>
          <w:sz w:val="20"/>
          <w:szCs w:val="20"/>
        </w:rPr>
        <w:t>“).</w:t>
      </w:r>
    </w:p>
    <w:p w:rsidR="00CB5FBD" w:rsidRPr="001D285A" w:rsidRDefault="00CB5FBD" w:rsidP="00CB5FBD">
      <w:pPr>
        <w:jc w:val="both"/>
        <w:rPr>
          <w:rFonts w:ascii="Arial" w:hAnsi="Arial" w:cs="Arial"/>
          <w:snapToGrid w:val="0"/>
          <w:sz w:val="20"/>
          <w:szCs w:val="20"/>
          <w:lang w:val="en-GB"/>
        </w:rPr>
      </w:pPr>
    </w:p>
    <w:p w:rsidR="00CB5FBD" w:rsidRPr="001D285A" w:rsidRDefault="00CB5FBD" w:rsidP="00CB5FBD">
      <w:pPr>
        <w:pStyle w:val="Zkladntext"/>
        <w:jc w:val="both"/>
        <w:rPr>
          <w:rFonts w:ascii="Arial" w:hAnsi="Arial" w:cs="Arial"/>
          <w:sz w:val="20"/>
          <w:szCs w:val="20"/>
        </w:rPr>
      </w:pPr>
      <w:r w:rsidRPr="001D285A">
        <w:rPr>
          <w:rFonts w:ascii="Arial" w:hAnsi="Arial" w:cs="Arial"/>
          <w:sz w:val="20"/>
          <w:szCs w:val="20"/>
        </w:rPr>
        <w:t xml:space="preserve">V příloze č. 2 jsou jmenovitě uvedeny softwarové produkty společnosti </w:t>
      </w:r>
      <w:proofErr w:type="spellStart"/>
      <w:r w:rsidRPr="001D285A">
        <w:rPr>
          <w:rFonts w:ascii="Arial" w:hAnsi="Arial" w:cs="Arial"/>
          <w:sz w:val="20"/>
          <w:szCs w:val="20"/>
        </w:rPr>
        <w:t>Oracle</w:t>
      </w:r>
      <w:proofErr w:type="spellEnd"/>
      <w:r w:rsidRPr="001D285A">
        <w:rPr>
          <w:rFonts w:ascii="Arial" w:hAnsi="Arial" w:cs="Arial"/>
          <w:sz w:val="20"/>
          <w:szCs w:val="20"/>
        </w:rPr>
        <w:t xml:space="preserve"> (dále též jen „Programy“), pro které jsou poskytovány služby technické podpory oddělení Support.</w:t>
      </w:r>
    </w:p>
    <w:p w:rsidR="00CB5FBD" w:rsidRPr="001D285A" w:rsidRDefault="00CB5FBD" w:rsidP="00CB5FBD">
      <w:pPr>
        <w:pStyle w:val="Zkladntext"/>
        <w:rPr>
          <w:rFonts w:ascii="Arial" w:hAnsi="Arial" w:cs="Arial"/>
          <w:sz w:val="20"/>
          <w:szCs w:val="20"/>
        </w:rPr>
      </w:pPr>
    </w:p>
    <w:p w:rsidR="00CB5FBD" w:rsidRPr="001D285A" w:rsidRDefault="00CB5FBD" w:rsidP="00CB5FBD">
      <w:pPr>
        <w:pStyle w:val="Nadpis2"/>
        <w:ind w:left="0"/>
        <w:rPr>
          <w:rFonts w:ascii="Arial" w:hAnsi="Arial" w:cs="Arial"/>
          <w:sz w:val="20"/>
        </w:rPr>
      </w:pPr>
      <w:r w:rsidRPr="001D285A">
        <w:rPr>
          <w:rFonts w:ascii="Arial" w:hAnsi="Arial" w:cs="Arial"/>
          <w:sz w:val="20"/>
        </w:rPr>
        <w:t xml:space="preserve">Služba Software Update </w:t>
      </w:r>
      <w:proofErr w:type="spellStart"/>
      <w:r w:rsidRPr="001D285A">
        <w:rPr>
          <w:rFonts w:ascii="Arial" w:hAnsi="Arial" w:cs="Arial"/>
          <w:sz w:val="20"/>
        </w:rPr>
        <w:t>License</w:t>
      </w:r>
      <w:proofErr w:type="spellEnd"/>
      <w:r w:rsidRPr="001D285A">
        <w:rPr>
          <w:rFonts w:ascii="Arial" w:hAnsi="Arial" w:cs="Arial"/>
          <w:sz w:val="20"/>
        </w:rPr>
        <w:t xml:space="preserve"> </w:t>
      </w:r>
      <w:r w:rsidRPr="001D285A">
        <w:rPr>
          <w:rFonts w:ascii="Arial" w:hAnsi="Arial" w:cs="Arial"/>
          <w:sz w:val="20"/>
          <w:lang w:val="en-US"/>
        </w:rPr>
        <w:t>&amp;</w:t>
      </w:r>
      <w:r w:rsidRPr="001D285A">
        <w:rPr>
          <w:rFonts w:ascii="Arial" w:hAnsi="Arial" w:cs="Arial"/>
          <w:sz w:val="20"/>
        </w:rPr>
        <w:t xml:space="preserve"> Support</w:t>
      </w:r>
    </w:p>
    <w:p w:rsidR="00CB5FBD" w:rsidRPr="001D285A" w:rsidRDefault="00CB5FBD" w:rsidP="00CB5FBD">
      <w:pPr>
        <w:rPr>
          <w:rFonts w:ascii="Arial" w:hAnsi="Arial" w:cs="Arial"/>
          <w:sz w:val="20"/>
          <w:szCs w:val="20"/>
        </w:rPr>
      </w:pPr>
    </w:p>
    <w:p w:rsidR="00CB5FBD" w:rsidRPr="001D285A" w:rsidRDefault="00CB5FBD" w:rsidP="00A65C36">
      <w:pPr>
        <w:pStyle w:val="Bezmezer"/>
        <w:numPr>
          <w:ilvl w:val="0"/>
          <w:numId w:val="18"/>
        </w:numPr>
        <w:jc w:val="both"/>
        <w:rPr>
          <w:rFonts w:ascii="Arial" w:hAnsi="Arial" w:cs="Arial"/>
          <w:snapToGrid w:val="0"/>
          <w:sz w:val="20"/>
          <w:szCs w:val="20"/>
          <w:lang w:val="de-DE"/>
        </w:rPr>
      </w:pPr>
      <w:r w:rsidRPr="001D285A">
        <w:rPr>
          <w:rFonts w:ascii="Arial" w:hAnsi="Arial" w:cs="Arial"/>
          <w:snapToGrid w:val="0"/>
          <w:sz w:val="20"/>
          <w:szCs w:val="20"/>
        </w:rPr>
        <w:t>Dodávka nových verzí software.</w:t>
      </w:r>
    </w:p>
    <w:p w:rsidR="00CB5FBD" w:rsidRPr="001D285A" w:rsidRDefault="00CB5FBD" w:rsidP="00A65C36">
      <w:pPr>
        <w:pStyle w:val="Bezmezer"/>
        <w:jc w:val="both"/>
        <w:rPr>
          <w:rFonts w:ascii="Arial" w:hAnsi="Arial" w:cs="Arial"/>
          <w:snapToGrid w:val="0"/>
          <w:sz w:val="20"/>
          <w:szCs w:val="20"/>
          <w:lang w:val="de-DE"/>
        </w:rPr>
      </w:pPr>
    </w:p>
    <w:p w:rsidR="00CB5FBD" w:rsidRPr="001D285A" w:rsidRDefault="00CB5FBD" w:rsidP="00A65C36">
      <w:pPr>
        <w:pStyle w:val="Bezmezer"/>
        <w:numPr>
          <w:ilvl w:val="0"/>
          <w:numId w:val="18"/>
        </w:numPr>
        <w:jc w:val="both"/>
        <w:rPr>
          <w:rFonts w:ascii="Arial" w:hAnsi="Arial" w:cs="Arial"/>
          <w:snapToGrid w:val="0"/>
          <w:sz w:val="20"/>
          <w:szCs w:val="20"/>
          <w:lang w:val="de-DE"/>
        </w:rPr>
      </w:pPr>
      <w:r w:rsidRPr="001D285A">
        <w:rPr>
          <w:rFonts w:ascii="Arial" w:hAnsi="Arial" w:cs="Arial"/>
          <w:snapToGrid w:val="0"/>
          <w:sz w:val="20"/>
          <w:szCs w:val="20"/>
        </w:rPr>
        <w:t>Servisní verze pro udržení kroku s vývojem verzí hardwaru a operačního systému.</w:t>
      </w:r>
    </w:p>
    <w:p w:rsidR="00CB5FBD" w:rsidRPr="001D285A" w:rsidRDefault="00CB5FBD" w:rsidP="00A65C36">
      <w:pPr>
        <w:pStyle w:val="Bezmezer"/>
        <w:jc w:val="both"/>
        <w:rPr>
          <w:rFonts w:ascii="Arial" w:hAnsi="Arial" w:cs="Arial"/>
          <w:snapToGrid w:val="0"/>
          <w:sz w:val="20"/>
          <w:szCs w:val="20"/>
          <w:lang w:val="de-DE"/>
        </w:rPr>
      </w:pPr>
    </w:p>
    <w:p w:rsidR="00CB5FBD" w:rsidRPr="001D285A" w:rsidRDefault="00CB5FBD" w:rsidP="00A65C36">
      <w:pPr>
        <w:pStyle w:val="Bezmezer"/>
        <w:numPr>
          <w:ilvl w:val="0"/>
          <w:numId w:val="18"/>
        </w:numPr>
        <w:jc w:val="both"/>
        <w:rPr>
          <w:rFonts w:ascii="Arial" w:hAnsi="Arial" w:cs="Arial"/>
          <w:snapToGrid w:val="0"/>
          <w:sz w:val="20"/>
          <w:szCs w:val="20"/>
        </w:rPr>
      </w:pPr>
      <w:r w:rsidRPr="001D285A">
        <w:rPr>
          <w:rFonts w:ascii="Arial" w:hAnsi="Arial" w:cs="Arial"/>
          <w:snapToGrid w:val="0"/>
          <w:sz w:val="20"/>
          <w:szCs w:val="20"/>
        </w:rPr>
        <w:t>Opravy chyb softwaru, opravné kódy.</w:t>
      </w:r>
    </w:p>
    <w:p w:rsidR="00CB5FBD" w:rsidRPr="001D285A" w:rsidRDefault="00CB5FBD" w:rsidP="00A65C36">
      <w:pPr>
        <w:pStyle w:val="Bezmezer"/>
        <w:jc w:val="both"/>
        <w:rPr>
          <w:rFonts w:ascii="Arial" w:hAnsi="Arial" w:cs="Arial"/>
          <w:snapToGrid w:val="0"/>
          <w:sz w:val="20"/>
          <w:szCs w:val="20"/>
        </w:rPr>
      </w:pPr>
    </w:p>
    <w:p w:rsidR="00CB5FBD" w:rsidRPr="001D285A" w:rsidRDefault="00CB5FBD" w:rsidP="00A65C36">
      <w:pPr>
        <w:pStyle w:val="Bezmezer"/>
        <w:numPr>
          <w:ilvl w:val="0"/>
          <w:numId w:val="18"/>
        </w:numPr>
        <w:jc w:val="both"/>
        <w:rPr>
          <w:rFonts w:ascii="Arial" w:hAnsi="Arial" w:cs="Arial"/>
          <w:snapToGrid w:val="0"/>
          <w:sz w:val="20"/>
          <w:szCs w:val="20"/>
          <w:lang w:val="de-DE"/>
        </w:rPr>
      </w:pPr>
      <w:r w:rsidRPr="001D285A">
        <w:rPr>
          <w:rFonts w:ascii="Arial" w:hAnsi="Arial" w:cs="Arial"/>
          <w:snapToGrid w:val="0"/>
          <w:sz w:val="20"/>
          <w:szCs w:val="20"/>
        </w:rPr>
        <w:t>Dokumentace k novým verzím software.</w:t>
      </w:r>
    </w:p>
    <w:p w:rsidR="00CB5FBD" w:rsidRPr="001D285A" w:rsidRDefault="00CB5FBD" w:rsidP="00A65C36">
      <w:pPr>
        <w:pStyle w:val="Bezmezer"/>
        <w:jc w:val="both"/>
        <w:rPr>
          <w:rFonts w:ascii="Arial" w:hAnsi="Arial" w:cs="Arial"/>
          <w:sz w:val="20"/>
          <w:szCs w:val="20"/>
        </w:rPr>
      </w:pPr>
    </w:p>
    <w:p w:rsidR="00CB5FBD" w:rsidRPr="001D285A" w:rsidRDefault="00CB5FBD" w:rsidP="00A65C36">
      <w:pPr>
        <w:pStyle w:val="Bezmezer"/>
        <w:numPr>
          <w:ilvl w:val="0"/>
          <w:numId w:val="18"/>
        </w:numPr>
        <w:jc w:val="both"/>
        <w:rPr>
          <w:rFonts w:ascii="Arial" w:hAnsi="Arial" w:cs="Arial"/>
          <w:snapToGrid w:val="0"/>
          <w:sz w:val="20"/>
          <w:szCs w:val="20"/>
        </w:rPr>
      </w:pPr>
      <w:r w:rsidRPr="001D285A">
        <w:rPr>
          <w:rFonts w:ascii="Arial" w:hAnsi="Arial" w:cs="Arial"/>
          <w:snapToGrid w:val="0"/>
          <w:sz w:val="20"/>
          <w:szCs w:val="20"/>
        </w:rPr>
        <w:t>Nepřetržitá elektronická pomoc pro řešení problémů a dotazů Zákazníka, 24 hodin denně, 7 dnů v týdnu.</w:t>
      </w:r>
    </w:p>
    <w:p w:rsidR="00CB5FBD" w:rsidRPr="001D285A" w:rsidRDefault="00CB5FBD" w:rsidP="00A65C36">
      <w:pPr>
        <w:pStyle w:val="Bezmezer"/>
        <w:jc w:val="both"/>
        <w:rPr>
          <w:rFonts w:ascii="Arial" w:hAnsi="Arial" w:cs="Arial"/>
          <w:snapToGrid w:val="0"/>
          <w:sz w:val="20"/>
          <w:szCs w:val="20"/>
        </w:rPr>
      </w:pPr>
    </w:p>
    <w:p w:rsidR="00CB5FBD" w:rsidRPr="001D285A" w:rsidRDefault="00CB5FBD" w:rsidP="00A65C36">
      <w:pPr>
        <w:pStyle w:val="Bezmezer"/>
        <w:numPr>
          <w:ilvl w:val="0"/>
          <w:numId w:val="18"/>
        </w:numPr>
        <w:jc w:val="both"/>
        <w:rPr>
          <w:rFonts w:ascii="Arial" w:hAnsi="Arial" w:cs="Arial"/>
          <w:snapToGrid w:val="0"/>
          <w:sz w:val="20"/>
          <w:szCs w:val="20"/>
        </w:rPr>
      </w:pPr>
      <w:r w:rsidRPr="001D285A">
        <w:rPr>
          <w:rFonts w:ascii="Arial" w:hAnsi="Arial" w:cs="Arial"/>
          <w:snapToGrid w:val="0"/>
          <w:sz w:val="20"/>
          <w:szCs w:val="20"/>
        </w:rPr>
        <w:t xml:space="preserve">Přímý elektronický přístup k pracovníkům oddělení Support pro řešení problémů, oznámení závady v produktu, objasnění dokumentace, oznámení požadavku na rozšíření funkčnosti produktu a technickou pomoc pro problémy a dotazy během obvyklé pracovní doby. Služby oddělení Support společnosti </w:t>
      </w:r>
      <w:proofErr w:type="spellStart"/>
      <w:r w:rsidRPr="001D285A">
        <w:rPr>
          <w:rFonts w:ascii="Arial" w:hAnsi="Arial" w:cs="Arial"/>
          <w:snapToGrid w:val="0"/>
          <w:sz w:val="20"/>
          <w:szCs w:val="20"/>
        </w:rPr>
        <w:t>Oracle</w:t>
      </w:r>
      <w:proofErr w:type="spellEnd"/>
      <w:r w:rsidRPr="001D285A">
        <w:rPr>
          <w:rFonts w:ascii="Arial" w:hAnsi="Arial" w:cs="Arial"/>
          <w:snapToGrid w:val="0"/>
          <w:sz w:val="20"/>
          <w:szCs w:val="20"/>
        </w:rPr>
        <w:t xml:space="preserve"> řeší problémy prokazatelné v aktuálně podporovaných verzích Programů za předpokladu, že tyto Programy nebyly změněny a jsou provozovány na podporované konfiguraci hardwaru a operačního systému.</w:t>
      </w:r>
    </w:p>
    <w:p w:rsidR="00CB5FBD" w:rsidRPr="001D285A" w:rsidRDefault="00CB5FBD" w:rsidP="00A65C36">
      <w:pPr>
        <w:pStyle w:val="Bezmezer"/>
        <w:jc w:val="both"/>
        <w:rPr>
          <w:rFonts w:ascii="Arial" w:hAnsi="Arial" w:cs="Arial"/>
          <w:snapToGrid w:val="0"/>
          <w:sz w:val="20"/>
          <w:szCs w:val="20"/>
        </w:rPr>
      </w:pPr>
    </w:p>
    <w:p w:rsidR="00CB5FBD" w:rsidRPr="001D285A" w:rsidRDefault="00CB5FBD" w:rsidP="00A65C36">
      <w:pPr>
        <w:pStyle w:val="Bezmezer"/>
        <w:numPr>
          <w:ilvl w:val="0"/>
          <w:numId w:val="18"/>
        </w:numPr>
        <w:jc w:val="both"/>
        <w:rPr>
          <w:rFonts w:ascii="Arial" w:hAnsi="Arial" w:cs="Arial"/>
          <w:sz w:val="20"/>
          <w:szCs w:val="20"/>
        </w:rPr>
      </w:pPr>
      <w:r w:rsidRPr="001D285A">
        <w:rPr>
          <w:rFonts w:ascii="Arial" w:hAnsi="Arial" w:cs="Arial"/>
          <w:snapToGrid w:val="0"/>
          <w:sz w:val="20"/>
          <w:szCs w:val="20"/>
        </w:rPr>
        <w:t xml:space="preserve">Priorita řešení podle pracovního dopadu. </w:t>
      </w:r>
      <w:r w:rsidRPr="001D285A">
        <w:rPr>
          <w:rFonts w:ascii="Arial" w:hAnsi="Arial" w:cs="Arial"/>
          <w:sz w:val="20"/>
          <w:szCs w:val="20"/>
        </w:rPr>
        <w:t xml:space="preserve">Společnost </w:t>
      </w:r>
      <w:proofErr w:type="spellStart"/>
      <w:r w:rsidRPr="001D285A">
        <w:rPr>
          <w:rFonts w:ascii="Arial" w:hAnsi="Arial" w:cs="Arial"/>
          <w:sz w:val="20"/>
          <w:szCs w:val="20"/>
        </w:rPr>
        <w:t>Oracle</w:t>
      </w:r>
      <w:proofErr w:type="spellEnd"/>
      <w:r w:rsidRPr="001D285A">
        <w:rPr>
          <w:rFonts w:ascii="Arial" w:hAnsi="Arial" w:cs="Arial"/>
          <w:sz w:val="20"/>
          <w:szCs w:val="20"/>
        </w:rPr>
        <w:t xml:space="preserve"> bude pracovat na řešení požadavků Zákazníka v souladu s úrovněmi závažnosti stanovenými podle dopadu problému na pracovní činnost Zákazníka.</w:t>
      </w:r>
    </w:p>
    <w:p w:rsidR="00CB5FBD" w:rsidRPr="001D285A" w:rsidRDefault="00CB5FBD" w:rsidP="00A65C36">
      <w:pPr>
        <w:pStyle w:val="Bezmezer"/>
        <w:jc w:val="both"/>
        <w:rPr>
          <w:rFonts w:ascii="Arial" w:hAnsi="Arial" w:cs="Arial"/>
          <w:snapToGrid w:val="0"/>
          <w:sz w:val="20"/>
          <w:szCs w:val="20"/>
        </w:rPr>
      </w:pPr>
    </w:p>
    <w:p w:rsidR="00CB5FBD" w:rsidRPr="001D285A" w:rsidRDefault="00CB5FBD" w:rsidP="00A65C36">
      <w:pPr>
        <w:pStyle w:val="Bezmezer"/>
        <w:numPr>
          <w:ilvl w:val="0"/>
          <w:numId w:val="18"/>
        </w:numPr>
        <w:jc w:val="both"/>
        <w:rPr>
          <w:rFonts w:ascii="Arial" w:hAnsi="Arial" w:cs="Arial"/>
          <w:snapToGrid w:val="0"/>
          <w:sz w:val="20"/>
          <w:szCs w:val="20"/>
        </w:rPr>
      </w:pPr>
      <w:r w:rsidRPr="001D285A">
        <w:rPr>
          <w:rFonts w:ascii="Arial" w:hAnsi="Arial" w:cs="Arial"/>
          <w:snapToGrid w:val="0"/>
          <w:sz w:val="20"/>
          <w:szCs w:val="20"/>
        </w:rPr>
        <w:t xml:space="preserve">Přístup k informacím společnosti </w:t>
      </w:r>
      <w:proofErr w:type="spellStart"/>
      <w:r w:rsidRPr="001D285A">
        <w:rPr>
          <w:rFonts w:ascii="Arial" w:hAnsi="Arial" w:cs="Arial"/>
          <w:snapToGrid w:val="0"/>
          <w:sz w:val="20"/>
          <w:szCs w:val="20"/>
        </w:rPr>
        <w:t>Oracle</w:t>
      </w:r>
      <w:proofErr w:type="spellEnd"/>
      <w:r w:rsidRPr="001D285A">
        <w:rPr>
          <w:rFonts w:ascii="Arial" w:hAnsi="Arial" w:cs="Arial"/>
          <w:snapToGrid w:val="0"/>
          <w:sz w:val="20"/>
          <w:szCs w:val="20"/>
        </w:rPr>
        <w:t xml:space="preserve"> prostřednictvím elektronických systémů. Technické pokyny, návrhy, informace o vývoji produktů, dostupnost produktů, oznámení o ukončení podpory, podrobnosti o známých problémech včetně náhradních řešení.</w:t>
      </w:r>
    </w:p>
    <w:p w:rsidR="00CB5FBD" w:rsidRPr="001D285A" w:rsidRDefault="00CB5FBD" w:rsidP="001D285A">
      <w:pPr>
        <w:pStyle w:val="Bezmezer"/>
        <w:rPr>
          <w:rFonts w:ascii="Arial" w:hAnsi="Arial" w:cs="Arial"/>
          <w:sz w:val="20"/>
          <w:szCs w:val="20"/>
        </w:rPr>
      </w:pPr>
    </w:p>
    <w:p w:rsidR="00CB5FBD" w:rsidRPr="001D285A" w:rsidRDefault="00CB5FBD" w:rsidP="00CB5FBD">
      <w:pPr>
        <w:rPr>
          <w:sz w:val="20"/>
          <w:szCs w:val="20"/>
        </w:rPr>
      </w:pPr>
    </w:p>
    <w:p w:rsidR="00CB5FBD" w:rsidRPr="001D285A" w:rsidRDefault="00CB5FBD" w:rsidP="00CB5FBD">
      <w:pPr>
        <w:rPr>
          <w:rFonts w:ascii="Arial" w:hAnsi="Arial" w:cs="Arial"/>
          <w:b/>
          <w:snapToGrid w:val="0"/>
          <w:sz w:val="20"/>
          <w:szCs w:val="20"/>
          <w:u w:val="single"/>
          <w:lang w:val="en-GB"/>
        </w:rPr>
      </w:pPr>
      <w:proofErr w:type="spellStart"/>
      <w:r w:rsidRPr="001D285A">
        <w:rPr>
          <w:rFonts w:ascii="Arial" w:hAnsi="Arial" w:cs="Arial"/>
          <w:b/>
          <w:snapToGrid w:val="0"/>
          <w:sz w:val="20"/>
          <w:szCs w:val="20"/>
          <w:u w:val="single"/>
          <w:lang w:val="en-GB"/>
        </w:rPr>
        <w:t>Rozšířená</w:t>
      </w:r>
      <w:proofErr w:type="spellEnd"/>
      <w:r w:rsidRPr="001D285A">
        <w:rPr>
          <w:rFonts w:ascii="Arial" w:hAnsi="Arial" w:cs="Arial"/>
          <w:b/>
          <w:snapToGrid w:val="0"/>
          <w:sz w:val="20"/>
          <w:szCs w:val="20"/>
          <w:u w:val="single"/>
          <w:lang w:val="en-GB"/>
        </w:rPr>
        <w:t xml:space="preserve"> </w:t>
      </w:r>
      <w:proofErr w:type="spellStart"/>
      <w:r w:rsidRPr="001D285A">
        <w:rPr>
          <w:rFonts w:ascii="Arial" w:hAnsi="Arial" w:cs="Arial"/>
          <w:b/>
          <w:snapToGrid w:val="0"/>
          <w:sz w:val="20"/>
          <w:szCs w:val="20"/>
          <w:u w:val="single"/>
          <w:lang w:val="en-GB"/>
        </w:rPr>
        <w:t>podpora</w:t>
      </w:r>
      <w:proofErr w:type="spellEnd"/>
    </w:p>
    <w:p w:rsidR="00CB5FBD" w:rsidRPr="001D285A" w:rsidRDefault="00CB5FBD" w:rsidP="00CB5FBD">
      <w:pPr>
        <w:rPr>
          <w:sz w:val="20"/>
          <w:szCs w:val="20"/>
        </w:rPr>
      </w:pPr>
    </w:p>
    <w:p w:rsidR="00CB5FBD" w:rsidRPr="001D285A" w:rsidRDefault="00CB5FBD" w:rsidP="00CB5FBD">
      <w:pPr>
        <w:pStyle w:val="Zkladntext2"/>
        <w:spacing w:line="240" w:lineRule="auto"/>
        <w:jc w:val="both"/>
        <w:rPr>
          <w:rFonts w:ascii="Arial" w:hAnsi="Arial" w:cs="Arial"/>
        </w:rPr>
      </w:pPr>
      <w:r w:rsidRPr="001D285A">
        <w:rPr>
          <w:rFonts w:ascii="Arial" w:hAnsi="Arial" w:cs="Arial"/>
          <w:b/>
        </w:rPr>
        <w:t>Zabezpečení technické podpory „On-</w:t>
      </w:r>
      <w:proofErr w:type="spellStart"/>
      <w:r w:rsidRPr="001D285A">
        <w:rPr>
          <w:rFonts w:ascii="Arial" w:hAnsi="Arial" w:cs="Arial"/>
          <w:b/>
        </w:rPr>
        <w:t>Site</w:t>
      </w:r>
      <w:proofErr w:type="spellEnd"/>
      <w:r w:rsidRPr="001D285A">
        <w:rPr>
          <w:rFonts w:ascii="Arial" w:hAnsi="Arial" w:cs="Arial"/>
          <w:b/>
        </w:rPr>
        <w:t xml:space="preserve"> Support“ programového vybavení </w:t>
      </w:r>
      <w:proofErr w:type="spellStart"/>
      <w:r w:rsidRPr="001D285A">
        <w:rPr>
          <w:rFonts w:ascii="Arial" w:hAnsi="Arial" w:cs="Arial"/>
          <w:b/>
        </w:rPr>
        <w:t>Oracle</w:t>
      </w:r>
      <w:proofErr w:type="spellEnd"/>
      <w:r w:rsidRPr="001D285A">
        <w:rPr>
          <w:rFonts w:ascii="Arial" w:hAnsi="Arial" w:cs="Arial"/>
          <w:b/>
        </w:rPr>
        <w:t xml:space="preserve"> pro zabezpečení statistického zpracování centrálních systémů.</w:t>
      </w:r>
      <w:r w:rsidRPr="001D285A">
        <w:rPr>
          <w:rFonts w:ascii="Arial" w:hAnsi="Arial" w:cs="Arial"/>
          <w:bCs/>
        </w:rPr>
        <w:t xml:space="preserve"> </w:t>
      </w:r>
      <w:r w:rsidRPr="001D285A">
        <w:rPr>
          <w:rFonts w:ascii="Arial" w:hAnsi="Arial" w:cs="Arial"/>
        </w:rPr>
        <w:t>On-</w:t>
      </w:r>
      <w:proofErr w:type="spellStart"/>
      <w:r w:rsidRPr="001D285A">
        <w:rPr>
          <w:rFonts w:ascii="Arial" w:hAnsi="Arial" w:cs="Arial"/>
        </w:rPr>
        <w:t>Site</w:t>
      </w:r>
      <w:proofErr w:type="spellEnd"/>
      <w:r w:rsidRPr="001D285A">
        <w:rPr>
          <w:rFonts w:ascii="Arial" w:hAnsi="Arial" w:cs="Arial"/>
        </w:rPr>
        <w:t xml:space="preserve"> Support bude poskytován jako konzultační podpora pro licencované programové vybavení. On-</w:t>
      </w:r>
      <w:proofErr w:type="spellStart"/>
      <w:r w:rsidRPr="001D285A">
        <w:rPr>
          <w:rFonts w:ascii="Arial" w:hAnsi="Arial" w:cs="Arial"/>
        </w:rPr>
        <w:t>Site</w:t>
      </w:r>
      <w:proofErr w:type="spellEnd"/>
      <w:r w:rsidRPr="001D285A">
        <w:rPr>
          <w:rFonts w:ascii="Arial" w:hAnsi="Arial" w:cs="Arial"/>
        </w:rPr>
        <w:t xml:space="preserve"> Support bude poskytován v potřebném rozsahu na vyžádání Zákazníka. Poskytování On-</w:t>
      </w:r>
      <w:proofErr w:type="spellStart"/>
      <w:r w:rsidRPr="001D285A">
        <w:rPr>
          <w:rFonts w:ascii="Arial" w:hAnsi="Arial" w:cs="Arial"/>
        </w:rPr>
        <w:t>Site</w:t>
      </w:r>
      <w:proofErr w:type="spellEnd"/>
      <w:r w:rsidRPr="001D285A">
        <w:rPr>
          <w:rFonts w:ascii="Arial" w:hAnsi="Arial" w:cs="Arial"/>
        </w:rPr>
        <w:t xml:space="preserve"> Supportu zahrnuje zejména:</w:t>
      </w:r>
    </w:p>
    <w:p w:rsidR="00CB5FBD" w:rsidRPr="001D285A" w:rsidRDefault="00CB5FBD" w:rsidP="00A65C36">
      <w:pPr>
        <w:pStyle w:val="Zkladntext2"/>
        <w:numPr>
          <w:ilvl w:val="0"/>
          <w:numId w:val="14"/>
        </w:numPr>
        <w:tabs>
          <w:tab w:val="clear" w:pos="1065"/>
          <w:tab w:val="num" w:pos="851"/>
        </w:tabs>
        <w:suppressAutoHyphens/>
        <w:spacing w:after="0" w:line="276" w:lineRule="auto"/>
        <w:ind w:left="851" w:hanging="425"/>
        <w:jc w:val="both"/>
        <w:rPr>
          <w:rFonts w:ascii="Arial" w:hAnsi="Arial" w:cs="Arial"/>
        </w:rPr>
      </w:pPr>
      <w:r w:rsidRPr="001D285A">
        <w:rPr>
          <w:rFonts w:ascii="Arial" w:hAnsi="Arial" w:cs="Arial"/>
        </w:rPr>
        <w:t xml:space="preserve">instalace a implementace programového vybavení </w:t>
      </w:r>
      <w:proofErr w:type="spellStart"/>
      <w:r w:rsidRPr="001D285A">
        <w:rPr>
          <w:rFonts w:ascii="Arial" w:hAnsi="Arial" w:cs="Arial"/>
        </w:rPr>
        <w:t>Oracle</w:t>
      </w:r>
      <w:proofErr w:type="spellEnd"/>
      <w:r w:rsidRPr="001D285A">
        <w:rPr>
          <w:rFonts w:ascii="Arial" w:hAnsi="Arial" w:cs="Arial"/>
        </w:rPr>
        <w:t xml:space="preserve"> včetně aplikačního programového vybavení vytvořeného firmou </w:t>
      </w:r>
      <w:proofErr w:type="spellStart"/>
      <w:r w:rsidRPr="001D285A">
        <w:rPr>
          <w:rFonts w:ascii="Arial" w:hAnsi="Arial" w:cs="Arial"/>
        </w:rPr>
        <w:t>Oracle</w:t>
      </w:r>
      <w:proofErr w:type="spellEnd"/>
      <w:r w:rsidRPr="001D285A">
        <w:rPr>
          <w:rFonts w:ascii="Arial" w:hAnsi="Arial" w:cs="Arial"/>
        </w:rPr>
        <w:t xml:space="preserve">; </w:t>
      </w:r>
    </w:p>
    <w:p w:rsidR="00CB5FBD" w:rsidRPr="001D285A" w:rsidRDefault="00CB5FBD" w:rsidP="00A65C36">
      <w:pPr>
        <w:pStyle w:val="Zkladntext2"/>
        <w:numPr>
          <w:ilvl w:val="0"/>
          <w:numId w:val="14"/>
        </w:numPr>
        <w:tabs>
          <w:tab w:val="clear" w:pos="1065"/>
          <w:tab w:val="num" w:pos="851"/>
        </w:tabs>
        <w:suppressAutoHyphens/>
        <w:spacing w:after="0" w:line="276" w:lineRule="auto"/>
        <w:ind w:hanging="639"/>
        <w:jc w:val="both"/>
        <w:rPr>
          <w:rFonts w:ascii="Arial" w:hAnsi="Arial" w:cs="Arial"/>
        </w:rPr>
      </w:pPr>
      <w:r w:rsidRPr="001D285A">
        <w:rPr>
          <w:rFonts w:ascii="Arial" w:hAnsi="Arial" w:cs="Arial"/>
        </w:rPr>
        <w:t>systémová pomoc v oblasti databází, registrů a aplikací;</w:t>
      </w:r>
    </w:p>
    <w:p w:rsidR="00CB5FBD" w:rsidRPr="001D285A" w:rsidRDefault="00CB5FBD" w:rsidP="00A65C36">
      <w:pPr>
        <w:pStyle w:val="Zkladntext2"/>
        <w:numPr>
          <w:ilvl w:val="0"/>
          <w:numId w:val="14"/>
        </w:numPr>
        <w:tabs>
          <w:tab w:val="clear" w:pos="1065"/>
          <w:tab w:val="num" w:pos="851"/>
        </w:tabs>
        <w:suppressAutoHyphens/>
        <w:spacing w:after="0" w:line="276" w:lineRule="auto"/>
        <w:ind w:left="851" w:hanging="425"/>
        <w:jc w:val="both"/>
        <w:rPr>
          <w:rFonts w:ascii="Arial" w:hAnsi="Arial" w:cs="Arial"/>
        </w:rPr>
      </w:pPr>
      <w:r w:rsidRPr="001D285A">
        <w:rPr>
          <w:rFonts w:ascii="Arial" w:hAnsi="Arial" w:cs="Arial"/>
        </w:rPr>
        <w:t xml:space="preserve"> systémová pomoc při výběrových řízeních v oblasti databázových systémů a centrálních výpočetních systémů;</w:t>
      </w:r>
    </w:p>
    <w:p w:rsidR="00CB5FBD" w:rsidRPr="001D285A" w:rsidRDefault="00CB5FBD" w:rsidP="00A65C36">
      <w:pPr>
        <w:pStyle w:val="Zkladntext2"/>
        <w:numPr>
          <w:ilvl w:val="0"/>
          <w:numId w:val="14"/>
        </w:numPr>
        <w:tabs>
          <w:tab w:val="clear" w:pos="1065"/>
          <w:tab w:val="num" w:pos="851"/>
        </w:tabs>
        <w:suppressAutoHyphens/>
        <w:spacing w:after="0" w:line="276" w:lineRule="auto"/>
        <w:ind w:hanging="639"/>
        <w:jc w:val="both"/>
        <w:rPr>
          <w:rFonts w:ascii="Arial" w:hAnsi="Arial" w:cs="Arial"/>
        </w:rPr>
      </w:pPr>
      <w:r w:rsidRPr="001D285A">
        <w:rPr>
          <w:rFonts w:ascii="Arial" w:hAnsi="Arial" w:cs="Arial"/>
        </w:rPr>
        <w:lastRenderedPageBreak/>
        <w:t>ladění databází a aplikací;</w:t>
      </w:r>
    </w:p>
    <w:p w:rsidR="00CB5FBD" w:rsidRPr="001D285A" w:rsidRDefault="00CB5FBD" w:rsidP="00A65C36">
      <w:pPr>
        <w:pStyle w:val="Zkladntext2"/>
        <w:numPr>
          <w:ilvl w:val="0"/>
          <w:numId w:val="14"/>
        </w:numPr>
        <w:tabs>
          <w:tab w:val="clear" w:pos="1065"/>
          <w:tab w:val="num" w:pos="851"/>
        </w:tabs>
        <w:suppressAutoHyphens/>
        <w:spacing w:after="0" w:line="276" w:lineRule="auto"/>
        <w:ind w:hanging="639"/>
        <w:jc w:val="both"/>
        <w:rPr>
          <w:rFonts w:ascii="Arial" w:hAnsi="Arial" w:cs="Arial"/>
        </w:rPr>
      </w:pPr>
      <w:r w:rsidRPr="001D285A">
        <w:rPr>
          <w:rFonts w:ascii="Arial" w:hAnsi="Arial" w:cs="Arial"/>
        </w:rPr>
        <w:t>migrace databází a aplikací;</w:t>
      </w:r>
    </w:p>
    <w:p w:rsidR="00CB5FBD" w:rsidRPr="001D285A" w:rsidRDefault="00CB5FBD" w:rsidP="00A65C36">
      <w:pPr>
        <w:pStyle w:val="Zkladntext2"/>
        <w:numPr>
          <w:ilvl w:val="0"/>
          <w:numId w:val="14"/>
        </w:numPr>
        <w:tabs>
          <w:tab w:val="clear" w:pos="1065"/>
          <w:tab w:val="num" w:pos="851"/>
        </w:tabs>
        <w:suppressAutoHyphens/>
        <w:spacing w:after="0" w:line="276" w:lineRule="auto"/>
        <w:ind w:hanging="639"/>
        <w:jc w:val="both"/>
        <w:rPr>
          <w:rFonts w:ascii="Arial" w:hAnsi="Arial" w:cs="Arial"/>
        </w:rPr>
      </w:pPr>
      <w:r w:rsidRPr="001D285A">
        <w:rPr>
          <w:rFonts w:ascii="Arial" w:hAnsi="Arial" w:cs="Arial"/>
        </w:rPr>
        <w:t>pomoc při řešení krizových a bezpečnostních situací;</w:t>
      </w:r>
    </w:p>
    <w:p w:rsidR="00CB5FBD" w:rsidRPr="001D285A" w:rsidRDefault="00CB5FBD" w:rsidP="00A65C36">
      <w:pPr>
        <w:pStyle w:val="Zkladntext2"/>
        <w:numPr>
          <w:ilvl w:val="0"/>
          <w:numId w:val="14"/>
        </w:numPr>
        <w:tabs>
          <w:tab w:val="clear" w:pos="1065"/>
          <w:tab w:val="num" w:pos="851"/>
        </w:tabs>
        <w:suppressAutoHyphens/>
        <w:spacing w:after="0" w:line="276" w:lineRule="auto"/>
        <w:ind w:hanging="639"/>
        <w:jc w:val="both"/>
        <w:rPr>
          <w:rFonts w:ascii="Arial" w:hAnsi="Arial" w:cs="Arial"/>
        </w:rPr>
      </w:pPr>
      <w:r w:rsidRPr="001D285A">
        <w:rPr>
          <w:rFonts w:ascii="Arial" w:hAnsi="Arial" w:cs="Arial"/>
        </w:rPr>
        <w:t xml:space="preserve">vytváření a úprava ovládacích prvků a </w:t>
      </w:r>
      <w:proofErr w:type="spellStart"/>
      <w:r w:rsidRPr="001D285A">
        <w:rPr>
          <w:rFonts w:ascii="Arial" w:hAnsi="Arial" w:cs="Arial"/>
        </w:rPr>
        <w:t>scriptů</w:t>
      </w:r>
      <w:proofErr w:type="spellEnd"/>
      <w:r w:rsidRPr="001D285A">
        <w:rPr>
          <w:rFonts w:ascii="Arial" w:hAnsi="Arial" w:cs="Arial"/>
        </w:rPr>
        <w:t xml:space="preserve"> pro běh databáze </w:t>
      </w:r>
      <w:proofErr w:type="spellStart"/>
      <w:r w:rsidRPr="001D285A">
        <w:rPr>
          <w:rFonts w:ascii="Arial" w:hAnsi="Arial" w:cs="Arial"/>
        </w:rPr>
        <w:t>Oracle</w:t>
      </w:r>
      <w:proofErr w:type="spellEnd"/>
      <w:r w:rsidRPr="001D285A">
        <w:rPr>
          <w:rFonts w:ascii="Arial" w:hAnsi="Arial" w:cs="Arial"/>
        </w:rPr>
        <w:t>;</w:t>
      </w:r>
    </w:p>
    <w:p w:rsidR="00CB5FBD" w:rsidRPr="001D285A" w:rsidRDefault="00CB5FBD" w:rsidP="00A65C36">
      <w:pPr>
        <w:pStyle w:val="Zkladntext2"/>
        <w:numPr>
          <w:ilvl w:val="0"/>
          <w:numId w:val="14"/>
        </w:numPr>
        <w:tabs>
          <w:tab w:val="clear" w:pos="1065"/>
          <w:tab w:val="num" w:pos="851"/>
        </w:tabs>
        <w:suppressAutoHyphens/>
        <w:spacing w:after="0" w:line="276" w:lineRule="auto"/>
        <w:ind w:hanging="639"/>
        <w:jc w:val="both"/>
        <w:rPr>
          <w:rFonts w:ascii="Arial" w:hAnsi="Arial" w:cs="Arial"/>
        </w:rPr>
      </w:pPr>
      <w:r w:rsidRPr="001D285A">
        <w:rPr>
          <w:rFonts w:ascii="Arial" w:hAnsi="Arial" w:cs="Arial"/>
        </w:rPr>
        <w:t xml:space="preserve">návrhy a vytváření </w:t>
      </w:r>
      <w:proofErr w:type="spellStart"/>
      <w:r w:rsidRPr="001D285A">
        <w:rPr>
          <w:rFonts w:ascii="Arial" w:hAnsi="Arial" w:cs="Arial"/>
        </w:rPr>
        <w:t>scriptů</w:t>
      </w:r>
      <w:proofErr w:type="spellEnd"/>
      <w:r w:rsidRPr="001D285A">
        <w:rPr>
          <w:rFonts w:ascii="Arial" w:hAnsi="Arial" w:cs="Arial"/>
        </w:rPr>
        <w:t xml:space="preserve"> pro </w:t>
      </w:r>
      <w:proofErr w:type="spellStart"/>
      <w:r w:rsidRPr="001D285A">
        <w:rPr>
          <w:rFonts w:ascii="Arial" w:hAnsi="Arial" w:cs="Arial"/>
        </w:rPr>
        <w:t>backup</w:t>
      </w:r>
      <w:proofErr w:type="spellEnd"/>
      <w:r w:rsidRPr="001D285A">
        <w:rPr>
          <w:rFonts w:ascii="Arial" w:hAnsi="Arial" w:cs="Arial"/>
        </w:rPr>
        <w:t xml:space="preserve"> databáze;</w:t>
      </w:r>
    </w:p>
    <w:p w:rsidR="00CB5FBD" w:rsidRPr="001D285A" w:rsidRDefault="00CB5FBD" w:rsidP="00A65C36">
      <w:pPr>
        <w:pStyle w:val="Zkladntext2"/>
        <w:numPr>
          <w:ilvl w:val="0"/>
          <w:numId w:val="14"/>
        </w:numPr>
        <w:tabs>
          <w:tab w:val="clear" w:pos="1065"/>
          <w:tab w:val="num" w:pos="851"/>
        </w:tabs>
        <w:suppressAutoHyphens/>
        <w:spacing w:after="0" w:line="276" w:lineRule="auto"/>
        <w:ind w:hanging="639"/>
        <w:jc w:val="both"/>
        <w:rPr>
          <w:rFonts w:ascii="Arial" w:hAnsi="Arial" w:cs="Arial"/>
        </w:rPr>
      </w:pPr>
      <w:r w:rsidRPr="001D285A">
        <w:rPr>
          <w:rFonts w:ascii="Arial" w:hAnsi="Arial" w:cs="Arial"/>
        </w:rPr>
        <w:t>administrativní jednorázové manipulace s databázemi;</w:t>
      </w:r>
    </w:p>
    <w:p w:rsidR="00CB5FBD" w:rsidRPr="001D285A" w:rsidRDefault="00CB5FBD" w:rsidP="00A65C36">
      <w:pPr>
        <w:pStyle w:val="Zkladntext2"/>
        <w:numPr>
          <w:ilvl w:val="0"/>
          <w:numId w:val="14"/>
        </w:numPr>
        <w:tabs>
          <w:tab w:val="clear" w:pos="1065"/>
          <w:tab w:val="num" w:pos="851"/>
        </w:tabs>
        <w:suppressAutoHyphens/>
        <w:spacing w:after="0" w:line="276" w:lineRule="auto"/>
        <w:ind w:hanging="639"/>
        <w:jc w:val="both"/>
        <w:rPr>
          <w:rFonts w:ascii="Arial" w:hAnsi="Arial" w:cs="Arial"/>
        </w:rPr>
      </w:pPr>
      <w:r w:rsidRPr="001D285A">
        <w:rPr>
          <w:rFonts w:ascii="Arial" w:hAnsi="Arial" w:cs="Arial"/>
        </w:rPr>
        <w:t>systémové návrhy aplikací, datových modelů, tvorba pravidel a databázových technologií;</w:t>
      </w:r>
    </w:p>
    <w:p w:rsidR="00CB5FBD" w:rsidRPr="001D285A" w:rsidRDefault="00CB5FBD" w:rsidP="00A65C36">
      <w:pPr>
        <w:pStyle w:val="Zkladntext2"/>
        <w:numPr>
          <w:ilvl w:val="0"/>
          <w:numId w:val="14"/>
        </w:numPr>
        <w:tabs>
          <w:tab w:val="clear" w:pos="1065"/>
          <w:tab w:val="num" w:pos="851"/>
        </w:tabs>
        <w:suppressAutoHyphens/>
        <w:spacing w:after="0" w:line="276" w:lineRule="auto"/>
        <w:ind w:hanging="639"/>
        <w:jc w:val="both"/>
        <w:rPr>
          <w:rFonts w:ascii="Arial" w:hAnsi="Arial" w:cs="Arial"/>
        </w:rPr>
      </w:pPr>
      <w:r w:rsidRPr="001D285A">
        <w:rPr>
          <w:rFonts w:ascii="Arial" w:hAnsi="Arial" w:cs="Arial"/>
        </w:rPr>
        <w:t xml:space="preserve">a jiné činnosti vyplývající z požadavku provozu </w:t>
      </w:r>
      <w:proofErr w:type="spellStart"/>
      <w:r w:rsidRPr="001D285A">
        <w:rPr>
          <w:rFonts w:ascii="Arial" w:hAnsi="Arial" w:cs="Arial"/>
        </w:rPr>
        <w:t>Oracle</w:t>
      </w:r>
      <w:proofErr w:type="spellEnd"/>
      <w:r w:rsidRPr="001D285A">
        <w:rPr>
          <w:rFonts w:ascii="Arial" w:hAnsi="Arial" w:cs="Arial"/>
        </w:rPr>
        <w:t xml:space="preserve"> technologií.</w:t>
      </w:r>
    </w:p>
    <w:p w:rsidR="00CB5FBD" w:rsidRPr="001D285A" w:rsidRDefault="00CB5FBD" w:rsidP="00CB5FBD">
      <w:pPr>
        <w:pStyle w:val="Zkladntext2"/>
        <w:spacing w:line="240" w:lineRule="auto"/>
        <w:ind w:left="357"/>
        <w:rPr>
          <w:rFonts w:ascii="Arial" w:hAnsi="Arial" w:cs="Arial"/>
        </w:rPr>
      </w:pPr>
    </w:p>
    <w:p w:rsidR="00CB5FBD" w:rsidRPr="001D285A" w:rsidRDefault="00D16A9B" w:rsidP="00D16A9B">
      <w:pPr>
        <w:pStyle w:val="Zkladntext2"/>
        <w:spacing w:line="240" w:lineRule="auto"/>
        <w:ind w:left="357"/>
        <w:jc w:val="both"/>
        <w:rPr>
          <w:rFonts w:ascii="Arial" w:hAnsi="Arial" w:cs="Arial"/>
          <w:shd w:val="clear" w:color="auto" w:fill="FFFF00"/>
        </w:rPr>
      </w:pPr>
      <w:r>
        <w:rPr>
          <w:rFonts w:ascii="Arial" w:hAnsi="Arial" w:cs="Arial"/>
        </w:rPr>
        <w:t>Objednatel</w:t>
      </w:r>
      <w:r w:rsidR="00CB5FBD" w:rsidRPr="001D285A">
        <w:rPr>
          <w:rFonts w:ascii="Arial" w:hAnsi="Arial" w:cs="Arial"/>
        </w:rPr>
        <w:t xml:space="preserve"> neuvažuje využití služeb </w:t>
      </w:r>
      <w:proofErr w:type="spellStart"/>
      <w:r w:rsidR="00CB5FBD" w:rsidRPr="001D285A">
        <w:rPr>
          <w:rFonts w:ascii="Arial" w:hAnsi="Arial" w:cs="Arial"/>
        </w:rPr>
        <w:t>OracleOnDemand</w:t>
      </w:r>
      <w:proofErr w:type="spellEnd"/>
      <w:r w:rsidR="00CB5FBD" w:rsidRPr="001D285A">
        <w:rPr>
          <w:rFonts w:ascii="Arial" w:hAnsi="Arial" w:cs="Arial"/>
        </w:rPr>
        <w:t xml:space="preserve">, </w:t>
      </w:r>
      <w:proofErr w:type="spellStart"/>
      <w:r w:rsidR="00CB5FBD" w:rsidRPr="001D285A">
        <w:rPr>
          <w:rFonts w:ascii="Arial" w:hAnsi="Arial" w:cs="Arial"/>
        </w:rPr>
        <w:t>Oracle</w:t>
      </w:r>
      <w:proofErr w:type="spellEnd"/>
      <w:r w:rsidR="00CB5FBD" w:rsidRPr="001D285A">
        <w:rPr>
          <w:rFonts w:ascii="Arial" w:hAnsi="Arial" w:cs="Arial"/>
        </w:rPr>
        <w:t xml:space="preserve"> </w:t>
      </w:r>
      <w:proofErr w:type="spellStart"/>
      <w:r w:rsidR="00CB5FBD" w:rsidRPr="001D285A">
        <w:rPr>
          <w:rFonts w:ascii="Arial" w:hAnsi="Arial" w:cs="Arial"/>
        </w:rPr>
        <w:t>Managed</w:t>
      </w:r>
      <w:proofErr w:type="spellEnd"/>
      <w:r w:rsidR="00CB5FBD" w:rsidRPr="001D285A">
        <w:rPr>
          <w:rFonts w:ascii="Arial" w:hAnsi="Arial" w:cs="Arial"/>
        </w:rPr>
        <w:t xml:space="preserve"> </w:t>
      </w:r>
      <w:proofErr w:type="spellStart"/>
      <w:r w:rsidR="00CB5FBD" w:rsidRPr="001D285A">
        <w:rPr>
          <w:rFonts w:ascii="Arial" w:hAnsi="Arial" w:cs="Arial"/>
        </w:rPr>
        <w:t>Cloud</w:t>
      </w:r>
      <w:proofErr w:type="spellEnd"/>
      <w:r w:rsidR="00CB5FBD" w:rsidRPr="001D285A">
        <w:rPr>
          <w:rFonts w:ascii="Arial" w:hAnsi="Arial" w:cs="Arial"/>
        </w:rPr>
        <w:t xml:space="preserve"> </w:t>
      </w:r>
      <w:proofErr w:type="spellStart"/>
      <w:r w:rsidR="00CB5FBD" w:rsidRPr="001D285A">
        <w:rPr>
          <w:rFonts w:ascii="Arial" w:hAnsi="Arial" w:cs="Arial"/>
        </w:rPr>
        <w:t>Service</w:t>
      </w:r>
      <w:proofErr w:type="spellEnd"/>
      <w:r w:rsidR="00CB5FBD" w:rsidRPr="001D285A">
        <w:rPr>
          <w:rFonts w:ascii="Arial" w:hAnsi="Arial" w:cs="Arial"/>
        </w:rPr>
        <w:t xml:space="preserve"> ani </w:t>
      </w:r>
      <w:proofErr w:type="spellStart"/>
      <w:r w:rsidR="00CB5FBD" w:rsidRPr="001D285A">
        <w:rPr>
          <w:rFonts w:ascii="Arial" w:hAnsi="Arial" w:cs="Arial"/>
        </w:rPr>
        <w:t>Oracle</w:t>
      </w:r>
      <w:proofErr w:type="spellEnd"/>
      <w:r w:rsidR="00CB5FBD" w:rsidRPr="001D285A">
        <w:rPr>
          <w:rFonts w:ascii="Arial" w:hAnsi="Arial" w:cs="Arial"/>
        </w:rPr>
        <w:t xml:space="preserve"> </w:t>
      </w:r>
      <w:proofErr w:type="spellStart"/>
      <w:r w:rsidR="00CB5FBD" w:rsidRPr="001D285A">
        <w:rPr>
          <w:rFonts w:ascii="Arial" w:hAnsi="Arial" w:cs="Arial"/>
        </w:rPr>
        <w:t>Advanced</w:t>
      </w:r>
      <w:proofErr w:type="spellEnd"/>
      <w:r w:rsidR="00CB5FBD" w:rsidRPr="001D285A">
        <w:rPr>
          <w:rFonts w:ascii="Arial" w:hAnsi="Arial" w:cs="Arial"/>
        </w:rPr>
        <w:t xml:space="preserve"> </w:t>
      </w:r>
      <w:proofErr w:type="spellStart"/>
      <w:r w:rsidR="00CB5FBD" w:rsidRPr="001D285A">
        <w:rPr>
          <w:rFonts w:ascii="Arial" w:hAnsi="Arial" w:cs="Arial"/>
        </w:rPr>
        <w:t>Customer</w:t>
      </w:r>
      <w:proofErr w:type="spellEnd"/>
      <w:r w:rsidR="00CB5FBD" w:rsidRPr="001D285A">
        <w:rPr>
          <w:rFonts w:ascii="Arial" w:hAnsi="Arial" w:cs="Arial"/>
        </w:rPr>
        <w:t xml:space="preserve"> Support. Veškeré poskytované služby budou dodávány lokálně v českém jazyce.</w:t>
      </w:r>
    </w:p>
    <w:p w:rsidR="00DB0F84" w:rsidRDefault="00CB5FBD" w:rsidP="002A0EA8">
      <w:pPr>
        <w:pStyle w:val="Zkladntext2"/>
        <w:spacing w:line="240" w:lineRule="auto"/>
        <w:ind w:left="357"/>
        <w:jc w:val="both"/>
        <w:rPr>
          <w:rFonts w:ascii="Arial" w:hAnsi="Arial" w:cs="Arial"/>
        </w:rPr>
      </w:pPr>
      <w:r w:rsidRPr="001D285A">
        <w:rPr>
          <w:rFonts w:ascii="Arial" w:hAnsi="Arial" w:cs="Arial"/>
        </w:rPr>
        <w:t xml:space="preserve">Poskytování služeb zahrnuje pravidelný systémový servis prováděný na vyžádání konzultanty </w:t>
      </w:r>
      <w:r w:rsidRPr="001D285A">
        <w:rPr>
          <w:rFonts w:ascii="Arial" w:hAnsi="Arial" w:cs="Arial"/>
          <w:b/>
          <w:bCs/>
        </w:rPr>
        <w:t>po dobu od 31. 12. 2017 do 30. 12. 2018</w:t>
      </w:r>
      <w:r w:rsidRPr="001D285A">
        <w:rPr>
          <w:rFonts w:ascii="Arial" w:hAnsi="Arial" w:cs="Arial"/>
        </w:rPr>
        <w:t xml:space="preserve">. </w:t>
      </w:r>
      <w:r w:rsidR="00D16A9B">
        <w:rPr>
          <w:rFonts w:ascii="Arial" w:hAnsi="Arial" w:cs="Arial"/>
        </w:rPr>
        <w:t>Objednatel</w:t>
      </w:r>
      <w:r w:rsidRPr="001D285A">
        <w:rPr>
          <w:rFonts w:ascii="Arial" w:hAnsi="Arial" w:cs="Arial"/>
        </w:rPr>
        <w:t xml:space="preserve"> si určí stupně závažnosti pro každý jednotlivý případ, podle stupně závažnosti a vlivu na provoz systému. Počet řešených případů v kalendářním roce není nijak omezen. Požadavky na plnění servisních služeb se budou požadovat telefonicky na sjednanou telefonní linku, e-mailem nebo pomocí webového rozhraní.</w:t>
      </w:r>
    </w:p>
    <w:p w:rsidR="00DB0F84" w:rsidRDefault="00DB0F84" w:rsidP="00DB0F84">
      <w:pPr>
        <w:pStyle w:val="Zkladntext2"/>
        <w:spacing w:line="360" w:lineRule="auto"/>
        <w:jc w:val="both"/>
        <w:rPr>
          <w:rFonts w:ascii="Arial" w:hAnsi="Arial" w:cs="Arial"/>
        </w:rPr>
      </w:pPr>
    </w:p>
    <w:p w:rsidR="00DB0F84" w:rsidRDefault="00DB0F84" w:rsidP="00DB0F84">
      <w:pPr>
        <w:pStyle w:val="Zkladntext2"/>
        <w:spacing w:line="360" w:lineRule="auto"/>
        <w:jc w:val="both"/>
        <w:rPr>
          <w:rFonts w:ascii="Arial" w:hAnsi="Arial" w:cs="Arial"/>
        </w:rPr>
      </w:pPr>
    </w:p>
    <w:p w:rsidR="00DB0F84" w:rsidRDefault="00DB0F84" w:rsidP="00DB0F84">
      <w:pPr>
        <w:pStyle w:val="Zkladntext2"/>
        <w:spacing w:line="360" w:lineRule="auto"/>
        <w:jc w:val="both"/>
        <w:rPr>
          <w:rFonts w:ascii="Arial" w:hAnsi="Arial" w:cs="Arial"/>
        </w:rPr>
      </w:pPr>
    </w:p>
    <w:p w:rsidR="00DB0F84" w:rsidRDefault="00DB0F84" w:rsidP="00DB0F84">
      <w:pPr>
        <w:pStyle w:val="Zkladntext2"/>
        <w:spacing w:line="360" w:lineRule="auto"/>
        <w:jc w:val="both"/>
        <w:rPr>
          <w:rFonts w:ascii="Arial" w:hAnsi="Arial" w:cs="Arial"/>
        </w:rPr>
      </w:pPr>
    </w:p>
    <w:p w:rsidR="00DB0F84" w:rsidRDefault="00DB0F84" w:rsidP="00DB0F84">
      <w:pPr>
        <w:pStyle w:val="Zkladntext2"/>
        <w:spacing w:line="360" w:lineRule="auto"/>
        <w:jc w:val="both"/>
        <w:rPr>
          <w:rFonts w:ascii="Arial" w:hAnsi="Arial" w:cs="Arial"/>
        </w:rPr>
      </w:pPr>
    </w:p>
    <w:p w:rsidR="00DB0F84" w:rsidRDefault="00DB0F84" w:rsidP="00DB0F84">
      <w:pPr>
        <w:pStyle w:val="Zkladntext2"/>
        <w:spacing w:line="360" w:lineRule="auto"/>
        <w:jc w:val="both"/>
        <w:rPr>
          <w:rFonts w:ascii="Arial" w:hAnsi="Arial" w:cs="Arial"/>
        </w:rPr>
      </w:pPr>
    </w:p>
    <w:p w:rsidR="00DB0F84" w:rsidRDefault="00DB0F84" w:rsidP="00DB0F84">
      <w:pPr>
        <w:pStyle w:val="Zkladntext2"/>
        <w:spacing w:line="360" w:lineRule="auto"/>
        <w:jc w:val="both"/>
        <w:rPr>
          <w:rFonts w:ascii="Arial" w:hAnsi="Arial" w:cs="Arial"/>
        </w:rPr>
      </w:pPr>
    </w:p>
    <w:p w:rsidR="00DB0F84" w:rsidRDefault="00DB0F84" w:rsidP="00DB0F84">
      <w:pPr>
        <w:pStyle w:val="Zkladntext2"/>
        <w:spacing w:line="360" w:lineRule="auto"/>
        <w:jc w:val="both"/>
        <w:rPr>
          <w:rFonts w:ascii="Arial" w:hAnsi="Arial" w:cs="Arial"/>
        </w:rPr>
      </w:pPr>
    </w:p>
    <w:p w:rsidR="00DB0F84" w:rsidRDefault="00DB0F84" w:rsidP="00DB0F84">
      <w:pPr>
        <w:pStyle w:val="Zkladntext2"/>
        <w:spacing w:line="360" w:lineRule="auto"/>
        <w:jc w:val="both"/>
        <w:rPr>
          <w:rFonts w:ascii="Arial" w:hAnsi="Arial" w:cs="Arial"/>
        </w:rPr>
      </w:pPr>
    </w:p>
    <w:p w:rsidR="00DB0F84" w:rsidRDefault="00DB0F84" w:rsidP="00DB0F84">
      <w:pPr>
        <w:pStyle w:val="Zkladntext2"/>
        <w:spacing w:line="360" w:lineRule="auto"/>
        <w:jc w:val="both"/>
        <w:rPr>
          <w:rFonts w:ascii="Arial" w:hAnsi="Arial" w:cs="Arial"/>
        </w:rPr>
      </w:pPr>
    </w:p>
    <w:p w:rsidR="00DB0F84" w:rsidRDefault="00DB0F84" w:rsidP="00DB0F84">
      <w:pPr>
        <w:pStyle w:val="Zkladntext2"/>
        <w:spacing w:line="360" w:lineRule="auto"/>
        <w:jc w:val="both"/>
        <w:rPr>
          <w:rFonts w:ascii="Arial" w:hAnsi="Arial" w:cs="Arial"/>
        </w:rPr>
      </w:pPr>
    </w:p>
    <w:p w:rsidR="00DB0F84" w:rsidRDefault="00DB0F84" w:rsidP="00DB0F84">
      <w:pPr>
        <w:pStyle w:val="Zkladntext2"/>
        <w:spacing w:line="360" w:lineRule="auto"/>
        <w:jc w:val="both"/>
        <w:rPr>
          <w:rFonts w:ascii="Arial" w:hAnsi="Arial" w:cs="Arial"/>
        </w:rPr>
      </w:pPr>
    </w:p>
    <w:p w:rsidR="00DB0F84" w:rsidRDefault="00DB0F84" w:rsidP="00DB0F84">
      <w:pPr>
        <w:pStyle w:val="Zkladntext2"/>
        <w:spacing w:line="360" w:lineRule="auto"/>
        <w:jc w:val="both"/>
        <w:rPr>
          <w:rFonts w:ascii="Arial" w:hAnsi="Arial" w:cs="Arial"/>
        </w:rPr>
      </w:pPr>
    </w:p>
    <w:p w:rsidR="00DB0F84" w:rsidRDefault="00DB0F84" w:rsidP="00DB0F84">
      <w:pPr>
        <w:pStyle w:val="Zkladntext2"/>
        <w:spacing w:line="360" w:lineRule="auto"/>
        <w:jc w:val="both"/>
        <w:rPr>
          <w:rFonts w:ascii="Arial" w:hAnsi="Arial" w:cs="Arial"/>
        </w:rPr>
      </w:pPr>
    </w:p>
    <w:p w:rsidR="00DB0F84" w:rsidRDefault="00DB0F84" w:rsidP="00DB0F84">
      <w:pPr>
        <w:rPr>
          <w:rFonts w:ascii="Arial" w:hAnsi="Arial" w:cs="Arial"/>
          <w:b/>
          <w:sz w:val="20"/>
          <w:szCs w:val="20"/>
        </w:rPr>
      </w:pPr>
    </w:p>
    <w:p w:rsidR="00896AA1" w:rsidRDefault="0027272E">
      <w:pPr>
        <w:spacing w:after="200" w:line="276" w:lineRule="auto"/>
        <w:rPr>
          <w:rFonts w:ascii="Arial" w:hAnsi="Arial" w:cs="Arial"/>
          <w:b/>
          <w:sz w:val="20"/>
          <w:szCs w:val="20"/>
        </w:rPr>
      </w:pPr>
      <w:r>
        <w:rPr>
          <w:rFonts w:ascii="Arial" w:hAnsi="Arial" w:cs="Arial"/>
          <w:b/>
          <w:sz w:val="20"/>
          <w:szCs w:val="20"/>
        </w:rPr>
        <w:br w:type="page"/>
      </w:r>
    </w:p>
    <w:p w:rsidR="00896AA1" w:rsidRDefault="00896AA1">
      <w:pPr>
        <w:spacing w:after="200" w:line="276" w:lineRule="auto"/>
        <w:rPr>
          <w:rFonts w:ascii="Arial" w:eastAsiaTheme="minorHAnsi" w:hAnsi="Arial" w:cs="Arial"/>
          <w:b/>
          <w:sz w:val="20"/>
          <w:szCs w:val="20"/>
          <w:lang w:eastAsia="en-US"/>
        </w:rPr>
        <w:sectPr w:rsidR="00896AA1" w:rsidSect="00896AA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DB0F84" w:rsidRDefault="00DB0F84" w:rsidP="0027272E">
      <w:pPr>
        <w:pStyle w:val="Bezmeze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lastRenderedPageBreak/>
        <w:t>Příloha č. 2</w:t>
      </w:r>
    </w:p>
    <w:p w:rsidR="00DB0F84" w:rsidRPr="0027272E" w:rsidRDefault="00DB0F84" w:rsidP="0027272E">
      <w:pPr>
        <w:pStyle w:val="Bezmezer"/>
        <w:pBdr>
          <w:top w:val="single" w:sz="4" w:space="1" w:color="auto"/>
          <w:left w:val="single" w:sz="4" w:space="4" w:color="auto"/>
          <w:bottom w:val="single" w:sz="4" w:space="1" w:color="auto"/>
          <w:right w:val="single" w:sz="4" w:space="4" w:color="auto"/>
        </w:pBdr>
        <w:rPr>
          <w:rFonts w:ascii="Arial" w:hAnsi="Arial" w:cs="Arial"/>
          <w:sz w:val="20"/>
          <w:szCs w:val="20"/>
        </w:rPr>
      </w:pPr>
      <w:r w:rsidRPr="0027272E">
        <w:rPr>
          <w:rFonts w:ascii="Arial" w:hAnsi="Arial" w:cs="Arial"/>
          <w:sz w:val="20"/>
          <w:szCs w:val="20"/>
        </w:rPr>
        <w:t xml:space="preserve">prováděcí smlouvy č. </w:t>
      </w:r>
      <w:r w:rsidR="0027272E" w:rsidRPr="0027272E">
        <w:rPr>
          <w:rFonts w:ascii="Arial" w:hAnsi="Arial" w:cs="Arial"/>
          <w:sz w:val="20"/>
          <w:szCs w:val="20"/>
        </w:rPr>
        <w:t>1</w:t>
      </w:r>
      <w:r w:rsidRPr="0027272E">
        <w:rPr>
          <w:rFonts w:ascii="Arial" w:hAnsi="Arial" w:cs="Arial"/>
          <w:sz w:val="20"/>
          <w:szCs w:val="20"/>
        </w:rPr>
        <w:t xml:space="preserve"> k </w:t>
      </w:r>
      <w:r w:rsidR="009B4752">
        <w:rPr>
          <w:rFonts w:ascii="Arial" w:hAnsi="Arial" w:cs="Arial"/>
          <w:sz w:val="20"/>
          <w:szCs w:val="20"/>
        </w:rPr>
        <w:t>r</w:t>
      </w:r>
      <w:r w:rsidRPr="0027272E">
        <w:rPr>
          <w:rFonts w:ascii="Arial" w:hAnsi="Arial" w:cs="Arial"/>
          <w:sz w:val="20"/>
          <w:szCs w:val="20"/>
        </w:rPr>
        <w:t xml:space="preserve">ámcové </w:t>
      </w:r>
      <w:r w:rsidR="0027272E" w:rsidRPr="0027272E">
        <w:rPr>
          <w:rFonts w:ascii="Arial" w:hAnsi="Arial" w:cs="Arial"/>
          <w:sz w:val="20"/>
          <w:szCs w:val="20"/>
        </w:rPr>
        <w:t>dohodě</w:t>
      </w:r>
      <w:r w:rsidRPr="0027272E">
        <w:rPr>
          <w:rFonts w:ascii="Arial" w:hAnsi="Arial" w:cs="Arial"/>
          <w:sz w:val="20"/>
          <w:szCs w:val="20"/>
        </w:rPr>
        <w:t xml:space="preserve"> o poskytování služeb systémové podpory programového vybavení </w:t>
      </w:r>
      <w:proofErr w:type="spellStart"/>
      <w:r w:rsidRPr="0027272E">
        <w:rPr>
          <w:rFonts w:ascii="Arial" w:hAnsi="Arial" w:cs="Arial"/>
          <w:sz w:val="20"/>
          <w:szCs w:val="20"/>
        </w:rPr>
        <w:t>Oracle</w:t>
      </w:r>
      <w:proofErr w:type="spellEnd"/>
      <w:r w:rsidRPr="0027272E">
        <w:rPr>
          <w:rFonts w:ascii="Arial" w:hAnsi="Arial" w:cs="Arial"/>
          <w:sz w:val="20"/>
          <w:szCs w:val="20"/>
        </w:rPr>
        <w:t xml:space="preserve">, </w:t>
      </w:r>
      <w:proofErr w:type="spellStart"/>
      <w:r w:rsidRPr="0027272E">
        <w:rPr>
          <w:rFonts w:ascii="Arial" w:hAnsi="Arial" w:cs="Arial"/>
          <w:sz w:val="20"/>
          <w:szCs w:val="20"/>
        </w:rPr>
        <w:t>evid</w:t>
      </w:r>
      <w:proofErr w:type="spellEnd"/>
      <w:r w:rsidRPr="0027272E">
        <w:rPr>
          <w:rFonts w:ascii="Arial" w:hAnsi="Arial" w:cs="Arial"/>
          <w:sz w:val="20"/>
          <w:szCs w:val="20"/>
        </w:rPr>
        <w:t xml:space="preserve">. č. ČSÚ: </w:t>
      </w:r>
      <w:r w:rsidR="0027272E" w:rsidRPr="0027272E">
        <w:rPr>
          <w:rFonts w:ascii="Arial" w:hAnsi="Arial" w:cs="Arial"/>
          <w:sz w:val="20"/>
          <w:szCs w:val="20"/>
        </w:rPr>
        <w:t>154</w:t>
      </w:r>
      <w:r w:rsidRPr="0027272E">
        <w:rPr>
          <w:rFonts w:ascii="Arial" w:hAnsi="Arial" w:cs="Arial"/>
          <w:sz w:val="20"/>
          <w:szCs w:val="20"/>
        </w:rPr>
        <w:t>-201</w:t>
      </w:r>
      <w:r w:rsidR="0027272E" w:rsidRPr="0027272E">
        <w:rPr>
          <w:rFonts w:ascii="Arial" w:hAnsi="Arial" w:cs="Arial"/>
          <w:sz w:val="20"/>
          <w:szCs w:val="20"/>
        </w:rPr>
        <w:t>7</w:t>
      </w:r>
      <w:r w:rsidRPr="0027272E">
        <w:rPr>
          <w:rFonts w:ascii="Arial" w:hAnsi="Arial" w:cs="Arial"/>
          <w:sz w:val="20"/>
          <w:szCs w:val="20"/>
        </w:rPr>
        <w:t>-R</w:t>
      </w:r>
    </w:p>
    <w:p w:rsidR="0027272E" w:rsidRDefault="0027272E" w:rsidP="0027272E">
      <w:pPr>
        <w:pStyle w:val="Bezmeze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Ceny služeb</w:t>
      </w:r>
    </w:p>
    <w:p w:rsidR="00D655CC" w:rsidRDefault="00D655CC" w:rsidP="00DB0F84">
      <w:pPr>
        <w:pStyle w:val="Bezmezer"/>
        <w:spacing w:line="276" w:lineRule="auto"/>
        <w:jc w:val="both"/>
        <w:rPr>
          <w:rFonts w:ascii="Arial" w:hAnsi="Arial" w:cs="Arial"/>
          <w:noProof/>
          <w:sz w:val="20"/>
          <w:szCs w:val="20"/>
          <w:lang w:eastAsia="cs-CZ"/>
        </w:rPr>
      </w:pPr>
    </w:p>
    <w:p w:rsidR="00896AA1" w:rsidRDefault="00896AA1" w:rsidP="00DB0F84">
      <w:pPr>
        <w:pStyle w:val="Bezmezer"/>
        <w:spacing w:line="276" w:lineRule="auto"/>
        <w:jc w:val="both"/>
        <w:rPr>
          <w:rFonts w:ascii="Arial" w:hAnsi="Arial" w:cs="Arial"/>
          <w:noProof/>
          <w:sz w:val="20"/>
          <w:szCs w:val="20"/>
          <w:lang w:eastAsia="cs-CZ"/>
        </w:rPr>
      </w:pPr>
    </w:p>
    <w:p w:rsidR="00EA124D" w:rsidRDefault="00EA124D" w:rsidP="00DB0F84">
      <w:pPr>
        <w:pStyle w:val="Bezmezer"/>
        <w:spacing w:line="276" w:lineRule="auto"/>
        <w:jc w:val="both"/>
        <w:rPr>
          <w:rFonts w:ascii="Arial" w:hAnsi="Arial" w:cs="Arial"/>
          <w:noProof/>
          <w:sz w:val="20"/>
          <w:szCs w:val="20"/>
          <w:lang w:eastAsia="cs-CZ"/>
        </w:rPr>
      </w:pPr>
    </w:p>
    <w:p w:rsidR="00EA124D" w:rsidRDefault="00EA124D" w:rsidP="00DB0F84">
      <w:pPr>
        <w:pStyle w:val="Bezmezer"/>
        <w:spacing w:line="276" w:lineRule="auto"/>
        <w:jc w:val="both"/>
        <w:rPr>
          <w:rFonts w:ascii="Arial" w:hAnsi="Arial" w:cs="Arial"/>
          <w:noProof/>
          <w:sz w:val="20"/>
          <w:szCs w:val="20"/>
          <w:lang w:eastAsia="cs-CZ"/>
        </w:rPr>
      </w:pPr>
    </w:p>
    <w:tbl>
      <w:tblPr>
        <w:tblW w:w="12620" w:type="dxa"/>
        <w:tblInd w:w="55" w:type="dxa"/>
        <w:tblCellMar>
          <w:left w:w="70" w:type="dxa"/>
          <w:right w:w="70" w:type="dxa"/>
        </w:tblCellMar>
        <w:tblLook w:val="04A0"/>
      </w:tblPr>
      <w:tblGrid>
        <w:gridCol w:w="5860"/>
        <w:gridCol w:w="1360"/>
        <w:gridCol w:w="1340"/>
        <w:gridCol w:w="1520"/>
        <w:gridCol w:w="1340"/>
        <w:gridCol w:w="1249"/>
      </w:tblGrid>
      <w:tr w:rsidR="00896AA1" w:rsidRPr="00896AA1" w:rsidTr="00896AA1">
        <w:trPr>
          <w:trHeight w:val="585"/>
        </w:trPr>
        <w:tc>
          <w:tcPr>
            <w:tcW w:w="12620" w:type="dxa"/>
            <w:gridSpan w:val="6"/>
            <w:tcBorders>
              <w:top w:val="nil"/>
              <w:left w:val="nil"/>
              <w:bottom w:val="nil"/>
              <w:right w:val="nil"/>
            </w:tcBorders>
            <w:shd w:val="clear" w:color="auto" w:fill="auto"/>
            <w:vAlign w:val="bottom"/>
            <w:hideMark/>
          </w:tcPr>
          <w:p w:rsidR="00896AA1" w:rsidRPr="00896AA1" w:rsidRDefault="00896AA1" w:rsidP="00896AA1">
            <w:pPr>
              <w:rPr>
                <w:rFonts w:ascii="Arial" w:hAnsi="Arial" w:cs="Arial"/>
                <w:b/>
                <w:bCs/>
                <w:color w:val="FF0000"/>
              </w:rPr>
            </w:pPr>
            <w:r w:rsidRPr="00896AA1">
              <w:rPr>
                <w:rFonts w:ascii="Arial" w:hAnsi="Arial" w:cs="Arial"/>
                <w:b/>
                <w:bCs/>
                <w:color w:val="FF0000"/>
              </w:rPr>
              <w:t>A.</w:t>
            </w:r>
            <w:r w:rsidRPr="00896AA1">
              <w:rPr>
                <w:b/>
                <w:bCs/>
                <w:color w:val="FF0000"/>
              </w:rPr>
              <w:t xml:space="preserve">    </w:t>
            </w:r>
            <w:r w:rsidRPr="00896AA1">
              <w:rPr>
                <w:rFonts w:ascii="Arial" w:hAnsi="Arial" w:cs="Arial"/>
                <w:b/>
                <w:bCs/>
                <w:color w:val="FF0000"/>
              </w:rPr>
              <w:t>Přehled produ</w:t>
            </w:r>
            <w:r w:rsidR="007807BA">
              <w:rPr>
                <w:rFonts w:ascii="Arial" w:hAnsi="Arial" w:cs="Arial"/>
                <w:b/>
                <w:bCs/>
                <w:color w:val="FF0000"/>
              </w:rPr>
              <w:t xml:space="preserve">ktů + cena pořízení, migrace a </w:t>
            </w:r>
            <w:r w:rsidRPr="00896AA1">
              <w:rPr>
                <w:rFonts w:ascii="Arial" w:hAnsi="Arial" w:cs="Arial"/>
                <w:b/>
                <w:bCs/>
                <w:color w:val="FF0000"/>
              </w:rPr>
              <w:t xml:space="preserve">aktualizace a systémové podpory programového vybavení </w:t>
            </w:r>
            <w:proofErr w:type="spellStart"/>
            <w:r w:rsidRPr="00896AA1">
              <w:rPr>
                <w:rFonts w:ascii="Arial" w:hAnsi="Arial" w:cs="Arial"/>
                <w:b/>
                <w:bCs/>
                <w:color w:val="FF0000"/>
              </w:rPr>
              <w:t>Oracle</w:t>
            </w:r>
            <w:proofErr w:type="spellEnd"/>
          </w:p>
        </w:tc>
      </w:tr>
      <w:tr w:rsidR="00896AA1" w:rsidRPr="00896AA1" w:rsidTr="00896AA1">
        <w:trPr>
          <w:trHeight w:val="300"/>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Arial" w:hAnsi="Arial" w:cs="Arial"/>
                <w:b/>
                <w:bCs/>
                <w:color w:val="FF0000"/>
              </w:rPr>
            </w:pPr>
            <w:r w:rsidRPr="00896AA1">
              <w:rPr>
                <w:rFonts w:ascii="Arial" w:hAnsi="Arial" w:cs="Arial"/>
                <w:b/>
                <w:bCs/>
                <w:color w:val="FF0000"/>
                <w:sz w:val="22"/>
                <w:szCs w:val="22"/>
              </w:rPr>
              <w:t>Pořízení licencí</w:t>
            </w: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rPr>
                <w:rFonts w:ascii="Arial" w:hAnsi="Arial" w:cs="Arial"/>
                <w:b/>
                <w:bCs/>
                <w:color w:val="000000"/>
                <w:sz w:val="18"/>
                <w:szCs w:val="18"/>
              </w:rPr>
            </w:pPr>
            <w:r w:rsidRPr="00896AA1">
              <w:rPr>
                <w:rFonts w:ascii="Arial" w:hAnsi="Arial" w:cs="Arial"/>
                <w:b/>
                <w:bCs/>
                <w:color w:val="000000"/>
                <w:sz w:val="18"/>
                <w:szCs w:val="18"/>
              </w:rPr>
              <w:t>Produkt</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Licence typ</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Počet uživatelů/ procesorů</w:t>
            </w:r>
          </w:p>
        </w:tc>
        <w:tc>
          <w:tcPr>
            <w:tcW w:w="15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Licence</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CSI</w:t>
            </w:r>
          </w:p>
        </w:tc>
        <w:tc>
          <w:tcPr>
            <w:tcW w:w="1200" w:type="dxa"/>
            <w:tcBorders>
              <w:top w:val="single" w:sz="8" w:space="0" w:color="auto"/>
              <w:left w:val="nil"/>
              <w:bottom w:val="nil"/>
              <w:right w:val="single" w:sz="8" w:space="0" w:color="auto"/>
            </w:tcBorders>
            <w:shd w:val="clear" w:color="auto" w:fill="auto"/>
            <w:vAlign w:val="bottom"/>
            <w:hideMark/>
          </w:tcPr>
          <w:p w:rsidR="00896AA1" w:rsidRPr="00896AA1" w:rsidRDefault="00896AA1" w:rsidP="00896AA1">
            <w:pPr>
              <w:jc w:val="center"/>
              <w:rPr>
                <w:rFonts w:ascii="Calibri" w:hAnsi="Calibri"/>
                <w:color w:val="000000"/>
              </w:rPr>
            </w:pPr>
            <w:r w:rsidRPr="00896AA1">
              <w:rPr>
                <w:rFonts w:ascii="Calibri" w:hAnsi="Calibri"/>
                <w:color w:val="000000"/>
                <w:sz w:val="22"/>
                <w:szCs w:val="22"/>
              </w:rPr>
              <w:t> </w:t>
            </w:r>
          </w:p>
        </w:tc>
      </w:tr>
      <w:tr w:rsidR="00896AA1" w:rsidRPr="00896AA1" w:rsidTr="00896AA1">
        <w:trPr>
          <w:trHeight w:val="510"/>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200" w:type="dxa"/>
            <w:tcBorders>
              <w:top w:val="nil"/>
              <w:left w:val="nil"/>
              <w:bottom w:val="single" w:sz="8" w:space="0" w:color="auto"/>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Cena v CZK bez DPH</w:t>
            </w:r>
          </w:p>
        </w:tc>
      </w:tr>
      <w:tr w:rsidR="00896AA1" w:rsidRPr="00896AA1" w:rsidTr="00896AA1">
        <w:trPr>
          <w:trHeight w:val="315"/>
        </w:trPr>
        <w:tc>
          <w:tcPr>
            <w:tcW w:w="126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96AA1" w:rsidRPr="00896AA1" w:rsidRDefault="00896AA1" w:rsidP="00896AA1">
            <w:pPr>
              <w:rPr>
                <w:rFonts w:ascii="Arial" w:hAnsi="Arial" w:cs="Arial"/>
                <w:b/>
                <w:bCs/>
                <w:color w:val="000000"/>
                <w:sz w:val="20"/>
                <w:szCs w:val="20"/>
              </w:rPr>
            </w:pPr>
            <w:r w:rsidRPr="00896AA1">
              <w:rPr>
                <w:rFonts w:ascii="Arial" w:hAnsi="Arial" w:cs="Arial"/>
                <w:b/>
                <w:bCs/>
                <w:color w:val="000000"/>
                <w:sz w:val="20"/>
                <w:szCs w:val="20"/>
              </w:rPr>
              <w:t xml:space="preserve">Kontrakt č. ………... (Support od </w:t>
            </w:r>
            <w:proofErr w:type="gramStart"/>
            <w:r w:rsidRPr="00896AA1">
              <w:rPr>
                <w:rFonts w:ascii="Arial" w:hAnsi="Arial" w:cs="Arial"/>
                <w:b/>
                <w:bCs/>
                <w:color w:val="000000"/>
                <w:sz w:val="20"/>
                <w:szCs w:val="20"/>
              </w:rPr>
              <w:t>31.12.2017</w:t>
            </w:r>
            <w:proofErr w:type="gramEnd"/>
            <w:r w:rsidRPr="00896AA1">
              <w:rPr>
                <w:rFonts w:ascii="Arial" w:hAnsi="Arial" w:cs="Arial"/>
                <w:b/>
                <w:bCs/>
                <w:color w:val="000000"/>
                <w:sz w:val="20"/>
                <w:szCs w:val="20"/>
              </w:rPr>
              <w:t xml:space="preserve"> do 30.12.2018) - pořízení + 1. rok podpory</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 xml:space="preserve">Internet </w:t>
            </w:r>
            <w:proofErr w:type="spellStart"/>
            <w:r w:rsidRPr="00896AA1">
              <w:rPr>
                <w:rFonts w:ascii="Arial" w:hAnsi="Arial" w:cs="Arial"/>
                <w:color w:val="000000"/>
                <w:sz w:val="20"/>
                <w:szCs w:val="20"/>
              </w:rPr>
              <w:t>Application</w:t>
            </w:r>
            <w:proofErr w:type="spellEnd"/>
            <w:r w:rsidRPr="00896AA1">
              <w:rPr>
                <w:rFonts w:ascii="Arial" w:hAnsi="Arial" w:cs="Arial"/>
                <w:color w:val="000000"/>
                <w:sz w:val="20"/>
                <w:szCs w:val="20"/>
              </w:rPr>
              <w:t xml:space="preserve"> Server </w:t>
            </w:r>
            <w:proofErr w:type="spellStart"/>
            <w:r w:rsidRPr="00896AA1">
              <w:rPr>
                <w:rFonts w:ascii="Arial" w:hAnsi="Arial" w:cs="Arial"/>
                <w:color w:val="000000"/>
                <w:sz w:val="20"/>
                <w:szCs w:val="20"/>
              </w:rPr>
              <w:t>Enterprise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Edition</w:t>
            </w:r>
            <w:proofErr w:type="spellEnd"/>
            <w:r w:rsidRPr="00896AA1">
              <w:rPr>
                <w:rFonts w:ascii="Arial" w:hAnsi="Arial" w:cs="Arial"/>
                <w:color w:val="000000"/>
                <w:sz w:val="20"/>
                <w:szCs w:val="20"/>
              </w:rPr>
              <w:t xml:space="preserve">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 </w:t>
            </w:r>
            <w:r w:rsidR="00E55E89">
              <w:rPr>
                <w:rFonts w:ascii="Arial" w:hAnsi="Arial" w:cs="Arial"/>
                <w:color w:val="000000"/>
                <w:sz w:val="20"/>
                <w:szCs w:val="20"/>
              </w:rPr>
              <w:t>bude přiděleno</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Arial" w:hAnsi="Arial" w:cs="Arial"/>
                <w:color w:val="000000"/>
                <w:sz w:val="20"/>
                <w:szCs w:val="20"/>
              </w:rPr>
            </w:pPr>
            <w:r w:rsidRPr="00896AA1">
              <w:rPr>
                <w:rFonts w:ascii="Arial" w:hAnsi="Arial" w:cs="Arial"/>
                <w:color w:val="000000"/>
                <w:sz w:val="20"/>
                <w:szCs w:val="20"/>
              </w:rPr>
              <w:t> </w:t>
            </w:r>
            <w:r w:rsidR="00E55E89">
              <w:rPr>
                <w:rFonts w:ascii="Arial" w:hAnsi="Arial" w:cs="Arial"/>
                <w:color w:val="000000"/>
                <w:sz w:val="20"/>
                <w:szCs w:val="20"/>
              </w:rPr>
              <w:t>556023,69</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Diagnostic</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Pack</w:t>
            </w:r>
            <w:proofErr w:type="spellEnd"/>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8</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000000" w:fill="FFFF00"/>
            <w:noWrap/>
            <w:vAlign w:val="bottom"/>
            <w:hideMark/>
          </w:tcPr>
          <w:p w:rsidR="00896AA1" w:rsidRPr="00896AA1" w:rsidRDefault="00E55E89" w:rsidP="00E54CD4">
            <w:pPr>
              <w:rPr>
                <w:rFonts w:ascii="Arial" w:hAnsi="Arial" w:cs="Arial"/>
                <w:color w:val="000000"/>
                <w:sz w:val="20"/>
                <w:szCs w:val="20"/>
              </w:rPr>
            </w:pPr>
            <w:r>
              <w:rPr>
                <w:rFonts w:ascii="Arial" w:hAnsi="Arial" w:cs="Arial"/>
                <w:color w:val="000000"/>
                <w:sz w:val="20"/>
                <w:szCs w:val="20"/>
              </w:rPr>
              <w:t>bude přiděleno</w:t>
            </w:r>
            <w:r w:rsidR="00896AA1" w:rsidRPr="00896AA1">
              <w:rPr>
                <w:rFonts w:ascii="Arial" w:hAnsi="Arial" w:cs="Arial"/>
                <w:color w:val="000000"/>
                <w:sz w:val="20"/>
                <w:szCs w:val="20"/>
              </w:rPr>
              <w:t> </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E55E89">
              <w:rPr>
                <w:rFonts w:ascii="Calibri" w:hAnsi="Calibri"/>
                <w:color w:val="000000"/>
                <w:sz w:val="22"/>
                <w:szCs w:val="22"/>
              </w:rPr>
              <w:t>953183,46</w:t>
            </w: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single" w:sz="8" w:space="0" w:color="auto"/>
              <w:bottom w:val="single" w:sz="8" w:space="0" w:color="auto"/>
              <w:right w:val="nil"/>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CELKEM</w:t>
            </w:r>
          </w:p>
        </w:tc>
        <w:tc>
          <w:tcPr>
            <w:tcW w:w="1200" w:type="dxa"/>
            <w:tcBorders>
              <w:top w:val="nil"/>
              <w:left w:val="single" w:sz="8" w:space="0" w:color="auto"/>
              <w:bottom w:val="single" w:sz="8" w:space="0" w:color="auto"/>
              <w:right w:val="single" w:sz="8" w:space="0" w:color="auto"/>
            </w:tcBorders>
            <w:shd w:val="clear" w:color="000000" w:fill="92D050"/>
            <w:noWrap/>
            <w:vAlign w:val="bottom"/>
            <w:hideMark/>
          </w:tcPr>
          <w:p w:rsidR="00896AA1" w:rsidRPr="00896AA1" w:rsidRDefault="00E55E89" w:rsidP="00C67606">
            <w:pPr>
              <w:jc w:val="right"/>
              <w:rPr>
                <w:rFonts w:ascii="Calibri" w:hAnsi="Calibri"/>
                <w:color w:val="000000"/>
              </w:rPr>
            </w:pPr>
            <w:r>
              <w:rPr>
                <w:rFonts w:ascii="Calibri" w:hAnsi="Calibri"/>
                <w:color w:val="000000"/>
                <w:sz w:val="22"/>
                <w:szCs w:val="22"/>
              </w:rPr>
              <w:t>1509207,15</w:t>
            </w:r>
          </w:p>
        </w:tc>
      </w:tr>
      <w:tr w:rsidR="00896AA1" w:rsidRPr="00896AA1" w:rsidTr="00896AA1">
        <w:trPr>
          <w:trHeight w:val="300"/>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Arial" w:hAnsi="Arial" w:cs="Arial"/>
                <w:b/>
                <w:bCs/>
                <w:color w:val="FF0000"/>
              </w:rPr>
            </w:pPr>
            <w:r w:rsidRPr="00896AA1">
              <w:rPr>
                <w:rFonts w:ascii="Arial" w:hAnsi="Arial" w:cs="Arial"/>
                <w:b/>
                <w:bCs/>
                <w:color w:val="FF0000"/>
                <w:sz w:val="22"/>
                <w:szCs w:val="22"/>
              </w:rPr>
              <w:t>Migrace licencí</w:t>
            </w: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rPr>
                <w:rFonts w:ascii="Arial" w:hAnsi="Arial" w:cs="Arial"/>
                <w:b/>
                <w:bCs/>
                <w:color w:val="000000"/>
                <w:sz w:val="18"/>
                <w:szCs w:val="18"/>
              </w:rPr>
            </w:pPr>
            <w:r w:rsidRPr="00896AA1">
              <w:rPr>
                <w:rFonts w:ascii="Arial" w:hAnsi="Arial" w:cs="Arial"/>
                <w:b/>
                <w:bCs/>
                <w:color w:val="000000"/>
                <w:sz w:val="18"/>
                <w:szCs w:val="18"/>
              </w:rPr>
              <w:t>Produkt</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Licence typ</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Počet uživatelů/ procesorů</w:t>
            </w:r>
          </w:p>
        </w:tc>
        <w:tc>
          <w:tcPr>
            <w:tcW w:w="15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Licence</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CSI</w:t>
            </w:r>
          </w:p>
        </w:tc>
        <w:tc>
          <w:tcPr>
            <w:tcW w:w="1200" w:type="dxa"/>
            <w:tcBorders>
              <w:top w:val="single" w:sz="8" w:space="0" w:color="auto"/>
              <w:left w:val="nil"/>
              <w:bottom w:val="nil"/>
              <w:right w:val="single" w:sz="8" w:space="0" w:color="auto"/>
            </w:tcBorders>
            <w:shd w:val="clear" w:color="auto" w:fill="auto"/>
            <w:vAlign w:val="bottom"/>
            <w:hideMark/>
          </w:tcPr>
          <w:p w:rsidR="00896AA1" w:rsidRPr="00896AA1" w:rsidRDefault="00896AA1" w:rsidP="00896AA1">
            <w:pPr>
              <w:jc w:val="center"/>
              <w:rPr>
                <w:rFonts w:ascii="Calibri" w:hAnsi="Calibri"/>
                <w:color w:val="000000"/>
              </w:rPr>
            </w:pPr>
            <w:r w:rsidRPr="00896AA1">
              <w:rPr>
                <w:rFonts w:ascii="Calibri" w:hAnsi="Calibri"/>
                <w:color w:val="000000"/>
                <w:sz w:val="22"/>
                <w:szCs w:val="22"/>
              </w:rPr>
              <w:t> </w:t>
            </w:r>
          </w:p>
        </w:tc>
      </w:tr>
      <w:tr w:rsidR="00896AA1" w:rsidRPr="00896AA1" w:rsidTr="00896AA1">
        <w:trPr>
          <w:trHeight w:val="510"/>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200" w:type="dxa"/>
            <w:tcBorders>
              <w:top w:val="nil"/>
              <w:left w:val="nil"/>
              <w:bottom w:val="single" w:sz="8" w:space="0" w:color="auto"/>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Cena v CZK bez DPH</w:t>
            </w:r>
          </w:p>
        </w:tc>
      </w:tr>
      <w:tr w:rsidR="00896AA1" w:rsidRPr="00896AA1" w:rsidTr="00896AA1">
        <w:trPr>
          <w:trHeight w:val="315"/>
        </w:trPr>
        <w:tc>
          <w:tcPr>
            <w:tcW w:w="126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96AA1" w:rsidRPr="00896AA1" w:rsidRDefault="00896AA1" w:rsidP="00896AA1">
            <w:pPr>
              <w:rPr>
                <w:rFonts w:ascii="Arial" w:hAnsi="Arial" w:cs="Arial"/>
                <w:b/>
                <w:bCs/>
                <w:color w:val="000000"/>
                <w:sz w:val="20"/>
                <w:szCs w:val="20"/>
              </w:rPr>
            </w:pPr>
            <w:r w:rsidRPr="00896AA1">
              <w:rPr>
                <w:rFonts w:ascii="Arial" w:hAnsi="Arial" w:cs="Arial"/>
                <w:b/>
                <w:bCs/>
                <w:color w:val="000000"/>
                <w:sz w:val="20"/>
                <w:szCs w:val="20"/>
              </w:rPr>
              <w:t xml:space="preserve">Kontrakt č. ………... (Support od </w:t>
            </w:r>
            <w:proofErr w:type="gramStart"/>
            <w:r w:rsidRPr="00896AA1">
              <w:rPr>
                <w:rFonts w:ascii="Arial" w:hAnsi="Arial" w:cs="Arial"/>
                <w:b/>
                <w:bCs/>
                <w:color w:val="000000"/>
                <w:sz w:val="20"/>
                <w:szCs w:val="20"/>
              </w:rPr>
              <w:t>31.12.2017</w:t>
            </w:r>
            <w:proofErr w:type="gramEnd"/>
            <w:r w:rsidRPr="00896AA1">
              <w:rPr>
                <w:rFonts w:ascii="Arial" w:hAnsi="Arial" w:cs="Arial"/>
                <w:b/>
                <w:bCs/>
                <w:color w:val="000000"/>
                <w:sz w:val="20"/>
                <w:szCs w:val="20"/>
              </w:rPr>
              <w:t xml:space="preserve"> do 30.12.2018) - pořízení + 1. rok podpory</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Oracle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Database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Enterprise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Edition</w:t>
            </w:r>
            <w:proofErr w:type="spellEnd"/>
            <w:r w:rsidRPr="00896AA1">
              <w:rPr>
                <w:rFonts w:ascii="Arial" w:hAnsi="Arial" w:cs="Arial"/>
                <w:color w:val="000000"/>
                <w:sz w:val="20"/>
                <w:szCs w:val="20"/>
              </w:rPr>
              <w:t xml:space="preserve"> (25 NU -&gt; 4 CPU)</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4</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000000" w:fill="FFFF00"/>
            <w:noWrap/>
            <w:vAlign w:val="bottom"/>
            <w:hideMark/>
          </w:tcPr>
          <w:p w:rsidR="00896AA1" w:rsidRPr="00896AA1" w:rsidRDefault="00E55E89" w:rsidP="00E54CD4">
            <w:pPr>
              <w:rPr>
                <w:rFonts w:ascii="Arial" w:hAnsi="Arial" w:cs="Arial"/>
                <w:color w:val="000000"/>
                <w:sz w:val="20"/>
                <w:szCs w:val="20"/>
              </w:rPr>
            </w:pPr>
            <w:r>
              <w:rPr>
                <w:rFonts w:ascii="Arial" w:hAnsi="Arial" w:cs="Arial"/>
                <w:color w:val="000000"/>
                <w:sz w:val="20"/>
                <w:szCs w:val="20"/>
              </w:rPr>
              <w:t>bude přiděleno</w:t>
            </w:r>
            <w:r w:rsidR="00896AA1" w:rsidRPr="00896AA1">
              <w:rPr>
                <w:rFonts w:ascii="Arial" w:hAnsi="Arial" w:cs="Arial"/>
                <w:color w:val="000000"/>
                <w:sz w:val="20"/>
                <w:szCs w:val="20"/>
              </w:rPr>
              <w:t> </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2784929,23</w:t>
            </w: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single" w:sz="8" w:space="0" w:color="auto"/>
              <w:bottom w:val="single" w:sz="8" w:space="0" w:color="auto"/>
              <w:right w:val="nil"/>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CELKEM</w:t>
            </w:r>
          </w:p>
        </w:tc>
        <w:tc>
          <w:tcPr>
            <w:tcW w:w="1200" w:type="dxa"/>
            <w:tcBorders>
              <w:top w:val="nil"/>
              <w:left w:val="single" w:sz="8" w:space="0" w:color="auto"/>
              <w:bottom w:val="single" w:sz="8" w:space="0" w:color="auto"/>
              <w:right w:val="single" w:sz="8" w:space="0" w:color="auto"/>
            </w:tcBorders>
            <w:shd w:val="clear" w:color="000000" w:fill="92D050"/>
            <w:noWrap/>
            <w:vAlign w:val="bottom"/>
            <w:hideMark/>
          </w:tcPr>
          <w:p w:rsidR="00896AA1" w:rsidRPr="00896AA1" w:rsidRDefault="00DD22CD" w:rsidP="00C67606">
            <w:pPr>
              <w:jc w:val="right"/>
              <w:rPr>
                <w:rFonts w:ascii="Calibri" w:hAnsi="Calibri"/>
                <w:color w:val="000000"/>
              </w:rPr>
            </w:pPr>
            <w:r>
              <w:rPr>
                <w:rFonts w:ascii="Calibri" w:hAnsi="Calibri"/>
                <w:color w:val="000000"/>
                <w:sz w:val="22"/>
                <w:szCs w:val="22"/>
              </w:rPr>
              <w:t>2784929,23</w:t>
            </w:r>
          </w:p>
        </w:tc>
      </w:tr>
      <w:tr w:rsidR="00896AA1" w:rsidRPr="00896AA1" w:rsidTr="00896AA1">
        <w:trPr>
          <w:trHeight w:val="300"/>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Arial" w:hAnsi="Arial" w:cs="Arial"/>
                <w:b/>
                <w:bCs/>
                <w:color w:val="FF0000"/>
              </w:rPr>
            </w:pPr>
            <w:r w:rsidRPr="00896AA1">
              <w:rPr>
                <w:rFonts w:ascii="Arial" w:hAnsi="Arial" w:cs="Arial"/>
                <w:b/>
                <w:bCs/>
                <w:color w:val="FF0000"/>
                <w:sz w:val="22"/>
                <w:szCs w:val="22"/>
              </w:rPr>
              <w:t>Systémová podpora</w:t>
            </w: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rPr>
                <w:rFonts w:ascii="Arial" w:hAnsi="Arial" w:cs="Arial"/>
                <w:b/>
                <w:bCs/>
                <w:color w:val="000000"/>
                <w:sz w:val="18"/>
                <w:szCs w:val="18"/>
              </w:rPr>
            </w:pPr>
            <w:r w:rsidRPr="00896AA1">
              <w:rPr>
                <w:rFonts w:ascii="Arial" w:hAnsi="Arial" w:cs="Arial"/>
                <w:b/>
                <w:bCs/>
                <w:color w:val="000000"/>
                <w:sz w:val="18"/>
                <w:szCs w:val="18"/>
              </w:rPr>
              <w:t>Produkt</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Licence typ</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Počet uživatelů/ procesorů</w:t>
            </w:r>
          </w:p>
        </w:tc>
        <w:tc>
          <w:tcPr>
            <w:tcW w:w="15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Licence</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CSI</w:t>
            </w:r>
          </w:p>
        </w:tc>
        <w:tc>
          <w:tcPr>
            <w:tcW w:w="1200" w:type="dxa"/>
            <w:tcBorders>
              <w:top w:val="single" w:sz="8" w:space="0" w:color="auto"/>
              <w:left w:val="nil"/>
              <w:bottom w:val="nil"/>
              <w:right w:val="single" w:sz="8" w:space="0" w:color="auto"/>
            </w:tcBorders>
            <w:shd w:val="clear" w:color="auto" w:fill="auto"/>
            <w:vAlign w:val="bottom"/>
            <w:hideMark/>
          </w:tcPr>
          <w:p w:rsidR="00896AA1" w:rsidRPr="00896AA1" w:rsidRDefault="00896AA1" w:rsidP="00896AA1">
            <w:pPr>
              <w:jc w:val="center"/>
              <w:rPr>
                <w:rFonts w:ascii="Calibri" w:hAnsi="Calibri"/>
                <w:color w:val="000000"/>
              </w:rPr>
            </w:pPr>
            <w:r w:rsidRPr="00896AA1">
              <w:rPr>
                <w:rFonts w:ascii="Calibri" w:hAnsi="Calibri"/>
                <w:color w:val="000000"/>
                <w:sz w:val="22"/>
                <w:szCs w:val="22"/>
              </w:rPr>
              <w:t> </w:t>
            </w:r>
          </w:p>
        </w:tc>
      </w:tr>
      <w:tr w:rsidR="00896AA1" w:rsidRPr="00896AA1" w:rsidTr="00896AA1">
        <w:trPr>
          <w:trHeight w:val="510"/>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200" w:type="dxa"/>
            <w:tcBorders>
              <w:top w:val="nil"/>
              <w:left w:val="nil"/>
              <w:bottom w:val="single" w:sz="8" w:space="0" w:color="auto"/>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Cena v CZK bez DPH</w:t>
            </w:r>
          </w:p>
        </w:tc>
      </w:tr>
      <w:tr w:rsidR="00896AA1" w:rsidRPr="00896AA1" w:rsidTr="00896AA1">
        <w:trPr>
          <w:trHeight w:val="315"/>
        </w:trPr>
        <w:tc>
          <w:tcPr>
            <w:tcW w:w="126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96AA1" w:rsidRPr="00896AA1" w:rsidRDefault="00896AA1" w:rsidP="00896AA1">
            <w:pPr>
              <w:rPr>
                <w:rFonts w:ascii="Arial" w:hAnsi="Arial" w:cs="Arial"/>
                <w:b/>
                <w:bCs/>
                <w:color w:val="000000"/>
                <w:sz w:val="20"/>
                <w:szCs w:val="20"/>
              </w:rPr>
            </w:pPr>
            <w:r w:rsidRPr="00896AA1">
              <w:rPr>
                <w:rFonts w:ascii="Arial" w:hAnsi="Arial" w:cs="Arial"/>
                <w:b/>
                <w:bCs/>
                <w:color w:val="000000"/>
                <w:sz w:val="20"/>
                <w:szCs w:val="20"/>
              </w:rPr>
              <w:t xml:space="preserve">Kontrakt č. 3788496 (Support od </w:t>
            </w:r>
            <w:proofErr w:type="gramStart"/>
            <w:r w:rsidRPr="00896AA1">
              <w:rPr>
                <w:rFonts w:ascii="Arial" w:hAnsi="Arial" w:cs="Arial"/>
                <w:b/>
                <w:bCs/>
                <w:color w:val="000000"/>
                <w:sz w:val="20"/>
                <w:szCs w:val="20"/>
              </w:rPr>
              <w:t>31.12.2017</w:t>
            </w:r>
            <w:proofErr w:type="gramEnd"/>
            <w:r w:rsidRPr="00896AA1">
              <w:rPr>
                <w:rFonts w:ascii="Arial" w:hAnsi="Arial" w:cs="Arial"/>
                <w:b/>
                <w:bCs/>
                <w:color w:val="000000"/>
                <w:sz w:val="20"/>
                <w:szCs w:val="20"/>
              </w:rPr>
              <w:t xml:space="preserve"> do 30.12.2018)</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WebLogic</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Suite</w:t>
            </w:r>
            <w:proofErr w:type="spellEnd"/>
            <w:r w:rsidRPr="00896AA1">
              <w:rPr>
                <w:rFonts w:ascii="Arial" w:hAnsi="Arial" w:cs="Arial"/>
                <w:color w:val="000000"/>
                <w:sz w:val="20"/>
                <w:szCs w:val="20"/>
              </w:rPr>
              <w:t xml:space="preserve">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16474475</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668071,32</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Tuning</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Pack</w:t>
            </w:r>
            <w:proofErr w:type="spellEnd"/>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10</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16474475</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247433,83</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Diagnostics</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Pack</w:t>
            </w:r>
            <w:proofErr w:type="spellEnd"/>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10</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16474475</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371150,76</w:t>
            </w: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single" w:sz="8" w:space="0" w:color="auto"/>
              <w:bottom w:val="single" w:sz="8" w:space="0" w:color="auto"/>
              <w:right w:val="nil"/>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CELKEM</w:t>
            </w:r>
          </w:p>
        </w:tc>
        <w:tc>
          <w:tcPr>
            <w:tcW w:w="1200" w:type="dxa"/>
            <w:tcBorders>
              <w:top w:val="nil"/>
              <w:left w:val="single" w:sz="8" w:space="0" w:color="auto"/>
              <w:bottom w:val="single" w:sz="8" w:space="0" w:color="auto"/>
              <w:right w:val="single" w:sz="8" w:space="0" w:color="auto"/>
            </w:tcBorders>
            <w:shd w:val="clear" w:color="000000" w:fill="92D050"/>
            <w:noWrap/>
            <w:vAlign w:val="bottom"/>
            <w:hideMark/>
          </w:tcPr>
          <w:p w:rsidR="00896AA1" w:rsidRPr="00896AA1" w:rsidRDefault="00C67606" w:rsidP="00C67606">
            <w:pPr>
              <w:jc w:val="right"/>
              <w:rPr>
                <w:rFonts w:ascii="Calibri" w:hAnsi="Calibri"/>
                <w:color w:val="000000"/>
              </w:rPr>
            </w:pPr>
            <w:r>
              <w:rPr>
                <w:rFonts w:ascii="Calibri" w:hAnsi="Calibri"/>
                <w:color w:val="000000"/>
                <w:sz w:val="22"/>
                <w:szCs w:val="22"/>
              </w:rPr>
              <w:t>1286655,91</w:t>
            </w:r>
          </w:p>
        </w:tc>
      </w:tr>
      <w:tr w:rsidR="00896AA1" w:rsidRPr="00896AA1" w:rsidTr="00896AA1">
        <w:trPr>
          <w:trHeight w:val="300"/>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rPr>
                <w:rFonts w:ascii="Arial" w:hAnsi="Arial" w:cs="Arial"/>
                <w:b/>
                <w:bCs/>
                <w:color w:val="000000"/>
                <w:sz w:val="18"/>
                <w:szCs w:val="18"/>
              </w:rPr>
            </w:pPr>
            <w:r w:rsidRPr="00896AA1">
              <w:rPr>
                <w:rFonts w:ascii="Arial" w:hAnsi="Arial" w:cs="Arial"/>
                <w:b/>
                <w:bCs/>
                <w:color w:val="000000"/>
                <w:sz w:val="18"/>
                <w:szCs w:val="18"/>
              </w:rPr>
              <w:t>Produkt</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Licence typ</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Počet uživatelů/ procesorů</w:t>
            </w:r>
          </w:p>
        </w:tc>
        <w:tc>
          <w:tcPr>
            <w:tcW w:w="15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Licence</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CSI</w:t>
            </w:r>
          </w:p>
        </w:tc>
        <w:tc>
          <w:tcPr>
            <w:tcW w:w="1200" w:type="dxa"/>
            <w:tcBorders>
              <w:top w:val="single" w:sz="8" w:space="0" w:color="auto"/>
              <w:left w:val="nil"/>
              <w:bottom w:val="nil"/>
              <w:right w:val="single" w:sz="8" w:space="0" w:color="auto"/>
            </w:tcBorders>
            <w:shd w:val="clear" w:color="auto" w:fill="auto"/>
            <w:vAlign w:val="bottom"/>
            <w:hideMark/>
          </w:tcPr>
          <w:p w:rsidR="00896AA1" w:rsidRPr="00896AA1" w:rsidRDefault="00896AA1" w:rsidP="00896AA1">
            <w:pPr>
              <w:jc w:val="center"/>
              <w:rPr>
                <w:rFonts w:ascii="Calibri" w:hAnsi="Calibri"/>
                <w:color w:val="000000"/>
              </w:rPr>
            </w:pPr>
            <w:r w:rsidRPr="00896AA1">
              <w:rPr>
                <w:rFonts w:ascii="Calibri" w:hAnsi="Calibri"/>
                <w:color w:val="000000"/>
                <w:sz w:val="22"/>
                <w:szCs w:val="22"/>
              </w:rPr>
              <w:t> </w:t>
            </w:r>
          </w:p>
        </w:tc>
      </w:tr>
      <w:tr w:rsidR="00896AA1" w:rsidRPr="00896AA1" w:rsidTr="00896AA1">
        <w:trPr>
          <w:trHeight w:val="510"/>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200" w:type="dxa"/>
            <w:tcBorders>
              <w:top w:val="nil"/>
              <w:left w:val="nil"/>
              <w:bottom w:val="single" w:sz="8" w:space="0" w:color="auto"/>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Cena v CZK bez DPH</w:t>
            </w:r>
          </w:p>
        </w:tc>
      </w:tr>
      <w:tr w:rsidR="00896AA1" w:rsidRPr="00896AA1" w:rsidTr="00896AA1">
        <w:trPr>
          <w:trHeight w:val="315"/>
        </w:trPr>
        <w:tc>
          <w:tcPr>
            <w:tcW w:w="126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96AA1" w:rsidRPr="00896AA1" w:rsidRDefault="00896AA1" w:rsidP="00896AA1">
            <w:pPr>
              <w:rPr>
                <w:rFonts w:ascii="Arial" w:hAnsi="Arial" w:cs="Arial"/>
                <w:b/>
                <w:bCs/>
                <w:color w:val="000000"/>
                <w:sz w:val="20"/>
                <w:szCs w:val="20"/>
              </w:rPr>
            </w:pPr>
            <w:r w:rsidRPr="00896AA1">
              <w:rPr>
                <w:rFonts w:ascii="Arial" w:hAnsi="Arial" w:cs="Arial"/>
                <w:b/>
                <w:bCs/>
                <w:color w:val="000000"/>
                <w:sz w:val="20"/>
                <w:szCs w:val="20"/>
              </w:rPr>
              <w:t xml:space="preserve">Kontrakt č. 2088598 (Support od </w:t>
            </w:r>
            <w:proofErr w:type="gramStart"/>
            <w:r w:rsidRPr="00896AA1">
              <w:rPr>
                <w:rFonts w:ascii="Arial" w:hAnsi="Arial" w:cs="Arial"/>
                <w:b/>
                <w:bCs/>
                <w:color w:val="000000"/>
                <w:sz w:val="20"/>
                <w:szCs w:val="20"/>
              </w:rPr>
              <w:t>31.12.2017</w:t>
            </w:r>
            <w:proofErr w:type="gramEnd"/>
            <w:r w:rsidRPr="00896AA1">
              <w:rPr>
                <w:rFonts w:ascii="Arial" w:hAnsi="Arial" w:cs="Arial"/>
                <w:b/>
                <w:bCs/>
                <w:color w:val="000000"/>
                <w:sz w:val="20"/>
                <w:szCs w:val="20"/>
              </w:rPr>
              <w:t xml:space="preserve"> do 30.12.2018) </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Partitioning</w:t>
            </w:r>
            <w:proofErr w:type="spellEnd"/>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8</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15297986</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322473,02</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Oracle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Database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Enterprise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Edition</w:t>
            </w:r>
            <w:proofErr w:type="spellEnd"/>
            <w:r w:rsidRPr="00896AA1">
              <w:rPr>
                <w:rFonts w:ascii="Arial" w:hAnsi="Arial" w:cs="Arial"/>
                <w:color w:val="000000"/>
                <w:sz w:val="20"/>
                <w:szCs w:val="20"/>
              </w:rPr>
              <w:t xml:space="preserve">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4</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14283804</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1017390,94</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 xml:space="preserve">Internet </w:t>
            </w:r>
            <w:proofErr w:type="spellStart"/>
            <w:r w:rsidRPr="00896AA1">
              <w:rPr>
                <w:rFonts w:ascii="Arial" w:hAnsi="Arial" w:cs="Arial"/>
                <w:color w:val="000000"/>
                <w:sz w:val="20"/>
                <w:szCs w:val="20"/>
              </w:rPr>
              <w:t>Application</w:t>
            </w:r>
            <w:proofErr w:type="spellEnd"/>
            <w:r w:rsidRPr="00896AA1">
              <w:rPr>
                <w:rFonts w:ascii="Arial" w:hAnsi="Arial" w:cs="Arial"/>
                <w:color w:val="000000"/>
                <w:sz w:val="20"/>
                <w:szCs w:val="20"/>
              </w:rPr>
              <w:t xml:space="preserve"> Server </w:t>
            </w:r>
            <w:proofErr w:type="spellStart"/>
            <w:r w:rsidRPr="00896AA1">
              <w:rPr>
                <w:rFonts w:ascii="Arial" w:hAnsi="Arial" w:cs="Arial"/>
                <w:color w:val="000000"/>
                <w:sz w:val="20"/>
                <w:szCs w:val="20"/>
              </w:rPr>
              <w:t>Enterprise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Edition</w:t>
            </w:r>
            <w:proofErr w:type="spellEnd"/>
            <w:r w:rsidRPr="00896AA1">
              <w:rPr>
                <w:rFonts w:ascii="Arial" w:hAnsi="Arial" w:cs="Arial"/>
                <w:color w:val="000000"/>
                <w:sz w:val="20"/>
                <w:szCs w:val="20"/>
              </w:rPr>
              <w:t xml:space="preserve">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NU+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860</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14283804</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1093616,11</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 xml:space="preserve">Internet </w:t>
            </w:r>
            <w:proofErr w:type="spellStart"/>
            <w:r w:rsidRPr="00896AA1">
              <w:rPr>
                <w:rFonts w:ascii="Arial" w:hAnsi="Arial" w:cs="Arial"/>
                <w:color w:val="000000"/>
                <w:sz w:val="20"/>
                <w:szCs w:val="20"/>
              </w:rPr>
              <w:t>Application</w:t>
            </w:r>
            <w:proofErr w:type="spellEnd"/>
            <w:r w:rsidRPr="00896AA1">
              <w:rPr>
                <w:rFonts w:ascii="Arial" w:hAnsi="Arial" w:cs="Arial"/>
                <w:color w:val="000000"/>
                <w:sz w:val="20"/>
                <w:szCs w:val="20"/>
              </w:rPr>
              <w:t xml:space="preserve"> Server </w:t>
            </w:r>
            <w:proofErr w:type="spellStart"/>
            <w:r w:rsidRPr="00896AA1">
              <w:rPr>
                <w:rFonts w:ascii="Arial" w:hAnsi="Arial" w:cs="Arial"/>
                <w:color w:val="000000"/>
                <w:sz w:val="20"/>
                <w:szCs w:val="20"/>
              </w:rPr>
              <w:t>Enterprise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Edition</w:t>
            </w:r>
            <w:proofErr w:type="spellEnd"/>
            <w:r w:rsidRPr="00896AA1">
              <w:rPr>
                <w:rFonts w:ascii="Arial" w:hAnsi="Arial" w:cs="Arial"/>
                <w:color w:val="000000"/>
                <w:sz w:val="20"/>
                <w:szCs w:val="20"/>
              </w:rPr>
              <w:t xml:space="preserve">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NU+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480</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14283804</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610390,38</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 xml:space="preserve">Internet </w:t>
            </w:r>
            <w:proofErr w:type="spellStart"/>
            <w:r w:rsidRPr="00896AA1">
              <w:rPr>
                <w:rFonts w:ascii="Arial" w:hAnsi="Arial" w:cs="Arial"/>
                <w:color w:val="000000"/>
                <w:sz w:val="20"/>
                <w:szCs w:val="20"/>
              </w:rPr>
              <w:t>Application</w:t>
            </w:r>
            <w:proofErr w:type="spellEnd"/>
            <w:r w:rsidRPr="00896AA1">
              <w:rPr>
                <w:rFonts w:ascii="Arial" w:hAnsi="Arial" w:cs="Arial"/>
                <w:color w:val="000000"/>
                <w:sz w:val="20"/>
                <w:szCs w:val="20"/>
              </w:rPr>
              <w:t xml:space="preserve"> Server </w:t>
            </w:r>
            <w:proofErr w:type="spellStart"/>
            <w:r w:rsidRPr="00896AA1">
              <w:rPr>
                <w:rFonts w:ascii="Arial" w:hAnsi="Arial" w:cs="Arial"/>
                <w:color w:val="000000"/>
                <w:sz w:val="20"/>
                <w:szCs w:val="20"/>
              </w:rPr>
              <w:t>Enterprise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Edition</w:t>
            </w:r>
            <w:proofErr w:type="spellEnd"/>
            <w:r w:rsidRPr="00896AA1">
              <w:rPr>
                <w:rFonts w:ascii="Arial" w:hAnsi="Arial" w:cs="Arial"/>
                <w:color w:val="000000"/>
                <w:sz w:val="20"/>
                <w:szCs w:val="20"/>
              </w:rPr>
              <w:t xml:space="preserve">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NU+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36</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14283804</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45779,22</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Discoverer</w:t>
            </w:r>
            <w:proofErr w:type="spellEnd"/>
            <w:r w:rsidRPr="00896AA1">
              <w:rPr>
                <w:rFonts w:ascii="Arial" w:hAnsi="Arial" w:cs="Arial"/>
                <w:color w:val="000000"/>
                <w:sz w:val="20"/>
                <w:szCs w:val="20"/>
              </w:rPr>
              <w:t xml:space="preserve"> Desktop </w:t>
            </w:r>
            <w:proofErr w:type="spellStart"/>
            <w:r w:rsidRPr="00896AA1">
              <w:rPr>
                <w:rFonts w:ascii="Arial" w:hAnsi="Arial" w:cs="Arial"/>
                <w:color w:val="000000"/>
                <w:sz w:val="20"/>
                <w:szCs w:val="20"/>
              </w:rPr>
              <w:t>Edition</w:t>
            </w:r>
            <w:proofErr w:type="spellEnd"/>
            <w:r w:rsidRPr="00896AA1">
              <w:rPr>
                <w:rFonts w:ascii="Arial" w:hAnsi="Arial" w:cs="Arial"/>
                <w:color w:val="000000"/>
                <w:sz w:val="20"/>
                <w:szCs w:val="20"/>
              </w:rPr>
              <w:t xml:space="preserve">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NU+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180</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14283804</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909923,62</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Oracle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Database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Enterprise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Edition</w:t>
            </w:r>
            <w:proofErr w:type="spellEnd"/>
            <w:r w:rsidRPr="00896AA1">
              <w:rPr>
                <w:rFonts w:ascii="Arial" w:hAnsi="Arial" w:cs="Arial"/>
                <w:color w:val="000000"/>
                <w:sz w:val="20"/>
                <w:szCs w:val="20"/>
              </w:rPr>
              <w:t xml:space="preserve">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4</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14283804</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898784,93</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 xml:space="preserve">Internet Developer </w:t>
            </w:r>
            <w:proofErr w:type="spellStart"/>
            <w:r w:rsidRPr="00896AA1">
              <w:rPr>
                <w:rFonts w:ascii="Arial" w:hAnsi="Arial" w:cs="Arial"/>
                <w:color w:val="000000"/>
                <w:sz w:val="20"/>
                <w:szCs w:val="20"/>
              </w:rPr>
              <w:t>Suite</w:t>
            </w:r>
            <w:proofErr w:type="spellEnd"/>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NU+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4</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14283804</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101611,18</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 xml:space="preserve">Internet </w:t>
            </w:r>
            <w:proofErr w:type="spellStart"/>
            <w:r w:rsidRPr="00896AA1">
              <w:rPr>
                <w:rFonts w:ascii="Arial" w:hAnsi="Arial" w:cs="Arial"/>
                <w:color w:val="000000"/>
                <w:sz w:val="20"/>
                <w:szCs w:val="20"/>
              </w:rPr>
              <w:t>Application</w:t>
            </w:r>
            <w:proofErr w:type="spellEnd"/>
            <w:r w:rsidRPr="00896AA1">
              <w:rPr>
                <w:rFonts w:ascii="Arial" w:hAnsi="Arial" w:cs="Arial"/>
                <w:color w:val="000000"/>
                <w:sz w:val="20"/>
                <w:szCs w:val="20"/>
              </w:rPr>
              <w:t xml:space="preserve"> Server Standard </w:t>
            </w:r>
            <w:proofErr w:type="spellStart"/>
            <w:r w:rsidRPr="00896AA1">
              <w:rPr>
                <w:rFonts w:ascii="Arial" w:hAnsi="Arial" w:cs="Arial"/>
                <w:color w:val="000000"/>
                <w:sz w:val="20"/>
                <w:szCs w:val="20"/>
              </w:rPr>
              <w:t>Edition</w:t>
            </w:r>
            <w:proofErr w:type="spellEnd"/>
            <w:r w:rsidRPr="00896AA1">
              <w:rPr>
                <w:rFonts w:ascii="Arial" w:hAnsi="Arial" w:cs="Arial"/>
                <w:color w:val="000000"/>
                <w:sz w:val="20"/>
                <w:szCs w:val="20"/>
              </w:rPr>
              <w:t xml:space="preserve">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4</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14630935</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181274,1</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 xml:space="preserve">Internet </w:t>
            </w:r>
            <w:proofErr w:type="spellStart"/>
            <w:r w:rsidRPr="00896AA1">
              <w:rPr>
                <w:rFonts w:ascii="Arial" w:hAnsi="Arial" w:cs="Arial"/>
                <w:color w:val="000000"/>
                <w:sz w:val="20"/>
                <w:szCs w:val="20"/>
              </w:rPr>
              <w:t>Application</w:t>
            </w:r>
            <w:proofErr w:type="spellEnd"/>
            <w:r w:rsidRPr="00896AA1">
              <w:rPr>
                <w:rFonts w:ascii="Arial" w:hAnsi="Arial" w:cs="Arial"/>
                <w:color w:val="000000"/>
                <w:sz w:val="20"/>
                <w:szCs w:val="20"/>
              </w:rPr>
              <w:t xml:space="preserve"> Server </w:t>
            </w:r>
            <w:proofErr w:type="spellStart"/>
            <w:r w:rsidRPr="00896AA1">
              <w:rPr>
                <w:rFonts w:ascii="Arial" w:hAnsi="Arial" w:cs="Arial"/>
                <w:color w:val="000000"/>
                <w:sz w:val="20"/>
                <w:szCs w:val="20"/>
              </w:rPr>
              <w:t>Enterprise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Edition</w:t>
            </w:r>
            <w:proofErr w:type="spellEnd"/>
            <w:r w:rsidRPr="00896AA1">
              <w:rPr>
                <w:rFonts w:ascii="Arial" w:hAnsi="Arial" w:cs="Arial"/>
                <w:color w:val="000000"/>
                <w:sz w:val="20"/>
                <w:szCs w:val="20"/>
              </w:rPr>
              <w:t xml:space="preserve">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15461244</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63582,5</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 xml:space="preserve">Internet </w:t>
            </w:r>
            <w:proofErr w:type="spellStart"/>
            <w:r w:rsidRPr="00896AA1">
              <w:rPr>
                <w:rFonts w:ascii="Arial" w:hAnsi="Arial" w:cs="Arial"/>
                <w:color w:val="000000"/>
                <w:sz w:val="20"/>
                <w:szCs w:val="20"/>
              </w:rPr>
              <w:t>Application</w:t>
            </w:r>
            <w:proofErr w:type="spellEnd"/>
            <w:r w:rsidRPr="00896AA1">
              <w:rPr>
                <w:rFonts w:ascii="Arial" w:hAnsi="Arial" w:cs="Arial"/>
                <w:color w:val="000000"/>
                <w:sz w:val="20"/>
                <w:szCs w:val="20"/>
              </w:rPr>
              <w:t xml:space="preserve"> Server Standard </w:t>
            </w:r>
            <w:proofErr w:type="spellStart"/>
            <w:r w:rsidRPr="00896AA1">
              <w:rPr>
                <w:rFonts w:ascii="Arial" w:hAnsi="Arial" w:cs="Arial"/>
                <w:color w:val="000000"/>
                <w:sz w:val="20"/>
                <w:szCs w:val="20"/>
              </w:rPr>
              <w:t>Edition</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One</w:t>
            </w:r>
            <w:proofErr w:type="spellEnd"/>
            <w:r w:rsidRPr="00896AA1">
              <w:rPr>
                <w:rFonts w:ascii="Arial" w:hAnsi="Arial" w:cs="Arial"/>
                <w:color w:val="000000"/>
                <w:sz w:val="20"/>
                <w:szCs w:val="20"/>
              </w:rPr>
              <w:t xml:space="preserve">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4</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15461244</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93423,63</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 xml:space="preserve">Internet </w:t>
            </w:r>
            <w:proofErr w:type="spellStart"/>
            <w:r w:rsidRPr="00896AA1">
              <w:rPr>
                <w:rFonts w:ascii="Arial" w:hAnsi="Arial" w:cs="Arial"/>
                <w:color w:val="000000"/>
                <w:sz w:val="20"/>
                <w:szCs w:val="20"/>
              </w:rPr>
              <w:t>Application</w:t>
            </w:r>
            <w:proofErr w:type="spellEnd"/>
            <w:r w:rsidRPr="00896AA1">
              <w:rPr>
                <w:rFonts w:ascii="Arial" w:hAnsi="Arial" w:cs="Arial"/>
                <w:color w:val="000000"/>
                <w:sz w:val="20"/>
                <w:szCs w:val="20"/>
              </w:rPr>
              <w:t xml:space="preserve"> Server Standard </w:t>
            </w:r>
            <w:proofErr w:type="spellStart"/>
            <w:r w:rsidRPr="00896AA1">
              <w:rPr>
                <w:rFonts w:ascii="Arial" w:hAnsi="Arial" w:cs="Arial"/>
                <w:color w:val="000000"/>
                <w:sz w:val="20"/>
                <w:szCs w:val="20"/>
              </w:rPr>
              <w:t>Edition</w:t>
            </w:r>
            <w:proofErr w:type="spellEnd"/>
            <w:r w:rsidRPr="00896AA1">
              <w:rPr>
                <w:rFonts w:ascii="Arial" w:hAnsi="Arial" w:cs="Arial"/>
                <w:color w:val="000000"/>
                <w:sz w:val="20"/>
                <w:szCs w:val="20"/>
              </w:rPr>
              <w:t xml:space="preserve">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4</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15461244</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187034,36</w:t>
            </w: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single" w:sz="8" w:space="0" w:color="auto"/>
            </w:tcBorders>
            <w:shd w:val="clear" w:color="auto" w:fill="auto"/>
            <w:noWrap/>
            <w:vAlign w:val="bottom"/>
            <w:hideMark/>
          </w:tcPr>
          <w:p w:rsidR="00896AA1" w:rsidRPr="00896AA1" w:rsidRDefault="00896AA1" w:rsidP="00896AA1">
            <w:pPr>
              <w:rPr>
                <w:rFonts w:ascii="Calibri" w:hAnsi="Calibri"/>
                <w:color w:val="000000"/>
              </w:rPr>
            </w:pPr>
            <w:r w:rsidRPr="00896AA1">
              <w:rPr>
                <w:rFonts w:ascii="Calibri" w:hAnsi="Calibri"/>
                <w:color w:val="000000"/>
                <w:sz w:val="22"/>
                <w:szCs w:val="22"/>
              </w:rPr>
              <w:t> </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CELKEM</w:t>
            </w:r>
          </w:p>
        </w:tc>
        <w:tc>
          <w:tcPr>
            <w:tcW w:w="1200" w:type="dxa"/>
            <w:tcBorders>
              <w:top w:val="nil"/>
              <w:left w:val="nil"/>
              <w:bottom w:val="single" w:sz="8" w:space="0" w:color="auto"/>
              <w:right w:val="single" w:sz="8" w:space="0" w:color="auto"/>
            </w:tcBorders>
            <w:shd w:val="clear" w:color="000000" w:fill="92D050"/>
            <w:noWrap/>
            <w:vAlign w:val="bottom"/>
            <w:hideMark/>
          </w:tcPr>
          <w:p w:rsidR="00896AA1" w:rsidRPr="00896AA1" w:rsidRDefault="00DD22CD" w:rsidP="00C67606">
            <w:pPr>
              <w:jc w:val="right"/>
              <w:rPr>
                <w:rFonts w:ascii="Calibri" w:hAnsi="Calibri"/>
                <w:color w:val="000000"/>
              </w:rPr>
            </w:pPr>
            <w:r>
              <w:rPr>
                <w:rFonts w:ascii="Calibri" w:hAnsi="Calibri"/>
                <w:color w:val="000000"/>
                <w:sz w:val="22"/>
                <w:szCs w:val="22"/>
              </w:rPr>
              <w:t>5525283,99</w:t>
            </w: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rPr>
                <w:rFonts w:ascii="Arial" w:hAnsi="Arial" w:cs="Arial"/>
                <w:b/>
                <w:bCs/>
                <w:color w:val="000000"/>
                <w:sz w:val="18"/>
                <w:szCs w:val="18"/>
              </w:rPr>
            </w:pPr>
            <w:r w:rsidRPr="00896AA1">
              <w:rPr>
                <w:rFonts w:ascii="Arial" w:hAnsi="Arial" w:cs="Arial"/>
                <w:b/>
                <w:bCs/>
                <w:color w:val="000000"/>
                <w:sz w:val="18"/>
                <w:szCs w:val="18"/>
              </w:rPr>
              <w:t>Produkt</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Licence typ</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Počet uživatelů/ procesorů</w:t>
            </w:r>
          </w:p>
        </w:tc>
        <w:tc>
          <w:tcPr>
            <w:tcW w:w="15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Licence</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CSI</w:t>
            </w:r>
          </w:p>
        </w:tc>
        <w:tc>
          <w:tcPr>
            <w:tcW w:w="1200" w:type="dxa"/>
            <w:tcBorders>
              <w:top w:val="single" w:sz="8" w:space="0" w:color="auto"/>
              <w:left w:val="nil"/>
              <w:bottom w:val="nil"/>
              <w:right w:val="single" w:sz="8" w:space="0" w:color="auto"/>
            </w:tcBorders>
            <w:shd w:val="clear" w:color="auto" w:fill="auto"/>
            <w:vAlign w:val="bottom"/>
            <w:hideMark/>
          </w:tcPr>
          <w:p w:rsidR="00896AA1" w:rsidRPr="00896AA1" w:rsidRDefault="00896AA1" w:rsidP="00896AA1">
            <w:pPr>
              <w:jc w:val="center"/>
              <w:rPr>
                <w:rFonts w:ascii="Calibri" w:hAnsi="Calibri"/>
                <w:color w:val="000000"/>
              </w:rPr>
            </w:pPr>
            <w:r w:rsidRPr="00896AA1">
              <w:rPr>
                <w:rFonts w:ascii="Calibri" w:hAnsi="Calibri"/>
                <w:color w:val="000000"/>
                <w:sz w:val="22"/>
                <w:szCs w:val="22"/>
              </w:rPr>
              <w:t> </w:t>
            </w:r>
          </w:p>
        </w:tc>
      </w:tr>
      <w:tr w:rsidR="00896AA1" w:rsidRPr="00896AA1" w:rsidTr="00896AA1">
        <w:trPr>
          <w:trHeight w:val="510"/>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200" w:type="dxa"/>
            <w:tcBorders>
              <w:top w:val="nil"/>
              <w:left w:val="nil"/>
              <w:bottom w:val="single" w:sz="8" w:space="0" w:color="auto"/>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Cena v CZK bez DPH</w:t>
            </w:r>
          </w:p>
        </w:tc>
      </w:tr>
      <w:tr w:rsidR="00896AA1" w:rsidRPr="00896AA1" w:rsidTr="00896AA1">
        <w:trPr>
          <w:trHeight w:val="315"/>
        </w:trPr>
        <w:tc>
          <w:tcPr>
            <w:tcW w:w="126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96AA1" w:rsidRPr="00896AA1" w:rsidRDefault="00896AA1" w:rsidP="00896AA1">
            <w:pPr>
              <w:rPr>
                <w:rFonts w:ascii="Arial" w:hAnsi="Arial" w:cs="Arial"/>
                <w:b/>
                <w:bCs/>
                <w:color w:val="000000"/>
                <w:sz w:val="20"/>
                <w:szCs w:val="20"/>
              </w:rPr>
            </w:pPr>
            <w:r w:rsidRPr="00896AA1">
              <w:rPr>
                <w:rFonts w:ascii="Arial" w:hAnsi="Arial" w:cs="Arial"/>
                <w:b/>
                <w:bCs/>
                <w:color w:val="000000"/>
                <w:sz w:val="20"/>
                <w:szCs w:val="20"/>
              </w:rPr>
              <w:t xml:space="preserve">Kontrakt č. 14303432 (Support od </w:t>
            </w:r>
            <w:proofErr w:type="gramStart"/>
            <w:r w:rsidRPr="00896AA1">
              <w:rPr>
                <w:rFonts w:ascii="Arial" w:hAnsi="Arial" w:cs="Arial"/>
                <w:b/>
                <w:bCs/>
                <w:color w:val="000000"/>
                <w:sz w:val="20"/>
                <w:szCs w:val="20"/>
              </w:rPr>
              <w:t>31.12.2017</w:t>
            </w:r>
            <w:proofErr w:type="gramEnd"/>
            <w:r w:rsidRPr="00896AA1">
              <w:rPr>
                <w:rFonts w:ascii="Arial" w:hAnsi="Arial" w:cs="Arial"/>
                <w:b/>
                <w:bCs/>
                <w:color w:val="000000"/>
                <w:sz w:val="20"/>
                <w:szCs w:val="20"/>
              </w:rPr>
              <w:t xml:space="preserve"> do 30.12.2018) </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Oracle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Database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Enterprise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Edition</w:t>
            </w:r>
            <w:proofErr w:type="spellEnd"/>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32</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21096683</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6021327,04</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Diagnostics</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Pack</w:t>
            </w:r>
            <w:proofErr w:type="spellEnd"/>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16</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21096683</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344445,27</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Tuning</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Pack</w:t>
            </w:r>
            <w:proofErr w:type="spellEnd"/>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16</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21096683</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DD22CD">
              <w:rPr>
                <w:rFonts w:ascii="Calibri" w:hAnsi="Calibri"/>
                <w:color w:val="000000"/>
                <w:sz w:val="22"/>
                <w:szCs w:val="22"/>
              </w:rPr>
              <w:t>271175,53</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Database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Lifecycle</w:t>
            </w:r>
            <w:proofErr w:type="spellEnd"/>
            <w:r w:rsidRPr="00896AA1">
              <w:rPr>
                <w:rFonts w:ascii="Arial" w:hAnsi="Arial" w:cs="Arial"/>
                <w:color w:val="000000"/>
                <w:sz w:val="20"/>
                <w:szCs w:val="20"/>
              </w:rPr>
              <w:t xml:space="preserve"> Management </w:t>
            </w:r>
            <w:proofErr w:type="spellStart"/>
            <w:r w:rsidRPr="00896AA1">
              <w:rPr>
                <w:rFonts w:ascii="Arial" w:hAnsi="Arial" w:cs="Arial"/>
                <w:color w:val="000000"/>
                <w:sz w:val="20"/>
                <w:szCs w:val="20"/>
              </w:rPr>
              <w:t>Pack</w:t>
            </w:r>
            <w:proofErr w:type="spellEnd"/>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21096683</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6D7A41">
              <w:rPr>
                <w:rFonts w:ascii="Calibri" w:hAnsi="Calibri"/>
                <w:color w:val="000000"/>
                <w:sz w:val="22"/>
                <w:szCs w:val="22"/>
              </w:rPr>
              <w:t>116949,44</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Partitioning</w:t>
            </w:r>
            <w:proofErr w:type="spellEnd"/>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10</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21096683</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6D7A41">
              <w:rPr>
                <w:rFonts w:ascii="Calibri" w:hAnsi="Calibri"/>
                <w:color w:val="000000"/>
                <w:sz w:val="22"/>
                <w:szCs w:val="22"/>
              </w:rPr>
              <w:t>484310,06</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 xml:space="preserve">OLAP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21096683</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6D7A41">
              <w:rPr>
                <w:rFonts w:ascii="Calibri" w:hAnsi="Calibri"/>
                <w:color w:val="000000"/>
                <w:sz w:val="22"/>
                <w:szCs w:val="22"/>
              </w:rPr>
              <w:t>400435,95</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 xml:space="preserve">Real </w:t>
            </w:r>
            <w:proofErr w:type="spellStart"/>
            <w:r w:rsidRPr="00896AA1">
              <w:rPr>
                <w:rFonts w:ascii="Arial" w:hAnsi="Arial" w:cs="Arial"/>
                <w:color w:val="000000"/>
                <w:sz w:val="20"/>
                <w:szCs w:val="20"/>
              </w:rPr>
              <w:t>Application</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Clusters</w:t>
            </w:r>
            <w:proofErr w:type="spellEnd"/>
            <w:r w:rsidRPr="00896AA1">
              <w:rPr>
                <w:rFonts w:ascii="Arial" w:hAnsi="Arial" w:cs="Arial"/>
                <w:color w:val="000000"/>
                <w:sz w:val="20"/>
                <w:szCs w:val="20"/>
              </w:rPr>
              <w:t xml:space="preserve">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3</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21096683</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6D7A41">
              <w:rPr>
                <w:rFonts w:ascii="Calibri" w:hAnsi="Calibri"/>
                <w:color w:val="000000"/>
                <w:sz w:val="22"/>
                <w:szCs w:val="22"/>
              </w:rPr>
              <w:t>225934,03</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Database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Vault</w:t>
            </w:r>
            <w:proofErr w:type="spellEnd"/>
            <w:r w:rsidRPr="00896AA1">
              <w:rPr>
                <w:rFonts w:ascii="Arial" w:hAnsi="Arial" w:cs="Arial"/>
                <w:color w:val="000000"/>
                <w:sz w:val="20"/>
                <w:szCs w:val="20"/>
              </w:rPr>
              <w:t xml:space="preserve">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21096683</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6D7A41">
              <w:rPr>
                <w:rFonts w:ascii="Calibri" w:hAnsi="Calibri"/>
                <w:color w:val="000000"/>
                <w:sz w:val="22"/>
                <w:szCs w:val="22"/>
              </w:rPr>
              <w:t>95773,94</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Advanced</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Security</w:t>
            </w:r>
            <w:proofErr w:type="spellEnd"/>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21096683</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6D7A41">
              <w:rPr>
                <w:rFonts w:ascii="Calibri" w:hAnsi="Calibri"/>
                <w:color w:val="000000"/>
                <w:sz w:val="22"/>
                <w:szCs w:val="22"/>
              </w:rPr>
              <w:t>87799,25</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 xml:space="preserve">Internet </w:t>
            </w:r>
            <w:proofErr w:type="spellStart"/>
            <w:r w:rsidRPr="00896AA1">
              <w:rPr>
                <w:rFonts w:ascii="Arial" w:hAnsi="Arial" w:cs="Arial"/>
                <w:color w:val="000000"/>
                <w:sz w:val="20"/>
                <w:szCs w:val="20"/>
              </w:rPr>
              <w:t>Application</w:t>
            </w:r>
            <w:proofErr w:type="spellEnd"/>
            <w:r w:rsidRPr="00896AA1">
              <w:rPr>
                <w:rFonts w:ascii="Arial" w:hAnsi="Arial" w:cs="Arial"/>
                <w:color w:val="000000"/>
                <w:sz w:val="20"/>
                <w:szCs w:val="20"/>
              </w:rPr>
              <w:t xml:space="preserve"> Server </w:t>
            </w:r>
            <w:proofErr w:type="spellStart"/>
            <w:r w:rsidRPr="00896AA1">
              <w:rPr>
                <w:rFonts w:ascii="Arial" w:hAnsi="Arial" w:cs="Arial"/>
                <w:color w:val="000000"/>
                <w:sz w:val="20"/>
                <w:szCs w:val="20"/>
              </w:rPr>
              <w:t>Enterprise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Edition</w:t>
            </w:r>
            <w:proofErr w:type="spellEnd"/>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6</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21096683</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6D7A41">
              <w:rPr>
                <w:rFonts w:ascii="Calibri" w:hAnsi="Calibri"/>
                <w:color w:val="000000"/>
                <w:sz w:val="22"/>
                <w:szCs w:val="22"/>
              </w:rPr>
              <w:t>376555,86</w:t>
            </w: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CELKEM</w:t>
            </w:r>
          </w:p>
        </w:tc>
        <w:tc>
          <w:tcPr>
            <w:tcW w:w="1200" w:type="dxa"/>
            <w:tcBorders>
              <w:top w:val="nil"/>
              <w:left w:val="nil"/>
              <w:bottom w:val="single" w:sz="8" w:space="0" w:color="auto"/>
              <w:right w:val="single" w:sz="8" w:space="0" w:color="auto"/>
            </w:tcBorders>
            <w:shd w:val="clear" w:color="000000" w:fill="92D050"/>
            <w:noWrap/>
            <w:vAlign w:val="bottom"/>
            <w:hideMark/>
          </w:tcPr>
          <w:p w:rsidR="00896AA1" w:rsidRPr="00896AA1" w:rsidRDefault="006D7A41" w:rsidP="00C67606">
            <w:pPr>
              <w:jc w:val="right"/>
              <w:rPr>
                <w:rFonts w:ascii="Calibri" w:hAnsi="Calibri"/>
                <w:color w:val="000000"/>
              </w:rPr>
            </w:pPr>
            <w:r>
              <w:rPr>
                <w:rFonts w:ascii="Calibri" w:hAnsi="Calibri"/>
                <w:color w:val="000000"/>
                <w:sz w:val="22"/>
                <w:szCs w:val="22"/>
              </w:rPr>
              <w:t>8424706,37</w:t>
            </w: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rPr>
                <w:rFonts w:ascii="Arial" w:hAnsi="Arial" w:cs="Arial"/>
                <w:b/>
                <w:bCs/>
                <w:color w:val="000000"/>
                <w:sz w:val="18"/>
                <w:szCs w:val="18"/>
              </w:rPr>
            </w:pPr>
            <w:r w:rsidRPr="00896AA1">
              <w:rPr>
                <w:rFonts w:ascii="Arial" w:hAnsi="Arial" w:cs="Arial"/>
                <w:b/>
                <w:bCs/>
                <w:color w:val="000000"/>
                <w:sz w:val="18"/>
                <w:szCs w:val="18"/>
              </w:rPr>
              <w:t>Produkt</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Licence typ</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Počet uživatelů/ procesorů</w:t>
            </w:r>
          </w:p>
        </w:tc>
        <w:tc>
          <w:tcPr>
            <w:tcW w:w="15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Licence</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CSI</w:t>
            </w:r>
          </w:p>
        </w:tc>
        <w:tc>
          <w:tcPr>
            <w:tcW w:w="1200" w:type="dxa"/>
            <w:tcBorders>
              <w:top w:val="single" w:sz="8" w:space="0" w:color="auto"/>
              <w:left w:val="nil"/>
              <w:bottom w:val="nil"/>
              <w:right w:val="single" w:sz="8" w:space="0" w:color="auto"/>
            </w:tcBorders>
            <w:shd w:val="clear" w:color="auto" w:fill="auto"/>
            <w:vAlign w:val="bottom"/>
            <w:hideMark/>
          </w:tcPr>
          <w:p w:rsidR="00896AA1" w:rsidRPr="00896AA1" w:rsidRDefault="00896AA1" w:rsidP="00896AA1">
            <w:pPr>
              <w:jc w:val="center"/>
              <w:rPr>
                <w:rFonts w:ascii="Calibri" w:hAnsi="Calibri"/>
                <w:color w:val="000000"/>
              </w:rPr>
            </w:pPr>
            <w:r w:rsidRPr="00896AA1">
              <w:rPr>
                <w:rFonts w:ascii="Calibri" w:hAnsi="Calibri"/>
                <w:color w:val="000000"/>
                <w:sz w:val="22"/>
                <w:szCs w:val="22"/>
              </w:rPr>
              <w:t> </w:t>
            </w:r>
          </w:p>
        </w:tc>
      </w:tr>
      <w:tr w:rsidR="00896AA1" w:rsidRPr="00896AA1" w:rsidTr="00896AA1">
        <w:trPr>
          <w:trHeight w:val="510"/>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200" w:type="dxa"/>
            <w:tcBorders>
              <w:top w:val="nil"/>
              <w:left w:val="nil"/>
              <w:bottom w:val="single" w:sz="8" w:space="0" w:color="auto"/>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Cena v CZK bez DPH</w:t>
            </w:r>
          </w:p>
        </w:tc>
      </w:tr>
      <w:tr w:rsidR="00896AA1" w:rsidRPr="00896AA1" w:rsidTr="00896AA1">
        <w:trPr>
          <w:trHeight w:val="315"/>
        </w:trPr>
        <w:tc>
          <w:tcPr>
            <w:tcW w:w="126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96AA1" w:rsidRPr="00896AA1" w:rsidRDefault="00896AA1" w:rsidP="00896AA1">
            <w:pPr>
              <w:rPr>
                <w:rFonts w:ascii="Arial" w:hAnsi="Arial" w:cs="Arial"/>
                <w:b/>
                <w:bCs/>
                <w:color w:val="000000"/>
                <w:sz w:val="20"/>
                <w:szCs w:val="20"/>
              </w:rPr>
            </w:pPr>
            <w:r w:rsidRPr="00896AA1">
              <w:rPr>
                <w:rFonts w:ascii="Arial" w:hAnsi="Arial" w:cs="Arial"/>
                <w:b/>
                <w:bCs/>
                <w:color w:val="000000"/>
                <w:sz w:val="20"/>
                <w:szCs w:val="20"/>
              </w:rPr>
              <w:t xml:space="preserve">Kontrakt č. 2088598 (Support od </w:t>
            </w:r>
            <w:proofErr w:type="gramStart"/>
            <w:r w:rsidRPr="00896AA1">
              <w:rPr>
                <w:rFonts w:ascii="Arial" w:hAnsi="Arial" w:cs="Arial"/>
                <w:b/>
                <w:bCs/>
                <w:color w:val="000000"/>
                <w:sz w:val="20"/>
                <w:szCs w:val="20"/>
              </w:rPr>
              <w:t>31.12.2017</w:t>
            </w:r>
            <w:proofErr w:type="gramEnd"/>
            <w:r w:rsidRPr="00896AA1">
              <w:rPr>
                <w:rFonts w:ascii="Arial" w:hAnsi="Arial" w:cs="Arial"/>
                <w:b/>
                <w:bCs/>
                <w:color w:val="000000"/>
                <w:sz w:val="20"/>
                <w:szCs w:val="20"/>
              </w:rPr>
              <w:t xml:space="preserve"> do 30.12.2018) ROS</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Oracle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Database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Enterprise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Edition</w:t>
            </w:r>
            <w:proofErr w:type="spellEnd"/>
            <w:r w:rsidRPr="00896AA1">
              <w:rPr>
                <w:rFonts w:ascii="Arial" w:hAnsi="Arial" w:cs="Arial"/>
                <w:color w:val="000000"/>
                <w:sz w:val="20"/>
                <w:szCs w:val="20"/>
              </w:rPr>
              <w:t xml:space="preserve">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24</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17909040</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6D7A41">
              <w:rPr>
                <w:rFonts w:ascii="Calibri" w:hAnsi="Calibri"/>
                <w:color w:val="000000"/>
                <w:sz w:val="22"/>
                <w:szCs w:val="22"/>
              </w:rPr>
              <w:t>2640420,68</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Oracle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Active</w:t>
            </w:r>
            <w:proofErr w:type="spellEnd"/>
            <w:r w:rsidRPr="00896AA1">
              <w:rPr>
                <w:rFonts w:ascii="Arial" w:hAnsi="Arial" w:cs="Arial"/>
                <w:color w:val="000000"/>
                <w:sz w:val="20"/>
                <w:szCs w:val="20"/>
              </w:rPr>
              <w:t xml:space="preserve"> Data </w:t>
            </w:r>
            <w:proofErr w:type="spellStart"/>
            <w:r w:rsidRPr="00896AA1">
              <w:rPr>
                <w:rFonts w:ascii="Arial" w:hAnsi="Arial" w:cs="Arial"/>
                <w:color w:val="000000"/>
                <w:sz w:val="20"/>
                <w:szCs w:val="20"/>
              </w:rPr>
              <w:t>Guard</w:t>
            </w:r>
            <w:proofErr w:type="spellEnd"/>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16</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17909040</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6D7A41">
              <w:rPr>
                <w:rFonts w:ascii="Calibri" w:hAnsi="Calibri"/>
                <w:color w:val="000000"/>
                <w:sz w:val="22"/>
                <w:szCs w:val="22"/>
              </w:rPr>
              <w:t>370585,34</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Diagnostics</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Pack</w:t>
            </w:r>
            <w:proofErr w:type="spellEnd"/>
            <w:r w:rsidRPr="00896AA1">
              <w:rPr>
                <w:rFonts w:ascii="Arial" w:hAnsi="Arial" w:cs="Arial"/>
                <w:color w:val="000000"/>
                <w:sz w:val="20"/>
                <w:szCs w:val="20"/>
              </w:rPr>
              <w:t xml:space="preserve"> </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24</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17909040</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6D7A41">
              <w:rPr>
                <w:rFonts w:ascii="Calibri" w:hAnsi="Calibri"/>
                <w:color w:val="000000"/>
                <w:sz w:val="22"/>
                <w:szCs w:val="22"/>
              </w:rPr>
              <w:t>277939,02</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 xml:space="preserve">Real </w:t>
            </w:r>
            <w:proofErr w:type="spellStart"/>
            <w:r w:rsidRPr="00896AA1">
              <w:rPr>
                <w:rFonts w:ascii="Arial" w:hAnsi="Arial" w:cs="Arial"/>
                <w:color w:val="000000"/>
                <w:sz w:val="20"/>
                <w:szCs w:val="20"/>
              </w:rPr>
              <w:t>Application</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Clusters</w:t>
            </w:r>
            <w:proofErr w:type="spellEnd"/>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16</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17909040</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6D7A41">
              <w:rPr>
                <w:rFonts w:ascii="Calibri" w:hAnsi="Calibri"/>
                <w:color w:val="000000"/>
                <w:sz w:val="22"/>
                <w:szCs w:val="22"/>
              </w:rPr>
              <w:t>852346,3</w:t>
            </w: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CELKEM</w:t>
            </w:r>
          </w:p>
        </w:tc>
        <w:tc>
          <w:tcPr>
            <w:tcW w:w="1200" w:type="dxa"/>
            <w:tcBorders>
              <w:top w:val="nil"/>
              <w:left w:val="nil"/>
              <w:bottom w:val="single" w:sz="8" w:space="0" w:color="auto"/>
              <w:right w:val="single" w:sz="8" w:space="0" w:color="auto"/>
            </w:tcBorders>
            <w:shd w:val="clear" w:color="000000" w:fill="92D050"/>
            <w:noWrap/>
            <w:vAlign w:val="bottom"/>
            <w:hideMark/>
          </w:tcPr>
          <w:p w:rsidR="00896AA1" w:rsidRPr="00896AA1" w:rsidRDefault="006D7A41" w:rsidP="00896AA1">
            <w:pPr>
              <w:jc w:val="right"/>
              <w:rPr>
                <w:rFonts w:ascii="Calibri" w:hAnsi="Calibri"/>
                <w:color w:val="000000"/>
              </w:rPr>
            </w:pPr>
            <w:r>
              <w:rPr>
                <w:rFonts w:ascii="Calibri" w:hAnsi="Calibri"/>
                <w:color w:val="000000"/>
                <w:sz w:val="22"/>
                <w:szCs w:val="22"/>
              </w:rPr>
              <w:t>4141291,34</w:t>
            </w: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rPr>
                <w:rFonts w:ascii="Arial" w:hAnsi="Arial" w:cs="Arial"/>
                <w:b/>
                <w:bCs/>
                <w:color w:val="000000"/>
                <w:sz w:val="18"/>
                <w:szCs w:val="18"/>
              </w:rPr>
            </w:pPr>
            <w:r w:rsidRPr="00896AA1">
              <w:rPr>
                <w:rFonts w:ascii="Arial" w:hAnsi="Arial" w:cs="Arial"/>
                <w:b/>
                <w:bCs/>
                <w:color w:val="000000"/>
                <w:sz w:val="18"/>
                <w:szCs w:val="18"/>
              </w:rPr>
              <w:t>Produkt</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Licence typ</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Počet uživatelů/ procesorů</w:t>
            </w:r>
          </w:p>
        </w:tc>
        <w:tc>
          <w:tcPr>
            <w:tcW w:w="15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Licence</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CSI</w:t>
            </w:r>
          </w:p>
        </w:tc>
        <w:tc>
          <w:tcPr>
            <w:tcW w:w="1200" w:type="dxa"/>
            <w:tcBorders>
              <w:top w:val="single" w:sz="8" w:space="0" w:color="auto"/>
              <w:left w:val="nil"/>
              <w:bottom w:val="nil"/>
              <w:right w:val="single" w:sz="8" w:space="0" w:color="auto"/>
            </w:tcBorders>
            <w:shd w:val="clear" w:color="auto" w:fill="auto"/>
            <w:vAlign w:val="bottom"/>
            <w:hideMark/>
          </w:tcPr>
          <w:p w:rsidR="00896AA1" w:rsidRPr="00896AA1" w:rsidRDefault="00896AA1" w:rsidP="00896AA1">
            <w:pPr>
              <w:jc w:val="center"/>
              <w:rPr>
                <w:rFonts w:ascii="Calibri" w:hAnsi="Calibri"/>
                <w:color w:val="000000"/>
              </w:rPr>
            </w:pPr>
            <w:r w:rsidRPr="00896AA1">
              <w:rPr>
                <w:rFonts w:ascii="Calibri" w:hAnsi="Calibri"/>
                <w:color w:val="000000"/>
                <w:sz w:val="22"/>
                <w:szCs w:val="22"/>
              </w:rPr>
              <w:t> </w:t>
            </w:r>
          </w:p>
        </w:tc>
      </w:tr>
      <w:tr w:rsidR="00896AA1" w:rsidRPr="00896AA1" w:rsidTr="00896AA1">
        <w:trPr>
          <w:trHeight w:val="510"/>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200" w:type="dxa"/>
            <w:tcBorders>
              <w:top w:val="nil"/>
              <w:left w:val="nil"/>
              <w:bottom w:val="single" w:sz="8" w:space="0" w:color="auto"/>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Cena v CZK bez DPH</w:t>
            </w:r>
          </w:p>
        </w:tc>
      </w:tr>
      <w:tr w:rsidR="00896AA1" w:rsidRPr="00896AA1" w:rsidTr="00896AA1">
        <w:trPr>
          <w:trHeight w:val="315"/>
        </w:trPr>
        <w:tc>
          <w:tcPr>
            <w:tcW w:w="126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96AA1" w:rsidRPr="00896AA1" w:rsidRDefault="00896AA1" w:rsidP="00896AA1">
            <w:pPr>
              <w:rPr>
                <w:rFonts w:ascii="Arial" w:hAnsi="Arial" w:cs="Arial"/>
                <w:b/>
                <w:bCs/>
                <w:color w:val="000000"/>
                <w:sz w:val="20"/>
                <w:szCs w:val="20"/>
              </w:rPr>
            </w:pPr>
            <w:r w:rsidRPr="00896AA1">
              <w:rPr>
                <w:rFonts w:ascii="Arial" w:hAnsi="Arial" w:cs="Arial"/>
                <w:b/>
                <w:bCs/>
                <w:color w:val="000000"/>
                <w:sz w:val="20"/>
                <w:szCs w:val="20"/>
              </w:rPr>
              <w:t xml:space="preserve">Kontrakt č. 14303432 (Support od </w:t>
            </w:r>
            <w:proofErr w:type="gramStart"/>
            <w:r w:rsidRPr="00896AA1">
              <w:rPr>
                <w:rFonts w:ascii="Arial" w:hAnsi="Arial" w:cs="Arial"/>
                <w:b/>
                <w:bCs/>
                <w:color w:val="000000"/>
                <w:sz w:val="20"/>
                <w:szCs w:val="20"/>
              </w:rPr>
              <w:t>31.12.2017</w:t>
            </w:r>
            <w:proofErr w:type="gramEnd"/>
            <w:r w:rsidRPr="00896AA1">
              <w:rPr>
                <w:rFonts w:ascii="Arial" w:hAnsi="Arial" w:cs="Arial"/>
                <w:b/>
                <w:bCs/>
                <w:color w:val="000000"/>
                <w:sz w:val="20"/>
                <w:szCs w:val="20"/>
              </w:rPr>
              <w:t xml:space="preserve"> do 30.12.2018) ROS</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Oracle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WebLogic</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Suite</w:t>
            </w:r>
            <w:proofErr w:type="spellEnd"/>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CPU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16</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21096683</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6D7A41">
              <w:rPr>
                <w:rFonts w:ascii="Calibri" w:hAnsi="Calibri"/>
                <w:color w:val="000000"/>
                <w:sz w:val="22"/>
                <w:szCs w:val="22"/>
              </w:rPr>
              <w:t>2231098,68</w:t>
            </w: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CELKEM</w:t>
            </w:r>
          </w:p>
        </w:tc>
        <w:tc>
          <w:tcPr>
            <w:tcW w:w="1200" w:type="dxa"/>
            <w:tcBorders>
              <w:top w:val="nil"/>
              <w:left w:val="nil"/>
              <w:bottom w:val="single" w:sz="8" w:space="0" w:color="auto"/>
              <w:right w:val="single" w:sz="8" w:space="0" w:color="auto"/>
            </w:tcBorders>
            <w:shd w:val="clear" w:color="000000" w:fill="92D050"/>
            <w:noWrap/>
            <w:vAlign w:val="bottom"/>
            <w:hideMark/>
          </w:tcPr>
          <w:p w:rsidR="00896AA1" w:rsidRPr="00896AA1" w:rsidRDefault="006D7A41" w:rsidP="00C67606">
            <w:pPr>
              <w:jc w:val="right"/>
              <w:rPr>
                <w:rFonts w:ascii="Calibri" w:hAnsi="Calibri"/>
                <w:color w:val="000000"/>
              </w:rPr>
            </w:pPr>
            <w:r>
              <w:rPr>
                <w:rFonts w:ascii="Calibri" w:hAnsi="Calibri"/>
                <w:color w:val="000000"/>
                <w:sz w:val="22"/>
                <w:szCs w:val="22"/>
              </w:rPr>
              <w:t>2231098,68</w:t>
            </w: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rPr>
                <w:rFonts w:ascii="Arial" w:hAnsi="Arial" w:cs="Arial"/>
                <w:b/>
                <w:bCs/>
                <w:color w:val="000000"/>
                <w:sz w:val="18"/>
                <w:szCs w:val="18"/>
              </w:rPr>
            </w:pPr>
            <w:r w:rsidRPr="00896AA1">
              <w:rPr>
                <w:rFonts w:ascii="Arial" w:hAnsi="Arial" w:cs="Arial"/>
                <w:b/>
                <w:bCs/>
                <w:color w:val="000000"/>
                <w:sz w:val="18"/>
                <w:szCs w:val="18"/>
              </w:rPr>
              <w:t>Produkt</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Licence typ</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Počet uživatelů/ procesorů</w:t>
            </w:r>
          </w:p>
        </w:tc>
        <w:tc>
          <w:tcPr>
            <w:tcW w:w="15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Licence</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CSI</w:t>
            </w:r>
          </w:p>
        </w:tc>
        <w:tc>
          <w:tcPr>
            <w:tcW w:w="1200" w:type="dxa"/>
            <w:tcBorders>
              <w:top w:val="single" w:sz="8" w:space="0" w:color="auto"/>
              <w:left w:val="nil"/>
              <w:bottom w:val="nil"/>
              <w:right w:val="single" w:sz="8" w:space="0" w:color="auto"/>
            </w:tcBorders>
            <w:shd w:val="clear" w:color="auto" w:fill="auto"/>
            <w:vAlign w:val="bottom"/>
            <w:hideMark/>
          </w:tcPr>
          <w:p w:rsidR="00896AA1" w:rsidRPr="00896AA1" w:rsidRDefault="00896AA1" w:rsidP="00896AA1">
            <w:pPr>
              <w:jc w:val="center"/>
              <w:rPr>
                <w:rFonts w:ascii="Calibri" w:hAnsi="Calibri"/>
                <w:color w:val="000000"/>
              </w:rPr>
            </w:pPr>
            <w:r w:rsidRPr="00896AA1">
              <w:rPr>
                <w:rFonts w:ascii="Calibri" w:hAnsi="Calibri"/>
                <w:color w:val="000000"/>
                <w:sz w:val="22"/>
                <w:szCs w:val="22"/>
              </w:rPr>
              <w:t> </w:t>
            </w:r>
          </w:p>
        </w:tc>
      </w:tr>
      <w:tr w:rsidR="00896AA1" w:rsidRPr="00896AA1" w:rsidTr="00896AA1">
        <w:trPr>
          <w:trHeight w:val="510"/>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896AA1" w:rsidRPr="00896AA1" w:rsidRDefault="00896AA1" w:rsidP="00896AA1">
            <w:pPr>
              <w:rPr>
                <w:rFonts w:ascii="Arial" w:hAnsi="Arial" w:cs="Arial"/>
                <w:b/>
                <w:bCs/>
                <w:color w:val="000000"/>
                <w:sz w:val="18"/>
                <w:szCs w:val="18"/>
              </w:rPr>
            </w:pPr>
          </w:p>
        </w:tc>
        <w:tc>
          <w:tcPr>
            <w:tcW w:w="1200" w:type="dxa"/>
            <w:tcBorders>
              <w:top w:val="nil"/>
              <w:left w:val="nil"/>
              <w:bottom w:val="single" w:sz="8" w:space="0" w:color="auto"/>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Cena v CZK bez DPH</w:t>
            </w:r>
          </w:p>
        </w:tc>
      </w:tr>
      <w:tr w:rsidR="00896AA1" w:rsidRPr="00896AA1" w:rsidTr="00896AA1">
        <w:trPr>
          <w:trHeight w:val="315"/>
        </w:trPr>
        <w:tc>
          <w:tcPr>
            <w:tcW w:w="126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96AA1" w:rsidRPr="00896AA1" w:rsidRDefault="00896AA1" w:rsidP="00896AA1">
            <w:pPr>
              <w:rPr>
                <w:rFonts w:ascii="Arial" w:hAnsi="Arial" w:cs="Arial"/>
                <w:b/>
                <w:bCs/>
                <w:color w:val="000000"/>
                <w:sz w:val="20"/>
                <w:szCs w:val="20"/>
              </w:rPr>
            </w:pPr>
            <w:r w:rsidRPr="00896AA1">
              <w:rPr>
                <w:rFonts w:ascii="Arial" w:hAnsi="Arial" w:cs="Arial"/>
                <w:b/>
                <w:bCs/>
                <w:color w:val="000000"/>
                <w:sz w:val="20"/>
                <w:szCs w:val="20"/>
              </w:rPr>
              <w:t xml:space="preserve">Kontrakt č. 6476897 (Support od </w:t>
            </w:r>
            <w:proofErr w:type="gramStart"/>
            <w:r w:rsidRPr="00896AA1">
              <w:rPr>
                <w:rFonts w:ascii="Arial" w:hAnsi="Arial" w:cs="Arial"/>
                <w:b/>
                <w:bCs/>
                <w:color w:val="000000"/>
                <w:sz w:val="20"/>
                <w:szCs w:val="20"/>
              </w:rPr>
              <w:t>31.12.2017</w:t>
            </w:r>
            <w:proofErr w:type="gramEnd"/>
            <w:r w:rsidRPr="00896AA1">
              <w:rPr>
                <w:rFonts w:ascii="Arial" w:hAnsi="Arial" w:cs="Arial"/>
                <w:b/>
                <w:bCs/>
                <w:color w:val="000000"/>
                <w:sz w:val="20"/>
                <w:szCs w:val="20"/>
              </w:rPr>
              <w:t xml:space="preserve"> do 30.12.2018)</w:t>
            </w:r>
          </w:p>
        </w:tc>
      </w:tr>
      <w:tr w:rsidR="00896AA1" w:rsidRPr="00896AA1" w:rsidTr="00896AA1">
        <w:trPr>
          <w:trHeight w:val="31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proofErr w:type="spellStart"/>
            <w:r w:rsidRPr="00896AA1">
              <w:rPr>
                <w:rFonts w:ascii="Arial" w:hAnsi="Arial" w:cs="Arial"/>
                <w:color w:val="000000"/>
                <w:sz w:val="20"/>
                <w:szCs w:val="20"/>
              </w:rPr>
              <w:t>Oracle</w:t>
            </w:r>
            <w:proofErr w:type="spellEnd"/>
            <w:r w:rsidRPr="00896AA1">
              <w:rPr>
                <w:rFonts w:ascii="Arial" w:hAnsi="Arial" w:cs="Arial"/>
                <w:color w:val="000000"/>
                <w:sz w:val="20"/>
                <w:szCs w:val="20"/>
              </w:rPr>
              <w:t xml:space="preserve"> </w:t>
            </w:r>
            <w:proofErr w:type="spellStart"/>
            <w:r w:rsidRPr="00896AA1">
              <w:rPr>
                <w:rFonts w:ascii="Arial" w:hAnsi="Arial" w:cs="Arial"/>
                <w:color w:val="000000"/>
                <w:sz w:val="20"/>
                <w:szCs w:val="20"/>
              </w:rPr>
              <w:t>Database</w:t>
            </w:r>
            <w:proofErr w:type="spellEnd"/>
            <w:r w:rsidRPr="00896AA1">
              <w:rPr>
                <w:rFonts w:ascii="Arial" w:hAnsi="Arial" w:cs="Arial"/>
                <w:color w:val="000000"/>
                <w:sz w:val="20"/>
                <w:szCs w:val="20"/>
              </w:rPr>
              <w:t xml:space="preserve"> Standard </w:t>
            </w:r>
            <w:proofErr w:type="spellStart"/>
            <w:r w:rsidRPr="00896AA1">
              <w:rPr>
                <w:rFonts w:ascii="Arial" w:hAnsi="Arial" w:cs="Arial"/>
                <w:color w:val="000000"/>
                <w:sz w:val="20"/>
                <w:szCs w:val="20"/>
              </w:rPr>
              <w:t>Edition</w:t>
            </w:r>
            <w:proofErr w:type="spellEnd"/>
            <w:r w:rsidRPr="00896AA1">
              <w:rPr>
                <w:rFonts w:ascii="Arial" w:hAnsi="Arial" w:cs="Arial"/>
                <w:color w:val="000000"/>
                <w:sz w:val="20"/>
                <w:szCs w:val="20"/>
              </w:rPr>
              <w:t xml:space="preserve"> 2</w:t>
            </w:r>
          </w:p>
        </w:tc>
        <w:tc>
          <w:tcPr>
            <w:tcW w:w="136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NU+</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260</w:t>
            </w:r>
          </w:p>
        </w:tc>
        <w:tc>
          <w:tcPr>
            <w:tcW w:w="152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proofErr w:type="spellStart"/>
            <w:r w:rsidRPr="00896AA1">
              <w:rPr>
                <w:rFonts w:ascii="Arial" w:hAnsi="Arial" w:cs="Arial"/>
                <w:color w:val="000000"/>
                <w:sz w:val="20"/>
                <w:szCs w:val="20"/>
              </w:rPr>
              <w:t>Perpetual</w:t>
            </w:r>
            <w:proofErr w:type="spellEnd"/>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right"/>
              <w:rPr>
                <w:rFonts w:ascii="Arial" w:hAnsi="Arial" w:cs="Arial"/>
                <w:color w:val="000000"/>
                <w:sz w:val="20"/>
                <w:szCs w:val="20"/>
              </w:rPr>
            </w:pPr>
            <w:r w:rsidRPr="00896AA1">
              <w:rPr>
                <w:rFonts w:ascii="Arial" w:hAnsi="Arial" w:cs="Arial"/>
                <w:color w:val="000000"/>
                <w:sz w:val="20"/>
                <w:szCs w:val="20"/>
              </w:rPr>
              <w:t>20854157</w:t>
            </w:r>
          </w:p>
        </w:tc>
        <w:tc>
          <w:tcPr>
            <w:tcW w:w="120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6D7A41">
              <w:rPr>
                <w:rFonts w:ascii="Calibri" w:hAnsi="Calibri"/>
                <w:color w:val="000000"/>
                <w:sz w:val="22"/>
                <w:szCs w:val="22"/>
              </w:rPr>
              <w:t>323459,33</w:t>
            </w: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CELKEM</w:t>
            </w:r>
          </w:p>
        </w:tc>
        <w:tc>
          <w:tcPr>
            <w:tcW w:w="1200" w:type="dxa"/>
            <w:tcBorders>
              <w:top w:val="nil"/>
              <w:left w:val="nil"/>
              <w:bottom w:val="single" w:sz="8" w:space="0" w:color="auto"/>
              <w:right w:val="single" w:sz="8" w:space="0" w:color="auto"/>
            </w:tcBorders>
            <w:shd w:val="clear" w:color="000000" w:fill="92D050"/>
            <w:noWrap/>
            <w:vAlign w:val="bottom"/>
            <w:hideMark/>
          </w:tcPr>
          <w:p w:rsidR="00896AA1" w:rsidRPr="00896AA1" w:rsidRDefault="006D7A41" w:rsidP="00C67606">
            <w:pPr>
              <w:jc w:val="right"/>
              <w:rPr>
                <w:rFonts w:ascii="Calibri" w:hAnsi="Calibri"/>
                <w:color w:val="000000"/>
              </w:rPr>
            </w:pPr>
            <w:r>
              <w:rPr>
                <w:rFonts w:ascii="Calibri" w:hAnsi="Calibri"/>
                <w:color w:val="000000"/>
                <w:sz w:val="22"/>
                <w:szCs w:val="22"/>
              </w:rPr>
              <w:t>323459,33</w:t>
            </w:r>
          </w:p>
        </w:tc>
      </w:tr>
      <w:tr w:rsidR="00896AA1" w:rsidRPr="00896AA1" w:rsidTr="00896AA1">
        <w:trPr>
          <w:trHeight w:val="300"/>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405"/>
        </w:trPr>
        <w:tc>
          <w:tcPr>
            <w:tcW w:w="5860" w:type="dxa"/>
            <w:tcBorders>
              <w:top w:val="nil"/>
              <w:left w:val="nil"/>
              <w:bottom w:val="nil"/>
              <w:right w:val="nil"/>
            </w:tcBorders>
            <w:shd w:val="clear" w:color="auto" w:fill="auto"/>
            <w:noWrap/>
            <w:vAlign w:val="bottom"/>
            <w:hideMark/>
          </w:tcPr>
          <w:p w:rsidR="00896AA1" w:rsidRPr="00896AA1" w:rsidRDefault="00896AA1" w:rsidP="007807BA">
            <w:pPr>
              <w:ind w:firstLineChars="100" w:firstLine="241"/>
              <w:rPr>
                <w:rFonts w:ascii="Arial" w:hAnsi="Arial" w:cs="Arial"/>
                <w:b/>
                <w:bCs/>
                <w:color w:val="FF0000"/>
              </w:rPr>
            </w:pPr>
            <w:r w:rsidRPr="00896AA1">
              <w:rPr>
                <w:rFonts w:ascii="Arial" w:hAnsi="Arial" w:cs="Arial"/>
                <w:b/>
                <w:bCs/>
                <w:color w:val="FF0000"/>
              </w:rPr>
              <w:t>B.</w:t>
            </w:r>
            <w:r w:rsidRPr="00896AA1">
              <w:rPr>
                <w:b/>
                <w:bCs/>
                <w:color w:val="FF0000"/>
              </w:rPr>
              <w:t xml:space="preserve">     </w:t>
            </w:r>
            <w:r w:rsidRPr="00896AA1">
              <w:rPr>
                <w:rFonts w:ascii="Arial" w:hAnsi="Arial" w:cs="Arial"/>
                <w:b/>
                <w:bCs/>
                <w:color w:val="FF0000"/>
              </w:rPr>
              <w:t>Cena rozšířené technické podpory</w:t>
            </w: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540"/>
        </w:trPr>
        <w:tc>
          <w:tcPr>
            <w:tcW w:w="58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Calibri" w:hAnsi="Calibri"/>
                <w:color w:val="000000"/>
              </w:rPr>
            </w:pPr>
            <w:r w:rsidRPr="00896AA1">
              <w:rPr>
                <w:rFonts w:ascii="Calibri" w:hAnsi="Calibri"/>
                <w:color w:val="000000"/>
                <w:sz w:val="22"/>
                <w:szCs w:val="22"/>
              </w:rPr>
              <w:t> </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Cena/MD</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Počet MD</w:t>
            </w:r>
            <w:r w:rsidRPr="00896AA1">
              <w:rPr>
                <w:rFonts w:ascii="Arial" w:hAnsi="Arial" w:cs="Arial"/>
                <w:b/>
                <w:bCs/>
                <w:color w:val="000000"/>
                <w:sz w:val="18"/>
                <w:szCs w:val="18"/>
                <w:vertAlign w:val="superscript"/>
              </w:rPr>
              <w:t>*)</w:t>
            </w:r>
          </w:p>
        </w:tc>
        <w:tc>
          <w:tcPr>
            <w:tcW w:w="1520" w:type="dxa"/>
            <w:tcBorders>
              <w:top w:val="single" w:sz="8" w:space="0" w:color="auto"/>
              <w:left w:val="nil"/>
              <w:bottom w:val="single" w:sz="8" w:space="0" w:color="auto"/>
              <w:right w:val="single" w:sz="8" w:space="0" w:color="auto"/>
            </w:tcBorders>
            <w:shd w:val="clear" w:color="auto" w:fill="auto"/>
            <w:vAlign w:val="bottom"/>
            <w:hideMark/>
          </w:tcPr>
          <w:p w:rsidR="00896AA1" w:rsidRPr="00896AA1" w:rsidRDefault="00896AA1" w:rsidP="00896AA1">
            <w:pPr>
              <w:jc w:val="center"/>
              <w:rPr>
                <w:rFonts w:ascii="Arial" w:hAnsi="Arial" w:cs="Arial"/>
                <w:b/>
                <w:bCs/>
                <w:color w:val="000000"/>
                <w:sz w:val="18"/>
                <w:szCs w:val="18"/>
              </w:rPr>
            </w:pPr>
            <w:r w:rsidRPr="00896AA1">
              <w:rPr>
                <w:rFonts w:ascii="Arial" w:hAnsi="Arial" w:cs="Arial"/>
                <w:b/>
                <w:bCs/>
                <w:color w:val="000000"/>
                <w:sz w:val="18"/>
                <w:szCs w:val="18"/>
              </w:rPr>
              <w:t>Cena v CZK bez DPH</w:t>
            </w: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30"/>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96AA1" w:rsidRPr="00896AA1" w:rsidRDefault="00896AA1" w:rsidP="00896AA1">
            <w:pPr>
              <w:rPr>
                <w:rFonts w:ascii="Calibri" w:hAnsi="Calibri"/>
                <w:b/>
                <w:bCs/>
                <w:i/>
                <w:iCs/>
                <w:color w:val="000000"/>
              </w:rPr>
            </w:pPr>
            <w:r w:rsidRPr="00896AA1">
              <w:rPr>
                <w:rFonts w:ascii="Calibri" w:hAnsi="Calibri"/>
                <w:b/>
                <w:bCs/>
                <w:i/>
                <w:iCs/>
                <w:color w:val="000000"/>
                <w:sz w:val="22"/>
                <w:szCs w:val="22"/>
              </w:rPr>
              <w:t xml:space="preserve">Support od </w:t>
            </w:r>
            <w:proofErr w:type="gramStart"/>
            <w:r w:rsidRPr="00896AA1">
              <w:rPr>
                <w:rFonts w:ascii="Calibri" w:hAnsi="Calibri"/>
                <w:b/>
                <w:bCs/>
                <w:i/>
                <w:iCs/>
                <w:color w:val="000000"/>
                <w:sz w:val="22"/>
                <w:szCs w:val="22"/>
              </w:rPr>
              <w:t>31.12.2017</w:t>
            </w:r>
            <w:proofErr w:type="gramEnd"/>
            <w:r w:rsidRPr="00896AA1">
              <w:rPr>
                <w:rFonts w:ascii="Calibri" w:hAnsi="Calibri"/>
                <w:b/>
                <w:bCs/>
                <w:i/>
                <w:iCs/>
                <w:color w:val="000000"/>
                <w:sz w:val="22"/>
                <w:szCs w:val="22"/>
              </w:rPr>
              <w:t xml:space="preserve"> do 30.12.2018 - 12 měsíců</w:t>
            </w: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900"/>
        </w:trPr>
        <w:tc>
          <w:tcPr>
            <w:tcW w:w="5860" w:type="dxa"/>
            <w:tcBorders>
              <w:top w:val="nil"/>
              <w:left w:val="single" w:sz="8" w:space="0" w:color="auto"/>
              <w:bottom w:val="single" w:sz="8" w:space="0" w:color="auto"/>
              <w:right w:val="single" w:sz="8" w:space="0" w:color="auto"/>
            </w:tcBorders>
            <w:shd w:val="clear" w:color="auto" w:fill="auto"/>
            <w:vAlign w:val="bottom"/>
            <w:hideMark/>
          </w:tcPr>
          <w:p w:rsidR="00896AA1" w:rsidRPr="00896AA1" w:rsidRDefault="00896AA1" w:rsidP="00896AA1">
            <w:pPr>
              <w:rPr>
                <w:rFonts w:ascii="Arial" w:hAnsi="Arial" w:cs="Arial"/>
                <w:color w:val="000000"/>
                <w:sz w:val="20"/>
                <w:szCs w:val="20"/>
              </w:rPr>
            </w:pPr>
            <w:r w:rsidRPr="00896AA1">
              <w:rPr>
                <w:rFonts w:ascii="Arial" w:hAnsi="Arial" w:cs="Arial"/>
                <w:color w:val="000000"/>
                <w:sz w:val="20"/>
                <w:szCs w:val="20"/>
              </w:rPr>
              <w:t>Služba technické podpory „On-</w:t>
            </w:r>
            <w:proofErr w:type="spellStart"/>
            <w:r w:rsidRPr="00896AA1">
              <w:rPr>
                <w:rFonts w:ascii="Arial" w:hAnsi="Arial" w:cs="Arial"/>
                <w:color w:val="000000"/>
                <w:sz w:val="20"/>
                <w:szCs w:val="20"/>
              </w:rPr>
              <w:t>Site</w:t>
            </w:r>
            <w:proofErr w:type="spellEnd"/>
            <w:r w:rsidRPr="00896AA1">
              <w:rPr>
                <w:rFonts w:ascii="Arial" w:hAnsi="Arial" w:cs="Arial"/>
                <w:color w:val="000000"/>
                <w:sz w:val="20"/>
                <w:szCs w:val="20"/>
              </w:rPr>
              <w:t xml:space="preserve"> Support“ programového vybavení </w:t>
            </w:r>
            <w:proofErr w:type="spellStart"/>
            <w:r w:rsidRPr="00896AA1">
              <w:rPr>
                <w:rFonts w:ascii="Arial" w:hAnsi="Arial" w:cs="Arial"/>
                <w:color w:val="000000"/>
                <w:sz w:val="20"/>
                <w:szCs w:val="20"/>
              </w:rPr>
              <w:t>Oracle</w:t>
            </w:r>
            <w:proofErr w:type="spellEnd"/>
            <w:r w:rsidRPr="00896AA1">
              <w:rPr>
                <w:rFonts w:ascii="Arial" w:hAnsi="Arial" w:cs="Arial"/>
                <w:color w:val="000000"/>
                <w:sz w:val="20"/>
                <w:szCs w:val="20"/>
              </w:rPr>
              <w:t xml:space="preserve"> pro zabezpečení statistického zpracování centrálních systémů</w:t>
            </w:r>
          </w:p>
        </w:tc>
        <w:tc>
          <w:tcPr>
            <w:tcW w:w="1360" w:type="dxa"/>
            <w:tcBorders>
              <w:top w:val="nil"/>
              <w:left w:val="nil"/>
              <w:bottom w:val="single" w:sz="8" w:space="0" w:color="auto"/>
              <w:right w:val="single" w:sz="8" w:space="0" w:color="auto"/>
            </w:tcBorders>
            <w:shd w:val="clear" w:color="000000" w:fill="FFFF00"/>
            <w:noWrap/>
            <w:vAlign w:val="bottom"/>
            <w:hideMark/>
          </w:tcPr>
          <w:p w:rsidR="00896AA1" w:rsidRPr="00896AA1" w:rsidRDefault="00896AA1" w:rsidP="00C67606">
            <w:pPr>
              <w:jc w:val="right"/>
              <w:rPr>
                <w:rFonts w:ascii="Calibri" w:hAnsi="Calibri"/>
                <w:color w:val="000000"/>
              </w:rPr>
            </w:pPr>
            <w:r w:rsidRPr="00896AA1">
              <w:rPr>
                <w:rFonts w:ascii="Calibri" w:hAnsi="Calibri"/>
                <w:color w:val="000000"/>
                <w:sz w:val="22"/>
                <w:szCs w:val="22"/>
              </w:rPr>
              <w:t> </w:t>
            </w:r>
            <w:r w:rsidR="00C67606">
              <w:rPr>
                <w:rFonts w:ascii="Calibri" w:hAnsi="Calibri"/>
                <w:color w:val="000000"/>
                <w:sz w:val="22"/>
                <w:szCs w:val="22"/>
              </w:rPr>
              <w:t>25250</w:t>
            </w:r>
          </w:p>
        </w:tc>
        <w:tc>
          <w:tcPr>
            <w:tcW w:w="1340" w:type="dxa"/>
            <w:tcBorders>
              <w:top w:val="nil"/>
              <w:left w:val="nil"/>
              <w:bottom w:val="single" w:sz="8" w:space="0" w:color="auto"/>
              <w:right w:val="single" w:sz="8" w:space="0" w:color="auto"/>
            </w:tcBorders>
            <w:shd w:val="clear" w:color="auto" w:fill="auto"/>
            <w:noWrap/>
            <w:vAlign w:val="bottom"/>
            <w:hideMark/>
          </w:tcPr>
          <w:p w:rsidR="00896AA1" w:rsidRPr="00896AA1" w:rsidRDefault="00896AA1" w:rsidP="00896AA1">
            <w:pPr>
              <w:jc w:val="center"/>
              <w:rPr>
                <w:rFonts w:ascii="Arial" w:hAnsi="Arial" w:cs="Arial"/>
                <w:color w:val="000000"/>
                <w:sz w:val="20"/>
                <w:szCs w:val="20"/>
              </w:rPr>
            </w:pPr>
            <w:r w:rsidRPr="00896AA1">
              <w:rPr>
                <w:rFonts w:ascii="Arial" w:hAnsi="Arial" w:cs="Arial"/>
                <w:color w:val="000000"/>
                <w:sz w:val="20"/>
                <w:szCs w:val="20"/>
              </w:rPr>
              <w:t>90</w:t>
            </w:r>
          </w:p>
        </w:tc>
        <w:tc>
          <w:tcPr>
            <w:tcW w:w="1520" w:type="dxa"/>
            <w:tcBorders>
              <w:top w:val="nil"/>
              <w:left w:val="nil"/>
              <w:bottom w:val="single" w:sz="8" w:space="0" w:color="auto"/>
              <w:right w:val="single" w:sz="8" w:space="0" w:color="auto"/>
            </w:tcBorders>
            <w:shd w:val="clear" w:color="000000" w:fill="92D050"/>
            <w:noWrap/>
            <w:vAlign w:val="bottom"/>
            <w:hideMark/>
          </w:tcPr>
          <w:p w:rsidR="00896AA1" w:rsidRPr="00896AA1" w:rsidRDefault="00C67606" w:rsidP="00896AA1">
            <w:pPr>
              <w:jc w:val="right"/>
              <w:rPr>
                <w:rFonts w:ascii="Calibri" w:hAnsi="Calibri"/>
                <w:color w:val="000000"/>
              </w:rPr>
            </w:pPr>
            <w:r>
              <w:rPr>
                <w:rFonts w:ascii="Calibri" w:hAnsi="Calibri"/>
                <w:color w:val="000000"/>
                <w:sz w:val="22"/>
                <w:szCs w:val="22"/>
              </w:rPr>
              <w:t>2272500</w:t>
            </w: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615"/>
        </w:trPr>
        <w:tc>
          <w:tcPr>
            <w:tcW w:w="12620" w:type="dxa"/>
            <w:gridSpan w:val="6"/>
            <w:tcBorders>
              <w:top w:val="nil"/>
              <w:left w:val="nil"/>
              <w:bottom w:val="nil"/>
              <w:right w:val="nil"/>
            </w:tcBorders>
            <w:shd w:val="clear" w:color="auto" w:fill="auto"/>
            <w:vAlign w:val="bottom"/>
            <w:hideMark/>
          </w:tcPr>
          <w:p w:rsidR="00896AA1" w:rsidRPr="00896AA1" w:rsidRDefault="00896AA1" w:rsidP="00896AA1">
            <w:pPr>
              <w:rPr>
                <w:rFonts w:ascii="Arial" w:hAnsi="Arial" w:cs="Arial"/>
                <w:b/>
                <w:bCs/>
                <w:color w:val="000000"/>
                <w:sz w:val="18"/>
                <w:szCs w:val="18"/>
              </w:rPr>
            </w:pPr>
            <w:r w:rsidRPr="00896AA1">
              <w:rPr>
                <w:rFonts w:ascii="Arial" w:hAnsi="Arial" w:cs="Arial"/>
                <w:b/>
                <w:bCs/>
                <w:color w:val="000000"/>
                <w:sz w:val="18"/>
                <w:szCs w:val="18"/>
                <w:vertAlign w:val="superscript"/>
              </w:rPr>
              <w:t>*)</w:t>
            </w:r>
            <w:r w:rsidRPr="00896AA1">
              <w:rPr>
                <w:rFonts w:ascii="Arial" w:hAnsi="Arial" w:cs="Arial"/>
                <w:b/>
                <w:bCs/>
                <w:color w:val="000000"/>
                <w:sz w:val="18"/>
                <w:szCs w:val="18"/>
              </w:rPr>
              <w:t xml:space="preserve"> </w:t>
            </w:r>
            <w:r w:rsidRPr="00896AA1">
              <w:rPr>
                <w:rFonts w:ascii="Arial" w:hAnsi="Arial" w:cs="Arial"/>
                <w:b/>
                <w:bCs/>
                <w:i/>
                <w:iCs/>
                <w:color w:val="000000"/>
                <w:sz w:val="18"/>
                <w:szCs w:val="18"/>
              </w:rPr>
              <w:t>Počet uvedených MD je pouze indikativní pro porovnání ceny. Celkově může být vyčerpán počet MD až do ceny veřejné zakázky (po odpočtu cen za licence včetně supportu).</w:t>
            </w:r>
          </w:p>
        </w:tc>
      </w:tr>
      <w:tr w:rsidR="00896AA1" w:rsidRPr="00896AA1" w:rsidTr="00896AA1">
        <w:trPr>
          <w:trHeight w:val="300"/>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Arial" w:hAnsi="Arial" w:cs="Arial"/>
                <w:b/>
                <w:bCs/>
                <w:i/>
                <w:iCs/>
                <w:color w:val="000000"/>
                <w:sz w:val="18"/>
                <w:szCs w:val="18"/>
              </w:rPr>
            </w:pPr>
            <w:r w:rsidRPr="00896AA1">
              <w:rPr>
                <w:rFonts w:ascii="Arial" w:hAnsi="Arial" w:cs="Arial"/>
                <w:b/>
                <w:bCs/>
                <w:i/>
                <w:iCs/>
                <w:color w:val="000000"/>
                <w:sz w:val="18"/>
                <w:szCs w:val="18"/>
              </w:rPr>
              <w:t>Jeden MD = 8 hodin</w:t>
            </w: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930"/>
        </w:trPr>
        <w:tc>
          <w:tcPr>
            <w:tcW w:w="5860"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896AA1" w:rsidRPr="00896AA1" w:rsidRDefault="00896AA1" w:rsidP="00896AA1">
            <w:pPr>
              <w:rPr>
                <w:rFonts w:ascii="Arial" w:hAnsi="Arial" w:cs="Arial"/>
                <w:b/>
                <w:bCs/>
                <w:color w:val="000000"/>
              </w:rPr>
            </w:pPr>
            <w:r w:rsidRPr="00896AA1">
              <w:rPr>
                <w:rFonts w:ascii="Arial" w:hAnsi="Arial" w:cs="Arial"/>
                <w:b/>
                <w:bCs/>
                <w:color w:val="000000"/>
                <w:sz w:val="22"/>
                <w:szCs w:val="22"/>
              </w:rPr>
              <w:t>PŘEDMĚT HODNOCENÍ:</w:t>
            </w:r>
          </w:p>
        </w:tc>
        <w:tc>
          <w:tcPr>
            <w:tcW w:w="1360" w:type="dxa"/>
            <w:tcBorders>
              <w:top w:val="single" w:sz="12" w:space="0" w:color="auto"/>
              <w:left w:val="nil"/>
              <w:bottom w:val="single" w:sz="8" w:space="0" w:color="auto"/>
              <w:right w:val="single" w:sz="12" w:space="0" w:color="auto"/>
            </w:tcBorders>
            <w:shd w:val="clear" w:color="auto" w:fill="auto"/>
            <w:vAlign w:val="bottom"/>
            <w:hideMark/>
          </w:tcPr>
          <w:p w:rsidR="00896AA1" w:rsidRPr="00896AA1" w:rsidRDefault="00896AA1" w:rsidP="00896AA1">
            <w:pPr>
              <w:jc w:val="center"/>
              <w:rPr>
                <w:rFonts w:ascii="Arial" w:hAnsi="Arial" w:cs="Arial"/>
                <w:b/>
                <w:bCs/>
                <w:color w:val="000000"/>
              </w:rPr>
            </w:pPr>
            <w:r w:rsidRPr="00896AA1">
              <w:rPr>
                <w:rFonts w:ascii="Arial" w:hAnsi="Arial" w:cs="Arial"/>
                <w:b/>
                <w:bCs/>
                <w:color w:val="000000"/>
                <w:sz w:val="22"/>
                <w:szCs w:val="22"/>
              </w:rPr>
              <w:t>Cena v CZK bez DPH</w:t>
            </w: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705"/>
        </w:trPr>
        <w:tc>
          <w:tcPr>
            <w:tcW w:w="5860" w:type="dxa"/>
            <w:tcBorders>
              <w:top w:val="nil"/>
              <w:left w:val="single" w:sz="12" w:space="0" w:color="auto"/>
              <w:bottom w:val="single" w:sz="12" w:space="0" w:color="auto"/>
              <w:right w:val="single" w:sz="8" w:space="0" w:color="auto"/>
            </w:tcBorders>
            <w:shd w:val="clear" w:color="auto" w:fill="auto"/>
            <w:noWrap/>
            <w:vAlign w:val="bottom"/>
            <w:hideMark/>
          </w:tcPr>
          <w:p w:rsidR="00896AA1" w:rsidRPr="00896AA1" w:rsidRDefault="00896AA1" w:rsidP="00896AA1">
            <w:pPr>
              <w:rPr>
                <w:rFonts w:ascii="Arial" w:hAnsi="Arial" w:cs="Arial"/>
                <w:b/>
                <w:bCs/>
                <w:color w:val="000000"/>
              </w:rPr>
            </w:pPr>
            <w:r w:rsidRPr="00896AA1">
              <w:rPr>
                <w:rFonts w:ascii="Arial" w:hAnsi="Arial" w:cs="Arial"/>
                <w:b/>
                <w:bCs/>
                <w:color w:val="000000"/>
                <w:sz w:val="22"/>
                <w:szCs w:val="22"/>
              </w:rPr>
              <w:t>Celková nabídková cena (A + B)</w:t>
            </w:r>
          </w:p>
        </w:tc>
        <w:tc>
          <w:tcPr>
            <w:tcW w:w="1360" w:type="dxa"/>
            <w:tcBorders>
              <w:top w:val="nil"/>
              <w:left w:val="nil"/>
              <w:bottom w:val="single" w:sz="12" w:space="0" w:color="auto"/>
              <w:right w:val="single" w:sz="12" w:space="0" w:color="auto"/>
            </w:tcBorders>
            <w:shd w:val="clear" w:color="000000" w:fill="B2A1C7"/>
            <w:noWrap/>
            <w:vAlign w:val="bottom"/>
            <w:hideMark/>
          </w:tcPr>
          <w:p w:rsidR="00896AA1" w:rsidRPr="00896AA1" w:rsidRDefault="00C67606" w:rsidP="00896AA1">
            <w:pPr>
              <w:jc w:val="right"/>
              <w:rPr>
                <w:rFonts w:ascii="Calibri" w:hAnsi="Calibri"/>
                <w:color w:val="000000"/>
              </w:rPr>
            </w:pPr>
            <w:r w:rsidRPr="00C67606">
              <w:rPr>
                <w:rFonts w:ascii="Calibri" w:hAnsi="Calibri"/>
                <w:color w:val="000000"/>
                <w:szCs w:val="22"/>
              </w:rPr>
              <w:t>28499132</w:t>
            </w: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15"/>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r w:rsidRPr="00896AA1">
              <w:rPr>
                <w:rFonts w:ascii="Calibri" w:hAnsi="Calibri"/>
                <w:color w:val="000000"/>
                <w:sz w:val="22"/>
                <w:szCs w:val="22"/>
              </w:rPr>
              <w:t>Pozn.:</w:t>
            </w: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tcBorders>
              <w:top w:val="nil"/>
              <w:left w:val="nil"/>
              <w:bottom w:val="nil"/>
              <w:right w:val="nil"/>
            </w:tcBorders>
            <w:shd w:val="clear" w:color="000000" w:fill="FFFF00"/>
            <w:noWrap/>
            <w:vAlign w:val="bottom"/>
            <w:hideMark/>
          </w:tcPr>
          <w:p w:rsidR="00896AA1" w:rsidRPr="00896AA1" w:rsidRDefault="00896AA1" w:rsidP="00896AA1">
            <w:pPr>
              <w:rPr>
                <w:rFonts w:ascii="Calibri" w:hAnsi="Calibri"/>
                <w:color w:val="000000"/>
              </w:rPr>
            </w:pPr>
            <w:r w:rsidRPr="00896AA1">
              <w:rPr>
                <w:rFonts w:ascii="Calibri" w:hAnsi="Calibri"/>
                <w:color w:val="000000"/>
                <w:sz w:val="22"/>
                <w:szCs w:val="22"/>
              </w:rPr>
              <w:t>vyplní uchazeč</w:t>
            </w: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tcBorders>
              <w:top w:val="nil"/>
              <w:left w:val="nil"/>
              <w:bottom w:val="nil"/>
              <w:right w:val="nil"/>
            </w:tcBorders>
            <w:shd w:val="clear" w:color="000000" w:fill="92D050"/>
            <w:noWrap/>
            <w:vAlign w:val="bottom"/>
            <w:hideMark/>
          </w:tcPr>
          <w:p w:rsidR="00896AA1" w:rsidRPr="00896AA1" w:rsidRDefault="00896AA1" w:rsidP="00896AA1">
            <w:pPr>
              <w:rPr>
                <w:rFonts w:ascii="Calibri" w:hAnsi="Calibri"/>
                <w:color w:val="000000"/>
              </w:rPr>
            </w:pPr>
            <w:r w:rsidRPr="00896AA1">
              <w:rPr>
                <w:rFonts w:ascii="Calibri" w:hAnsi="Calibri"/>
                <w:color w:val="000000"/>
                <w:sz w:val="22"/>
                <w:szCs w:val="22"/>
              </w:rPr>
              <w:t>automaticky se dopočítá</w:t>
            </w: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tcBorders>
              <w:top w:val="nil"/>
              <w:left w:val="nil"/>
              <w:bottom w:val="nil"/>
              <w:right w:val="nil"/>
            </w:tcBorders>
            <w:shd w:val="clear" w:color="000000" w:fill="B2A1C7"/>
            <w:noWrap/>
            <w:vAlign w:val="bottom"/>
            <w:hideMark/>
          </w:tcPr>
          <w:p w:rsidR="00896AA1" w:rsidRPr="00896AA1" w:rsidRDefault="00896AA1" w:rsidP="00896AA1">
            <w:pPr>
              <w:rPr>
                <w:rFonts w:ascii="Calibri" w:hAnsi="Calibri"/>
                <w:color w:val="000000"/>
              </w:rPr>
            </w:pPr>
            <w:r w:rsidRPr="00896AA1">
              <w:rPr>
                <w:rFonts w:ascii="Calibri" w:hAnsi="Calibri"/>
                <w:color w:val="000000"/>
                <w:sz w:val="22"/>
                <w:szCs w:val="22"/>
              </w:rPr>
              <w:t>celková nabídková cena, která je předmětem hodnocení</w:t>
            </w: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r w:rsidR="00896AA1" w:rsidRPr="00896AA1" w:rsidTr="00896AA1">
        <w:trPr>
          <w:trHeight w:val="300"/>
        </w:trPr>
        <w:tc>
          <w:tcPr>
            <w:tcW w:w="58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6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52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c>
          <w:tcPr>
            <w:tcW w:w="1200" w:type="dxa"/>
            <w:tcBorders>
              <w:top w:val="nil"/>
              <w:left w:val="nil"/>
              <w:bottom w:val="nil"/>
              <w:right w:val="nil"/>
            </w:tcBorders>
            <w:shd w:val="clear" w:color="auto" w:fill="auto"/>
            <w:noWrap/>
            <w:vAlign w:val="bottom"/>
            <w:hideMark/>
          </w:tcPr>
          <w:p w:rsidR="00896AA1" w:rsidRPr="00896AA1" w:rsidRDefault="00896AA1" w:rsidP="00896AA1">
            <w:pPr>
              <w:rPr>
                <w:rFonts w:ascii="Calibri" w:hAnsi="Calibri"/>
                <w:color w:val="000000"/>
              </w:rPr>
            </w:pPr>
          </w:p>
        </w:tc>
      </w:tr>
    </w:tbl>
    <w:p w:rsidR="00896AA1" w:rsidRDefault="00896AA1" w:rsidP="00DB0F84">
      <w:pPr>
        <w:pStyle w:val="Bezmezer"/>
        <w:spacing w:line="276" w:lineRule="auto"/>
        <w:jc w:val="both"/>
        <w:rPr>
          <w:rFonts w:ascii="Arial" w:hAnsi="Arial" w:cs="Arial"/>
          <w:noProof/>
          <w:sz w:val="20"/>
          <w:szCs w:val="20"/>
          <w:lang w:eastAsia="cs-CZ"/>
        </w:rPr>
      </w:pPr>
    </w:p>
    <w:p w:rsidR="00896AA1" w:rsidRDefault="00896AA1" w:rsidP="00DB0F84">
      <w:pPr>
        <w:pStyle w:val="Bezmezer"/>
        <w:spacing w:line="276" w:lineRule="auto"/>
        <w:jc w:val="both"/>
        <w:rPr>
          <w:rFonts w:ascii="Arial" w:hAnsi="Arial" w:cs="Arial"/>
          <w:noProof/>
          <w:sz w:val="20"/>
          <w:szCs w:val="20"/>
          <w:lang w:eastAsia="cs-CZ"/>
        </w:rPr>
      </w:pPr>
    </w:p>
    <w:p w:rsidR="00896AA1" w:rsidRDefault="00896AA1" w:rsidP="00DB0F84">
      <w:pPr>
        <w:pStyle w:val="Bezmezer"/>
        <w:spacing w:line="276" w:lineRule="auto"/>
        <w:jc w:val="both"/>
        <w:rPr>
          <w:rFonts w:ascii="Arial" w:hAnsi="Arial" w:cs="Arial"/>
          <w:noProof/>
          <w:sz w:val="20"/>
          <w:szCs w:val="20"/>
          <w:lang w:eastAsia="cs-CZ"/>
        </w:rPr>
      </w:pPr>
    </w:p>
    <w:p w:rsidR="00896AA1" w:rsidRDefault="00896AA1" w:rsidP="00DB0F84">
      <w:pPr>
        <w:pStyle w:val="Bezmezer"/>
        <w:spacing w:line="276" w:lineRule="auto"/>
        <w:jc w:val="both"/>
        <w:rPr>
          <w:rFonts w:ascii="Arial" w:hAnsi="Arial" w:cs="Arial"/>
          <w:sz w:val="20"/>
          <w:szCs w:val="20"/>
        </w:rPr>
      </w:pPr>
    </w:p>
    <w:p w:rsidR="00896AA1" w:rsidRDefault="00896AA1" w:rsidP="00DB0F84">
      <w:pPr>
        <w:pStyle w:val="Bezmezer"/>
        <w:spacing w:line="276" w:lineRule="auto"/>
        <w:jc w:val="both"/>
        <w:rPr>
          <w:rFonts w:ascii="Arial" w:hAnsi="Arial" w:cs="Arial"/>
          <w:sz w:val="20"/>
          <w:szCs w:val="20"/>
        </w:rPr>
      </w:pPr>
    </w:p>
    <w:p w:rsidR="00D655CC" w:rsidRPr="00DB0F84" w:rsidRDefault="00D655CC" w:rsidP="00DB0F84">
      <w:pPr>
        <w:pStyle w:val="Bezmezer"/>
        <w:spacing w:line="276" w:lineRule="auto"/>
        <w:jc w:val="both"/>
        <w:rPr>
          <w:rFonts w:ascii="Arial" w:hAnsi="Arial" w:cs="Arial"/>
          <w:sz w:val="20"/>
          <w:szCs w:val="20"/>
        </w:rPr>
      </w:pPr>
    </w:p>
    <w:sectPr w:rsidR="00D655CC" w:rsidRPr="00DB0F84" w:rsidSect="00896AA1">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606" w:rsidRDefault="00C67606" w:rsidP="00405CD6">
      <w:r>
        <w:separator/>
      </w:r>
    </w:p>
  </w:endnote>
  <w:endnote w:type="continuationSeparator" w:id="0">
    <w:p w:rsidR="00C67606" w:rsidRDefault="00C67606" w:rsidP="00405C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23F" w:rsidRDefault="00EB423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7312489"/>
      <w:docPartObj>
        <w:docPartGallery w:val="Page Numbers (Bottom of Page)"/>
        <w:docPartUnique/>
      </w:docPartObj>
    </w:sdtPr>
    <w:sdtContent>
      <w:sdt>
        <w:sdtPr>
          <w:rPr>
            <w:rFonts w:ascii="Arial" w:hAnsi="Arial" w:cs="Arial"/>
            <w:sz w:val="20"/>
            <w:szCs w:val="20"/>
          </w:rPr>
          <w:id w:val="7312490"/>
          <w:docPartObj>
            <w:docPartGallery w:val="Page Numbers (Top of Page)"/>
            <w:docPartUnique/>
          </w:docPartObj>
        </w:sdtPr>
        <w:sdtContent>
          <w:p w:rsidR="00C67606" w:rsidRDefault="00C67606">
            <w:pPr>
              <w:pStyle w:val="Zpat"/>
              <w:jc w:val="right"/>
              <w:rPr>
                <w:rFonts w:ascii="Arial" w:hAnsi="Arial" w:cs="Arial"/>
                <w:b/>
                <w:sz w:val="20"/>
                <w:szCs w:val="20"/>
              </w:rPr>
            </w:pPr>
            <w:r w:rsidRPr="00405CD6">
              <w:rPr>
                <w:rFonts w:ascii="Arial" w:hAnsi="Arial" w:cs="Arial"/>
                <w:sz w:val="20"/>
                <w:szCs w:val="20"/>
              </w:rPr>
              <w:t xml:space="preserve">Stránka </w:t>
            </w:r>
            <w:r w:rsidR="00AE01AE" w:rsidRPr="00405CD6">
              <w:rPr>
                <w:rFonts w:ascii="Arial" w:hAnsi="Arial" w:cs="Arial"/>
                <w:b/>
                <w:sz w:val="20"/>
                <w:szCs w:val="20"/>
              </w:rPr>
              <w:fldChar w:fldCharType="begin"/>
            </w:r>
            <w:r w:rsidRPr="00405CD6">
              <w:rPr>
                <w:rFonts w:ascii="Arial" w:hAnsi="Arial" w:cs="Arial"/>
                <w:b/>
                <w:sz w:val="20"/>
                <w:szCs w:val="20"/>
              </w:rPr>
              <w:instrText>PAGE</w:instrText>
            </w:r>
            <w:r w:rsidR="00AE01AE" w:rsidRPr="00405CD6">
              <w:rPr>
                <w:rFonts w:ascii="Arial" w:hAnsi="Arial" w:cs="Arial"/>
                <w:b/>
                <w:sz w:val="20"/>
                <w:szCs w:val="20"/>
              </w:rPr>
              <w:fldChar w:fldCharType="separate"/>
            </w:r>
            <w:r w:rsidR="00EB423F">
              <w:rPr>
                <w:rFonts w:ascii="Arial" w:hAnsi="Arial" w:cs="Arial"/>
                <w:b/>
                <w:noProof/>
                <w:sz w:val="20"/>
                <w:szCs w:val="20"/>
              </w:rPr>
              <w:t>1</w:t>
            </w:r>
            <w:r w:rsidR="00AE01AE" w:rsidRPr="00405CD6">
              <w:rPr>
                <w:rFonts w:ascii="Arial" w:hAnsi="Arial" w:cs="Arial"/>
                <w:b/>
                <w:sz w:val="20"/>
                <w:szCs w:val="20"/>
              </w:rPr>
              <w:fldChar w:fldCharType="end"/>
            </w:r>
            <w:r w:rsidRPr="00405CD6">
              <w:rPr>
                <w:rFonts w:ascii="Arial" w:hAnsi="Arial" w:cs="Arial"/>
                <w:sz w:val="20"/>
                <w:szCs w:val="20"/>
              </w:rPr>
              <w:t xml:space="preserve"> z </w:t>
            </w:r>
            <w:r w:rsidR="00AE01AE" w:rsidRPr="00405CD6">
              <w:rPr>
                <w:rFonts w:ascii="Arial" w:hAnsi="Arial" w:cs="Arial"/>
                <w:b/>
                <w:sz w:val="20"/>
                <w:szCs w:val="20"/>
              </w:rPr>
              <w:fldChar w:fldCharType="begin"/>
            </w:r>
            <w:r w:rsidRPr="00405CD6">
              <w:rPr>
                <w:rFonts w:ascii="Arial" w:hAnsi="Arial" w:cs="Arial"/>
                <w:b/>
                <w:sz w:val="20"/>
                <w:szCs w:val="20"/>
              </w:rPr>
              <w:instrText>NUMPAGES</w:instrText>
            </w:r>
            <w:r w:rsidR="00AE01AE" w:rsidRPr="00405CD6">
              <w:rPr>
                <w:rFonts w:ascii="Arial" w:hAnsi="Arial" w:cs="Arial"/>
                <w:b/>
                <w:sz w:val="20"/>
                <w:szCs w:val="20"/>
              </w:rPr>
              <w:fldChar w:fldCharType="separate"/>
            </w:r>
            <w:r w:rsidR="00EB423F">
              <w:rPr>
                <w:rFonts w:ascii="Arial" w:hAnsi="Arial" w:cs="Arial"/>
                <w:b/>
                <w:noProof/>
                <w:sz w:val="20"/>
                <w:szCs w:val="20"/>
              </w:rPr>
              <w:t>11</w:t>
            </w:r>
            <w:r w:rsidR="00AE01AE" w:rsidRPr="00405CD6">
              <w:rPr>
                <w:rFonts w:ascii="Arial" w:hAnsi="Arial" w:cs="Arial"/>
                <w:b/>
                <w:sz w:val="20"/>
                <w:szCs w:val="20"/>
              </w:rPr>
              <w:fldChar w:fldCharType="end"/>
            </w:r>
          </w:p>
          <w:p w:rsidR="00C67606" w:rsidRDefault="00C67606">
            <w:pPr>
              <w:pStyle w:val="Zpat"/>
              <w:jc w:val="right"/>
              <w:rPr>
                <w:rFonts w:ascii="Arial" w:hAnsi="Arial" w:cs="Arial"/>
                <w:b/>
                <w:sz w:val="20"/>
                <w:szCs w:val="20"/>
              </w:rPr>
            </w:pPr>
          </w:p>
          <w:p w:rsidR="00C67606" w:rsidRPr="00405CD6" w:rsidRDefault="00AE01AE" w:rsidP="00405CD6">
            <w:pPr>
              <w:pStyle w:val="Zpat"/>
              <w:jc w:val="both"/>
              <w:rPr>
                <w:rFonts w:ascii="Arial" w:hAnsi="Arial" w:cs="Arial"/>
                <w:sz w:val="20"/>
                <w:szCs w:val="20"/>
              </w:rPr>
            </w:pPr>
          </w:p>
        </w:sdtContent>
      </w:sdt>
    </w:sdtContent>
  </w:sdt>
  <w:p w:rsidR="00C67606" w:rsidRDefault="00C67606">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23F" w:rsidRDefault="00EB423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606" w:rsidRDefault="00C67606" w:rsidP="00405CD6">
      <w:r>
        <w:separator/>
      </w:r>
    </w:p>
  </w:footnote>
  <w:footnote w:type="continuationSeparator" w:id="0">
    <w:p w:rsidR="00C67606" w:rsidRDefault="00C67606" w:rsidP="00405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23F" w:rsidRDefault="00EB423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23F" w:rsidRDefault="00EB423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23F" w:rsidRDefault="00EB423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5D04D6"/>
    <w:multiLevelType w:val="hybridMultilevel"/>
    <w:tmpl w:val="6D16556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8A47AF7"/>
    <w:multiLevelType w:val="hybridMultilevel"/>
    <w:tmpl w:val="5992B95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90B65D2"/>
    <w:multiLevelType w:val="hybridMultilevel"/>
    <w:tmpl w:val="D6C499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2818642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2C31135D"/>
    <w:multiLevelType w:val="hybridMultilevel"/>
    <w:tmpl w:val="E90E5D06"/>
    <w:lvl w:ilvl="0" w:tplc="B4D26046">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0F41D89"/>
    <w:multiLevelType w:val="hybridMultilevel"/>
    <w:tmpl w:val="7B9207A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4638037E"/>
    <w:multiLevelType w:val="hybridMultilevel"/>
    <w:tmpl w:val="737E0B1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46F72F5A"/>
    <w:multiLevelType w:val="hybridMultilevel"/>
    <w:tmpl w:val="97680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595FCE"/>
    <w:multiLevelType w:val="hybridMultilevel"/>
    <w:tmpl w:val="5E00B452"/>
    <w:lvl w:ilvl="0" w:tplc="0405000B">
      <w:start w:val="1"/>
      <w:numFmt w:val="bullet"/>
      <w:lvlText w:val=""/>
      <w:lvlJc w:val="left"/>
      <w:pPr>
        <w:tabs>
          <w:tab w:val="num" w:pos="1065"/>
        </w:tabs>
        <w:ind w:left="1065"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5F4A6A87"/>
    <w:multiLevelType w:val="hybridMultilevel"/>
    <w:tmpl w:val="2B7EE1B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66E12305"/>
    <w:multiLevelType w:val="singleLevel"/>
    <w:tmpl w:val="04050001"/>
    <w:lvl w:ilvl="0">
      <w:start w:val="1"/>
      <w:numFmt w:val="bullet"/>
      <w:lvlText w:val=""/>
      <w:lvlJc w:val="left"/>
      <w:pPr>
        <w:ind w:left="720" w:hanging="360"/>
      </w:pPr>
      <w:rPr>
        <w:rFonts w:ascii="Symbol" w:hAnsi="Symbol" w:hint="default"/>
      </w:rPr>
    </w:lvl>
  </w:abstractNum>
  <w:abstractNum w:abstractNumId="12">
    <w:nsid w:val="688868BC"/>
    <w:multiLevelType w:val="hybridMultilevel"/>
    <w:tmpl w:val="318E7CEE"/>
    <w:lvl w:ilvl="0" w:tplc="04050015">
      <w:start w:val="1"/>
      <w:numFmt w:val="upp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7AA13773"/>
    <w:multiLevelType w:val="singleLevel"/>
    <w:tmpl w:val="0268A892"/>
    <w:lvl w:ilvl="0">
      <w:start w:val="1"/>
      <w:numFmt w:val="bullet"/>
      <w:lvlText w:val=""/>
      <w:lvlJc w:val="left"/>
      <w:pPr>
        <w:tabs>
          <w:tab w:val="num" w:pos="644"/>
        </w:tabs>
        <w:ind w:left="567" w:hanging="283"/>
      </w:pPr>
      <w:rPr>
        <w:rFonts w:ascii="Symbol" w:hAnsi="Symbol"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13"/>
  </w:num>
  <w:num w:numId="13">
    <w:abstractNumId w:val="11"/>
  </w:num>
  <w:num w:numId="14">
    <w:abstractNumId w:val="9"/>
  </w:num>
  <w:num w:numId="15">
    <w:abstractNumId w:val="7"/>
  </w:num>
  <w:num w:numId="16">
    <w:abstractNumId w:val="1"/>
  </w:num>
  <w:num w:numId="17">
    <w:abstractNumId w:val="1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DB0F84"/>
    <w:rsid w:val="00052C95"/>
    <w:rsid w:val="000615A9"/>
    <w:rsid w:val="000C162F"/>
    <w:rsid w:val="001D285A"/>
    <w:rsid w:val="00241B15"/>
    <w:rsid w:val="00262FBF"/>
    <w:rsid w:val="0027272E"/>
    <w:rsid w:val="002A0EA8"/>
    <w:rsid w:val="00317E82"/>
    <w:rsid w:val="003241C3"/>
    <w:rsid w:val="00324AD4"/>
    <w:rsid w:val="00405CD6"/>
    <w:rsid w:val="004D2EBD"/>
    <w:rsid w:val="004E677E"/>
    <w:rsid w:val="0053431E"/>
    <w:rsid w:val="005640D8"/>
    <w:rsid w:val="0058695B"/>
    <w:rsid w:val="00663391"/>
    <w:rsid w:val="006D7A41"/>
    <w:rsid w:val="00731FF7"/>
    <w:rsid w:val="007807BA"/>
    <w:rsid w:val="007B62B0"/>
    <w:rsid w:val="007D6BE3"/>
    <w:rsid w:val="00824615"/>
    <w:rsid w:val="00831896"/>
    <w:rsid w:val="008347A5"/>
    <w:rsid w:val="00896AA1"/>
    <w:rsid w:val="008A3E77"/>
    <w:rsid w:val="008B3C22"/>
    <w:rsid w:val="008C4820"/>
    <w:rsid w:val="008F00C4"/>
    <w:rsid w:val="009502A0"/>
    <w:rsid w:val="009B0E77"/>
    <w:rsid w:val="009B4752"/>
    <w:rsid w:val="00A059E8"/>
    <w:rsid w:val="00A06C48"/>
    <w:rsid w:val="00A633F7"/>
    <w:rsid w:val="00A65C36"/>
    <w:rsid w:val="00AE01AE"/>
    <w:rsid w:val="00B95A0D"/>
    <w:rsid w:val="00BF15BD"/>
    <w:rsid w:val="00BF1F0E"/>
    <w:rsid w:val="00C67606"/>
    <w:rsid w:val="00CB5FBD"/>
    <w:rsid w:val="00D15FD5"/>
    <w:rsid w:val="00D16A9B"/>
    <w:rsid w:val="00D655CC"/>
    <w:rsid w:val="00D91171"/>
    <w:rsid w:val="00DB0F84"/>
    <w:rsid w:val="00DD22CD"/>
    <w:rsid w:val="00E242F5"/>
    <w:rsid w:val="00E54CD4"/>
    <w:rsid w:val="00E55E89"/>
    <w:rsid w:val="00EA124D"/>
    <w:rsid w:val="00EB423F"/>
    <w:rsid w:val="00FD313F"/>
    <w:rsid w:val="00FE59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0F8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nhideWhenUsed/>
    <w:qFormat/>
    <w:rsid w:val="00DB0F84"/>
    <w:pPr>
      <w:keepNext/>
      <w:ind w:left="3540"/>
      <w:outlineLvl w:val="1"/>
    </w:pPr>
    <w:rPr>
      <w:b/>
      <w:sz w:val="2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0F84"/>
    <w:pPr>
      <w:spacing w:after="0" w:line="240" w:lineRule="auto"/>
    </w:pPr>
  </w:style>
  <w:style w:type="character" w:customStyle="1" w:styleId="Nadpis2Char">
    <w:name w:val="Nadpis 2 Char"/>
    <w:basedOn w:val="Standardnpsmoodstavce"/>
    <w:link w:val="Nadpis2"/>
    <w:rsid w:val="00DB0F84"/>
    <w:rPr>
      <w:rFonts w:ascii="Times New Roman" w:eastAsia="Times New Roman" w:hAnsi="Times New Roman" w:cs="Times New Roman"/>
      <w:b/>
      <w:sz w:val="28"/>
      <w:szCs w:val="20"/>
    </w:rPr>
  </w:style>
  <w:style w:type="paragraph" w:styleId="Zkladntext">
    <w:name w:val="Body Text"/>
    <w:basedOn w:val="Normln"/>
    <w:link w:val="ZkladntextChar"/>
    <w:uiPriority w:val="99"/>
    <w:semiHidden/>
    <w:unhideWhenUsed/>
    <w:rsid w:val="00DB0F84"/>
    <w:pPr>
      <w:spacing w:after="120"/>
    </w:pPr>
  </w:style>
  <w:style w:type="character" w:customStyle="1" w:styleId="ZkladntextChar">
    <w:name w:val="Základní text Char"/>
    <w:basedOn w:val="Standardnpsmoodstavce"/>
    <w:link w:val="Zkladntext"/>
    <w:uiPriority w:val="99"/>
    <w:semiHidden/>
    <w:rsid w:val="00DB0F84"/>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unhideWhenUsed/>
    <w:rsid w:val="00DB0F84"/>
    <w:pPr>
      <w:spacing w:after="120" w:line="480" w:lineRule="auto"/>
    </w:pPr>
    <w:rPr>
      <w:sz w:val="20"/>
      <w:szCs w:val="20"/>
      <w:lang w:eastAsia="en-US"/>
    </w:rPr>
  </w:style>
  <w:style w:type="character" w:customStyle="1" w:styleId="Zkladntext2Char">
    <w:name w:val="Základní text 2 Char"/>
    <w:basedOn w:val="Standardnpsmoodstavce"/>
    <w:link w:val="Zkladntext2"/>
    <w:uiPriority w:val="99"/>
    <w:rsid w:val="00DB0F84"/>
    <w:rPr>
      <w:rFonts w:ascii="Times New Roman" w:eastAsia="Times New Roman" w:hAnsi="Times New Roman" w:cs="Times New Roman"/>
      <w:sz w:val="20"/>
      <w:szCs w:val="20"/>
    </w:rPr>
  </w:style>
  <w:style w:type="paragraph" w:styleId="Odstavecseseznamem">
    <w:name w:val="List Paragraph"/>
    <w:basedOn w:val="Normln"/>
    <w:uiPriority w:val="34"/>
    <w:qFormat/>
    <w:rsid w:val="00DB0F84"/>
    <w:pPr>
      <w:ind w:left="720"/>
      <w:contextualSpacing/>
    </w:pPr>
    <w:rPr>
      <w:rFonts w:ascii="Arial" w:hAnsi="Arial"/>
      <w:sz w:val="19"/>
      <w:lang w:eastAsia="en-US"/>
    </w:rPr>
  </w:style>
  <w:style w:type="paragraph" w:customStyle="1" w:styleId="Default">
    <w:name w:val="Default"/>
    <w:rsid w:val="00DB0F84"/>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405CD6"/>
    <w:pPr>
      <w:tabs>
        <w:tab w:val="center" w:pos="4536"/>
        <w:tab w:val="right" w:pos="9072"/>
      </w:tabs>
    </w:pPr>
  </w:style>
  <w:style w:type="character" w:customStyle="1" w:styleId="ZhlavChar">
    <w:name w:val="Záhlaví Char"/>
    <w:basedOn w:val="Standardnpsmoodstavce"/>
    <w:link w:val="Zhlav"/>
    <w:uiPriority w:val="99"/>
    <w:rsid w:val="00405C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05CD6"/>
    <w:pPr>
      <w:tabs>
        <w:tab w:val="center" w:pos="4536"/>
        <w:tab w:val="right" w:pos="9072"/>
      </w:tabs>
    </w:pPr>
  </w:style>
  <w:style w:type="character" w:customStyle="1" w:styleId="ZpatChar">
    <w:name w:val="Zápatí Char"/>
    <w:basedOn w:val="Standardnpsmoodstavce"/>
    <w:link w:val="Zpat"/>
    <w:uiPriority w:val="99"/>
    <w:rsid w:val="00405CD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F1F0E"/>
    <w:rPr>
      <w:rFonts w:ascii="Tahoma" w:hAnsi="Tahoma" w:cs="Tahoma"/>
      <w:sz w:val="16"/>
      <w:szCs w:val="16"/>
    </w:rPr>
  </w:style>
  <w:style w:type="character" w:customStyle="1" w:styleId="TextbublinyChar">
    <w:name w:val="Text bubliny Char"/>
    <w:basedOn w:val="Standardnpsmoodstavce"/>
    <w:link w:val="Textbubliny"/>
    <w:uiPriority w:val="99"/>
    <w:semiHidden/>
    <w:rsid w:val="00BF1F0E"/>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583491577">
      <w:bodyDiv w:val="1"/>
      <w:marLeft w:val="0"/>
      <w:marRight w:val="0"/>
      <w:marTop w:val="0"/>
      <w:marBottom w:val="0"/>
      <w:divBdr>
        <w:top w:val="none" w:sz="0" w:space="0" w:color="auto"/>
        <w:left w:val="none" w:sz="0" w:space="0" w:color="auto"/>
        <w:bottom w:val="none" w:sz="0" w:space="0" w:color="auto"/>
        <w:right w:val="none" w:sz="0" w:space="0" w:color="auto"/>
      </w:divBdr>
    </w:div>
    <w:div w:id="716321977">
      <w:bodyDiv w:val="1"/>
      <w:marLeft w:val="0"/>
      <w:marRight w:val="0"/>
      <w:marTop w:val="0"/>
      <w:marBottom w:val="0"/>
      <w:divBdr>
        <w:top w:val="none" w:sz="0" w:space="0" w:color="auto"/>
        <w:left w:val="none" w:sz="0" w:space="0" w:color="auto"/>
        <w:bottom w:val="none" w:sz="0" w:space="0" w:color="auto"/>
        <w:right w:val="none" w:sz="0" w:space="0" w:color="auto"/>
      </w:divBdr>
    </w:div>
    <w:div w:id="938559807">
      <w:bodyDiv w:val="1"/>
      <w:marLeft w:val="0"/>
      <w:marRight w:val="0"/>
      <w:marTop w:val="0"/>
      <w:marBottom w:val="0"/>
      <w:divBdr>
        <w:top w:val="none" w:sz="0" w:space="0" w:color="auto"/>
        <w:left w:val="none" w:sz="0" w:space="0" w:color="auto"/>
        <w:bottom w:val="none" w:sz="0" w:space="0" w:color="auto"/>
        <w:right w:val="none" w:sz="0" w:space="0" w:color="auto"/>
      </w:divBdr>
    </w:div>
    <w:div w:id="12972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C81C-F87B-4B82-8715-1B0E1492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2057</Words>
  <Characters>12138</Characters>
  <Application>Microsoft Office Word</Application>
  <DocSecurity>0</DocSecurity>
  <Lines>101</Lines>
  <Paragraphs>28</Paragraphs>
  <ScaleCrop>false</ScaleCrop>
  <Company/>
  <LinksUpToDate>false</LinksUpToDate>
  <CharactersWithSpaces>14167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2017-12-19T15:29:00Z</dcterms:created>
  <dcterms:modified xsi:type="dcterms:W3CDTF">2017-12-19T15:29:00Z</dcterms:modified>
</cp:coreProperties>
</file>