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3D781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4</w:t>
                            </w:r>
                            <w:r w:rsidR="00406213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4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3D781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4</w:t>
                      </w:r>
                      <w:r w:rsidR="00406213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4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763F9F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763F9F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 xml:space="preserve">IČ: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6D6443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553E35" w:rsidRPr="00406213" w:rsidRDefault="00553E35" w:rsidP="00A6673B">
      <w:pPr>
        <w:tabs>
          <w:tab w:val="left" w:pos="2694"/>
        </w:tabs>
        <w:ind w:left="2694" w:hanging="2694"/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 w:rsidR="00D50DC6">
        <w:rPr>
          <w:rFonts w:ascii="Garamond" w:hAnsi="Garamond"/>
          <w:b/>
          <w:bCs/>
        </w:rPr>
        <w:tab/>
      </w:r>
      <w:r w:rsidR="00406213" w:rsidRPr="0000627A">
        <w:rPr>
          <w:rFonts w:ascii="Garamond" w:hAnsi="Garamond" w:cs="Arial"/>
          <w:b/>
          <w:color w:val="000000"/>
        </w:rPr>
        <w:t>Občanské sdružení ProCit</w:t>
      </w:r>
      <w:r w:rsidR="00A25B9C" w:rsidRPr="0000627A">
        <w:rPr>
          <w:rStyle w:val="Siln"/>
          <w:rFonts w:ascii="Garamond" w:hAnsi="Garamond"/>
        </w:rPr>
        <w:t>, z. s.</w:t>
      </w:r>
      <w:r w:rsidR="00A6673B" w:rsidRPr="0000627A">
        <w:rPr>
          <w:rStyle w:val="Siln"/>
          <w:rFonts w:ascii="Garamond" w:hAnsi="Garamond"/>
        </w:rPr>
        <w:t xml:space="preserve"> </w:t>
      </w:r>
    </w:p>
    <w:p w:rsidR="00A6673B" w:rsidRDefault="00AF2BF9" w:rsidP="00825164">
      <w:pPr>
        <w:tabs>
          <w:tab w:val="left" w:pos="2700"/>
        </w:tabs>
        <w:ind w:left="2700" w:hanging="2700"/>
        <w:rPr>
          <w:rFonts w:ascii="Garamond" w:hAnsi="Garamond"/>
        </w:rPr>
      </w:pPr>
      <w:r w:rsidRPr="0068399C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A25B9C">
        <w:rPr>
          <w:rFonts w:ascii="Garamond" w:hAnsi="Garamond"/>
        </w:rPr>
        <w:t xml:space="preserve">spolek, zapsaný </w:t>
      </w:r>
      <w:r w:rsidR="00A25B9C" w:rsidRPr="006F40F8">
        <w:rPr>
          <w:rFonts w:ascii="Garamond" w:hAnsi="Garamond"/>
        </w:rPr>
        <w:t>u Krajského soudu</w:t>
      </w:r>
      <w:r w:rsidR="00A25B9C">
        <w:rPr>
          <w:rFonts w:ascii="Garamond" w:hAnsi="Garamond"/>
        </w:rPr>
        <w:t xml:space="preserve"> v P</w:t>
      </w:r>
      <w:r w:rsidR="00A25B9C" w:rsidRPr="006F40F8">
        <w:rPr>
          <w:rFonts w:ascii="Garamond" w:hAnsi="Garamond"/>
        </w:rPr>
        <w:t>lzni</w:t>
      </w:r>
      <w:r w:rsidR="00A25B9C">
        <w:rPr>
          <w:rFonts w:ascii="Garamond" w:hAnsi="Garamond"/>
        </w:rPr>
        <w:t xml:space="preserve">, </w:t>
      </w:r>
      <w:r w:rsidR="00C66089" w:rsidRPr="00BF7B57">
        <w:rPr>
          <w:rFonts w:ascii="Garamond" w:hAnsi="Garamond"/>
        </w:rPr>
        <w:t xml:space="preserve">oddíl L, vložka </w:t>
      </w:r>
      <w:r w:rsidR="00C66089">
        <w:rPr>
          <w:rFonts w:ascii="Garamond" w:hAnsi="Garamond"/>
        </w:rPr>
        <w:t>5878</w:t>
      </w:r>
      <w:r w:rsidR="00A6673B">
        <w:rPr>
          <w:rFonts w:ascii="Garamond" w:hAnsi="Garamond"/>
        </w:rPr>
        <w:t xml:space="preserve"> </w:t>
      </w:r>
    </w:p>
    <w:p w:rsidR="00553E35" w:rsidRPr="00406213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406213" w:rsidRPr="00406213">
        <w:rPr>
          <w:rFonts w:ascii="Garamond" w:hAnsi="Garamond"/>
        </w:rPr>
        <w:t>Kaznějovská 1517/51, Bolevec, 323 00 Plzeň</w:t>
      </w:r>
    </w:p>
    <w:p w:rsidR="00553E35" w:rsidRPr="00406213" w:rsidRDefault="00D50DC6" w:rsidP="00BF7B57">
      <w:pPr>
        <w:tabs>
          <w:tab w:val="left" w:pos="2700"/>
        </w:tabs>
        <w:rPr>
          <w:rFonts w:ascii="Garamond" w:hAnsi="Garamond"/>
        </w:rPr>
      </w:pPr>
      <w:r w:rsidRPr="00406213">
        <w:rPr>
          <w:rFonts w:ascii="Garamond" w:hAnsi="Garamond"/>
        </w:rPr>
        <w:t xml:space="preserve">IČ:                       </w:t>
      </w:r>
      <w:r w:rsidRPr="00406213">
        <w:rPr>
          <w:rFonts w:ascii="Garamond" w:hAnsi="Garamond"/>
        </w:rPr>
        <w:tab/>
      </w:r>
      <w:r w:rsidR="00B134A0" w:rsidRPr="00B134A0">
        <w:rPr>
          <w:rFonts w:ascii="Garamond" w:hAnsi="Garamond"/>
        </w:rPr>
        <w:t>22909486</w:t>
      </w:r>
    </w:p>
    <w:p w:rsidR="00553E35" w:rsidRPr="00F73475" w:rsidRDefault="00D50DC6" w:rsidP="00553E35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D50DC6" w:rsidP="006D6443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BB3EED">
        <w:rPr>
          <w:rFonts w:ascii="Garamond" w:hAnsi="Garamond"/>
          <w:b/>
        </w:rPr>
        <w:t>Iren</w:t>
      </w:r>
      <w:r w:rsidR="00BB3EED" w:rsidRPr="001221BB">
        <w:rPr>
          <w:rFonts w:ascii="Garamond" w:hAnsi="Garamond"/>
          <w:b/>
        </w:rPr>
        <w:t xml:space="preserve">ou </w:t>
      </w:r>
      <w:r w:rsidR="00BB3EED">
        <w:rPr>
          <w:rFonts w:ascii="Garamond" w:hAnsi="Garamond"/>
          <w:b/>
        </w:rPr>
        <w:t>Vítovc</w:t>
      </w:r>
      <w:r w:rsidR="00BB3EED" w:rsidRPr="001221BB">
        <w:rPr>
          <w:rFonts w:ascii="Garamond" w:hAnsi="Garamond"/>
          <w:b/>
        </w:rPr>
        <w:t>ovou</w:t>
      </w:r>
      <w:r w:rsidR="00BB3EED">
        <w:rPr>
          <w:rFonts w:ascii="Garamond" w:hAnsi="Garamond"/>
        </w:rPr>
        <w:t xml:space="preserve">, </w:t>
      </w:r>
      <w:r w:rsidR="00A25B9C">
        <w:rPr>
          <w:rFonts w:ascii="Garamond" w:hAnsi="Garamond"/>
        </w:rPr>
        <w:t>předsedou</w:t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847A3E">
        <w:rPr>
          <w:rFonts w:ascii="Garamond" w:hAnsi="Garamond"/>
        </w:rPr>
        <w:t>Zastupitelstva</w:t>
      </w:r>
      <w:r w:rsidR="00535E0F">
        <w:rPr>
          <w:rFonts w:ascii="Garamond" w:hAnsi="Garamond"/>
        </w:rPr>
        <w:t xml:space="preserve"> města Plzně č. </w:t>
      </w:r>
      <w:r w:rsidR="00406213">
        <w:rPr>
          <w:rFonts w:ascii="Garamond" w:hAnsi="Garamond"/>
        </w:rPr>
        <w:t>462</w:t>
      </w:r>
      <w:r w:rsidR="00535E0F">
        <w:rPr>
          <w:rFonts w:ascii="Garamond" w:hAnsi="Garamond"/>
        </w:rPr>
        <w:t xml:space="preserve"> ze dne </w:t>
      </w:r>
      <w:r w:rsidR="00406213">
        <w:rPr>
          <w:rFonts w:ascii="Garamond" w:hAnsi="Garamond"/>
        </w:rPr>
        <w:t>26</w:t>
      </w:r>
      <w:r w:rsidR="00535E0F">
        <w:rPr>
          <w:rFonts w:ascii="Garamond" w:hAnsi="Garamond"/>
        </w:rPr>
        <w:t xml:space="preserve">. </w:t>
      </w:r>
      <w:r w:rsidR="00A25B9C">
        <w:rPr>
          <w:rFonts w:ascii="Garamond" w:hAnsi="Garamond"/>
        </w:rPr>
        <w:t>ří</w:t>
      </w:r>
      <w:r w:rsidR="00406213">
        <w:rPr>
          <w:rFonts w:ascii="Garamond" w:hAnsi="Garamond"/>
        </w:rPr>
        <w:t>jna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847A3E">
        <w:rPr>
          <w:rFonts w:ascii="Garamond" w:hAnsi="Garamond"/>
        </w:rPr>
        <w:t xml:space="preserve"> tuto </w:t>
      </w:r>
      <w:r w:rsidR="005C0988">
        <w:rPr>
          <w:rFonts w:ascii="Garamond" w:hAnsi="Garamond"/>
        </w:rPr>
        <w:t>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r w:rsidR="005C0988">
        <w:rPr>
          <w:rFonts w:ascii="Garamond" w:hAnsi="Garamond"/>
        </w:rPr>
        <w:t>Mikrogranty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763F9F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A25B9C">
      <w:pPr>
        <w:numPr>
          <w:ilvl w:val="0"/>
          <w:numId w:val="1"/>
        </w:numPr>
        <w:tabs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406213" w:rsidRPr="00406213">
        <w:rPr>
          <w:rFonts w:ascii="Garamond" w:hAnsi="Garamond" w:cs="Arial"/>
          <w:b/>
          <w:color w:val="000000"/>
        </w:rPr>
        <w:t>Divadelní představení: JINÝ, NEŽ KDO?!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B6742A">
        <w:rPr>
          <w:rFonts w:ascii="Garamond" w:hAnsi="Garamond"/>
          <w:b/>
          <w:bCs/>
        </w:rPr>
        <w:t>1</w:t>
      </w:r>
      <w:r w:rsidR="00A25B9C">
        <w:rPr>
          <w:rFonts w:ascii="Garamond" w:hAnsi="Garamond"/>
          <w:b/>
          <w:bCs/>
        </w:rPr>
        <w:t>5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EC5CFC">
        <w:rPr>
          <w:rFonts w:ascii="Garamond" w:hAnsi="Garamond"/>
          <w:i/>
          <w:iCs/>
        </w:rPr>
        <w:t>:</w:t>
      </w:r>
      <w:r w:rsidR="00E252A0">
        <w:rPr>
          <w:rFonts w:ascii="Garamond" w:hAnsi="Garamond"/>
          <w:i/>
          <w:iCs/>
        </w:rPr>
        <w:t xml:space="preserve"> </w:t>
      </w:r>
      <w:r w:rsidR="00A25B9C">
        <w:rPr>
          <w:rFonts w:ascii="Garamond" w:hAnsi="Garamond"/>
          <w:i/>
          <w:iCs/>
        </w:rPr>
        <w:t>patnác</w:t>
      </w:r>
      <w:r w:rsidR="00625807">
        <w:rPr>
          <w:rFonts w:ascii="Garamond" w:hAnsi="Garamond"/>
          <w:i/>
          <w:iCs/>
        </w:rPr>
        <w:t>t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763F9F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304F3F">
        <w:rPr>
          <w:rFonts w:ascii="Garamond" w:hAnsi="Garamond"/>
        </w:rPr>
        <w:t>led</w:t>
      </w:r>
      <w:r w:rsidRPr="00095905">
        <w:rPr>
          <w:rFonts w:ascii="Garamond" w:hAnsi="Garamond"/>
        </w:rPr>
        <w:t>n</w:t>
      </w:r>
      <w:r w:rsidR="002E7F12">
        <w:rPr>
          <w:rFonts w:ascii="Garamond" w:hAnsi="Garamond"/>
        </w:rPr>
        <w:t>a</w:t>
      </w:r>
      <w:r w:rsidR="00964D40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2A18C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D75586">
        <w:rPr>
          <w:rFonts w:ascii="Garamond" w:hAnsi="Garamond"/>
        </w:rPr>
        <w:t>prosi</w:t>
      </w:r>
      <w:r w:rsidR="002A18CF">
        <w:rPr>
          <w:rFonts w:ascii="Garamond" w:hAnsi="Garamond"/>
        </w:rPr>
        <w:t>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E60D03">
        <w:rPr>
          <w:rFonts w:ascii="Garamond" w:hAnsi="Garamond"/>
        </w:rPr>
        <w:t>4</w:t>
      </w:r>
      <w:r w:rsidR="00406213">
        <w:rPr>
          <w:rFonts w:ascii="Garamond" w:hAnsi="Garamond"/>
        </w:rPr>
        <w:t>4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r w:rsidR="00535E0F" w:rsidRPr="006D6443">
        <w:rPr>
          <w:rFonts w:ascii="Garamond" w:hAnsi="Garamond"/>
        </w:rPr>
        <w:t>Mikrogranty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č. 2 </w:t>
      </w:r>
      <w:r w:rsidR="00535E0F" w:rsidRPr="006D6443">
        <w:rPr>
          <w:rFonts w:ascii="Garamond" w:hAnsi="Garamond"/>
        </w:rPr>
        <w:t>této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763F9F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D75586">
        <w:rPr>
          <w:rFonts w:ascii="Garamond" w:hAnsi="Garamond"/>
          <w:b/>
        </w:rPr>
        <w:t>prosince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763F9F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D75586">
        <w:rPr>
          <w:rFonts w:ascii="Garamond" w:hAnsi="Garamond"/>
          <w:sz w:val="24"/>
          <w:szCs w:val="24"/>
        </w:rPr>
        <w:t>prosin</w:t>
      </w:r>
      <w:r w:rsidR="008F4FA6">
        <w:rPr>
          <w:rFonts w:ascii="Garamond" w:hAnsi="Garamond"/>
          <w:sz w:val="24"/>
          <w:szCs w:val="24"/>
        </w:rPr>
        <w:t>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lastRenderedPageBreak/>
        <w:t xml:space="preserve">na základě rozhodnutí Evropské komise podle čl. VI. odst. </w:t>
      </w:r>
      <w:r w:rsidR="0038561C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zadržení finančních prostředků ve 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 xml:space="preserve">V Plzni dne </w:t>
      </w:r>
      <w:r w:rsidR="00B27F60">
        <w:rPr>
          <w:rFonts w:ascii="Garamond" w:hAnsi="Garamond"/>
        </w:rPr>
        <w:t xml:space="preserve">8. 12. </w:t>
      </w:r>
      <w:proofErr w:type="gramStart"/>
      <w:r w:rsidR="00B27F60">
        <w:rPr>
          <w:rFonts w:ascii="Garamond" w:hAnsi="Garamond"/>
        </w:rPr>
        <w:t>2017</w:t>
      </w:r>
      <w:r w:rsidR="00553E35" w:rsidRPr="00F73475">
        <w:rPr>
          <w:rFonts w:ascii="Garamond" w:hAnsi="Garamond"/>
        </w:rPr>
        <w:t xml:space="preserve">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</w:t>
      </w:r>
      <w:r w:rsidR="00B27F60">
        <w:rPr>
          <w:rFonts w:ascii="Garamond" w:hAnsi="Garamond"/>
        </w:rPr>
        <w:t>20. 11. 2017</w:t>
      </w:r>
      <w:bookmarkStart w:id="0" w:name="_GoBack"/>
      <w:bookmarkEnd w:id="0"/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BB3EED" w:rsidRDefault="00BB3EED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BB3EED" w:rsidRDefault="00BB3EED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BB3EED" w:rsidRDefault="00BB3EED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BB3EED" w:rsidRPr="00F73475" w:rsidRDefault="00BB3EED" w:rsidP="00BB3EED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</w:rPr>
        <w:tab/>
        <w:t xml:space="preserve">_________________________     </w:t>
      </w:r>
      <w:r w:rsidRPr="00F73475">
        <w:rPr>
          <w:rFonts w:ascii="Garamond" w:hAnsi="Garamond"/>
        </w:rPr>
        <w:tab/>
        <w:t xml:space="preserve">___________________________ </w:t>
      </w:r>
    </w:p>
    <w:p w:rsidR="00BB3EED" w:rsidRPr="00855A8D" w:rsidRDefault="00BB3EED" w:rsidP="00830049">
      <w:pPr>
        <w:tabs>
          <w:tab w:val="center" w:pos="1980"/>
          <w:tab w:val="center" w:pos="7740"/>
        </w:tabs>
        <w:rPr>
          <w:rFonts w:ascii="Garamond" w:hAnsi="Garamond"/>
          <w:bCs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 w:rsidR="00084C76">
        <w:rPr>
          <w:rFonts w:ascii="Garamond" w:hAnsi="Garamond"/>
          <w:b/>
          <w:bCs/>
          <w:i/>
          <w:iCs/>
        </w:rPr>
        <w:t xml:space="preserve">                  </w:t>
      </w:r>
      <w:r w:rsidRPr="00855A8D">
        <w:rPr>
          <w:rFonts w:ascii="Garamond" w:hAnsi="Garamond"/>
          <w:b/>
          <w:bCs/>
          <w:iCs/>
        </w:rPr>
        <w:t xml:space="preserve">Mgr. Martin Baxa         </w:t>
      </w:r>
      <w:r w:rsidR="00830049">
        <w:rPr>
          <w:rFonts w:ascii="Garamond" w:hAnsi="Garamond"/>
          <w:b/>
          <w:bCs/>
          <w:iCs/>
        </w:rPr>
        <w:t xml:space="preserve">                                                     </w:t>
      </w:r>
      <w:r>
        <w:rPr>
          <w:rFonts w:ascii="Garamond" w:hAnsi="Garamond"/>
          <w:b/>
        </w:rPr>
        <w:t>Irena</w:t>
      </w:r>
      <w:r w:rsidRPr="001221B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Vítovc</w:t>
      </w:r>
      <w:r w:rsidRPr="00134861">
        <w:rPr>
          <w:rFonts w:ascii="Garamond" w:hAnsi="Garamond"/>
          <w:b/>
        </w:rPr>
        <w:t>ová</w:t>
      </w:r>
      <w:r>
        <w:rPr>
          <w:rFonts w:ascii="Garamond" w:hAnsi="Garamond"/>
          <w:b/>
          <w:bCs/>
          <w:iCs/>
        </w:rPr>
        <w:t xml:space="preserve"> </w:t>
      </w:r>
      <w:r w:rsidRPr="00855A8D">
        <w:rPr>
          <w:rFonts w:ascii="Garamond" w:hAnsi="Garamond"/>
          <w:bCs/>
          <w:iCs/>
        </w:rPr>
        <w:t xml:space="preserve"> </w:t>
      </w:r>
    </w:p>
    <w:p w:rsidR="00BB3EED" w:rsidRPr="00F73475" w:rsidRDefault="00BB3EED" w:rsidP="00830049">
      <w:pPr>
        <w:tabs>
          <w:tab w:val="center" w:pos="1980"/>
          <w:tab w:val="center" w:pos="7740"/>
          <w:tab w:val="center" w:pos="8080"/>
        </w:tabs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 w:rsidR="00830049">
        <w:rPr>
          <w:rFonts w:ascii="Garamond" w:hAnsi="Garamond"/>
          <w:b/>
          <w:bCs/>
          <w:i/>
          <w:iCs/>
        </w:rPr>
        <w:t xml:space="preserve">        </w:t>
      </w:r>
      <w:r w:rsidR="00084C76">
        <w:rPr>
          <w:rFonts w:ascii="Garamond" w:hAnsi="Garamond"/>
          <w:b/>
          <w:bCs/>
          <w:i/>
          <w:iCs/>
        </w:rPr>
        <w:t xml:space="preserve"> </w:t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</w:t>
      </w:r>
      <w:r w:rsidR="00830049">
        <w:rPr>
          <w:rFonts w:ascii="Garamond" w:hAnsi="Garamond"/>
          <w:i/>
          <w:iCs/>
        </w:rPr>
        <w:t xml:space="preserve">                            </w:t>
      </w:r>
      <w:r w:rsidR="00084C76">
        <w:rPr>
          <w:rFonts w:ascii="Garamond" w:hAnsi="Garamond"/>
          <w:i/>
          <w:iCs/>
        </w:rPr>
        <w:t xml:space="preserve">                                </w:t>
      </w:r>
      <w:r w:rsidR="00F61AF3">
        <w:rPr>
          <w:rFonts w:ascii="Garamond" w:hAnsi="Garamond"/>
          <w:i/>
          <w:iCs/>
        </w:rPr>
        <w:t xml:space="preserve">  </w:t>
      </w:r>
      <w:r>
        <w:rPr>
          <w:rFonts w:ascii="Garamond" w:hAnsi="Garamond"/>
          <w:i/>
          <w:iCs/>
        </w:rPr>
        <w:t>předsed</w:t>
      </w:r>
      <w:r w:rsidR="00F61AF3">
        <w:rPr>
          <w:rFonts w:ascii="Garamond" w:hAnsi="Garamond"/>
          <w:i/>
          <w:iCs/>
        </w:rPr>
        <w:t>a</w:t>
      </w:r>
    </w:p>
    <w:p w:rsidR="00BB3EED" w:rsidRDefault="00BB3EED" w:rsidP="00084C76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</w:r>
      <w:r w:rsidR="00084C76">
        <w:rPr>
          <w:rFonts w:ascii="Garamond" w:hAnsi="Garamond"/>
        </w:rPr>
        <w:t xml:space="preserve">              Plzeň, statutární město                                                  </w:t>
      </w:r>
      <w:r w:rsidRPr="00B53208">
        <w:rPr>
          <w:rFonts w:ascii="Garamond" w:hAnsi="Garamond"/>
          <w:color w:val="000000"/>
        </w:rPr>
        <w:t>Občanské sdružení ProCit, z. s.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sectPr w:rsidR="008F4FA6" w:rsidSect="00D225BE">
      <w:headerReference w:type="default" r:id="rId10"/>
      <w:footerReference w:type="default" r:id="rId11"/>
      <w:pgSz w:w="11906" w:h="16838" w:code="9"/>
      <w:pgMar w:top="1418" w:right="1134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3B" w:rsidRDefault="004E603B" w:rsidP="00AB7989">
      <w:r>
        <w:separator/>
      </w:r>
    </w:p>
  </w:endnote>
  <w:endnote w:type="continuationSeparator" w:id="0">
    <w:p w:rsidR="004E603B" w:rsidRDefault="004E603B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7F60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27F60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3B" w:rsidRDefault="004E603B" w:rsidP="00AB7989">
      <w:r>
        <w:separator/>
      </w:r>
    </w:p>
  </w:footnote>
  <w:footnote w:type="continuationSeparator" w:id="0">
    <w:p w:rsidR="004E603B" w:rsidRDefault="004E603B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5" w:rsidRDefault="005C0988" w:rsidP="005C0988">
    <w:pPr>
      <w:tabs>
        <w:tab w:val="center" w:pos="1980"/>
        <w:tab w:val="center" w:pos="7740"/>
      </w:tabs>
      <w:jc w:val="both"/>
      <w:rPr>
        <w:rStyle w:val="Siln"/>
        <w:rFonts w:ascii="Garamond" w:hAnsi="Garamond"/>
        <w:b w:val="0"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                     </w:t>
    </w:r>
    <w:r w:rsidR="00F86A75">
      <w:rPr>
        <w:rFonts w:ascii="Garamond" w:hAnsi="Garamond"/>
        <w:i/>
        <w:iCs/>
        <w:color w:val="7F7F7F"/>
        <w:sz w:val="20"/>
        <w:szCs w:val="20"/>
      </w:rPr>
      <w:t xml:space="preserve">          </w:t>
    </w:r>
    <w:r w:rsidR="00807A85">
      <w:rPr>
        <w:rFonts w:ascii="Garamond" w:hAnsi="Garamond"/>
        <w:i/>
        <w:iCs/>
        <w:color w:val="7F7F7F"/>
        <w:sz w:val="20"/>
        <w:szCs w:val="20"/>
      </w:rPr>
      <w:tab/>
      <w:t xml:space="preserve">                      </w:t>
    </w:r>
    <w:r w:rsidR="00B134A0">
      <w:rPr>
        <w:rStyle w:val="Siln"/>
        <w:rFonts w:ascii="Garamond" w:hAnsi="Garamond"/>
        <w:b w:val="0"/>
        <w:i/>
        <w:color w:val="808080"/>
        <w:sz w:val="20"/>
        <w:szCs w:val="20"/>
      </w:rPr>
      <w:t>Občanské sdružení ProCit</w:t>
    </w:r>
    <w:r w:rsidR="00A25B9C" w:rsidRPr="00427460">
      <w:rPr>
        <w:rStyle w:val="Siln"/>
        <w:rFonts w:ascii="Garamond" w:hAnsi="Garamond"/>
        <w:b w:val="0"/>
        <w:i/>
        <w:color w:val="808080"/>
        <w:sz w:val="20"/>
        <w:szCs w:val="20"/>
      </w:rPr>
      <w:t>, z. s.</w:t>
    </w:r>
  </w:p>
  <w:p w:rsidR="005C0988" w:rsidRPr="00F86A75" w:rsidRDefault="00F86A75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2017/00</w:t>
    </w:r>
    <w:r w:rsidR="00A25B9C">
      <w:rPr>
        <w:rFonts w:ascii="Garamond" w:hAnsi="Garamond"/>
        <w:i/>
        <w:iCs/>
        <w:color w:val="808080"/>
        <w:sz w:val="20"/>
      </w:rPr>
      <w:t>6</w:t>
    </w:r>
    <w:r w:rsidR="00B134A0">
      <w:rPr>
        <w:rFonts w:ascii="Garamond" w:hAnsi="Garamond"/>
        <w:i/>
        <w:iCs/>
        <w:color w:val="808080"/>
        <w:sz w:val="20"/>
      </w:rPr>
      <w:t>897</w:t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5C0988"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13F27B7A"/>
    <w:lvl w:ilvl="0" w:tplc="D3089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627A"/>
    <w:rsid w:val="00023C5F"/>
    <w:rsid w:val="000276FC"/>
    <w:rsid w:val="00030E3A"/>
    <w:rsid w:val="000544E6"/>
    <w:rsid w:val="00054804"/>
    <w:rsid w:val="000569FC"/>
    <w:rsid w:val="0005796A"/>
    <w:rsid w:val="00060DA9"/>
    <w:rsid w:val="0006109C"/>
    <w:rsid w:val="000723B1"/>
    <w:rsid w:val="00072563"/>
    <w:rsid w:val="00077A8B"/>
    <w:rsid w:val="00080988"/>
    <w:rsid w:val="00084C76"/>
    <w:rsid w:val="00087DA1"/>
    <w:rsid w:val="000900AA"/>
    <w:rsid w:val="00090AF1"/>
    <w:rsid w:val="00092978"/>
    <w:rsid w:val="00095905"/>
    <w:rsid w:val="000A5C31"/>
    <w:rsid w:val="000B6147"/>
    <w:rsid w:val="000B6963"/>
    <w:rsid w:val="000B6ED1"/>
    <w:rsid w:val="000D6B7E"/>
    <w:rsid w:val="000D6F8F"/>
    <w:rsid w:val="000E53B1"/>
    <w:rsid w:val="000F2D4C"/>
    <w:rsid w:val="00133F1A"/>
    <w:rsid w:val="00146CF0"/>
    <w:rsid w:val="00153489"/>
    <w:rsid w:val="00187250"/>
    <w:rsid w:val="00190844"/>
    <w:rsid w:val="00193E3E"/>
    <w:rsid w:val="001947AE"/>
    <w:rsid w:val="001C7DFF"/>
    <w:rsid w:val="001E59BE"/>
    <w:rsid w:val="001F0631"/>
    <w:rsid w:val="0020698B"/>
    <w:rsid w:val="0022685C"/>
    <w:rsid w:val="00230805"/>
    <w:rsid w:val="00245A79"/>
    <w:rsid w:val="00254D1E"/>
    <w:rsid w:val="002A18CF"/>
    <w:rsid w:val="002B3313"/>
    <w:rsid w:val="002B67B3"/>
    <w:rsid w:val="002C64B4"/>
    <w:rsid w:val="002E2D42"/>
    <w:rsid w:val="002E3471"/>
    <w:rsid w:val="002E7F12"/>
    <w:rsid w:val="00304F3F"/>
    <w:rsid w:val="0032485B"/>
    <w:rsid w:val="0033141B"/>
    <w:rsid w:val="003444A1"/>
    <w:rsid w:val="0035406B"/>
    <w:rsid w:val="0036646E"/>
    <w:rsid w:val="003774C5"/>
    <w:rsid w:val="00382596"/>
    <w:rsid w:val="0038561C"/>
    <w:rsid w:val="0039019D"/>
    <w:rsid w:val="003A5E6E"/>
    <w:rsid w:val="003A6032"/>
    <w:rsid w:val="003D1029"/>
    <w:rsid w:val="003D47E2"/>
    <w:rsid w:val="003D7815"/>
    <w:rsid w:val="003F0402"/>
    <w:rsid w:val="00406213"/>
    <w:rsid w:val="00421536"/>
    <w:rsid w:val="00441EBA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6861"/>
    <w:rsid w:val="004E3785"/>
    <w:rsid w:val="004E603B"/>
    <w:rsid w:val="004F2F62"/>
    <w:rsid w:val="0051245A"/>
    <w:rsid w:val="00535E0F"/>
    <w:rsid w:val="00546953"/>
    <w:rsid w:val="0054702E"/>
    <w:rsid w:val="00553E35"/>
    <w:rsid w:val="005666FB"/>
    <w:rsid w:val="0057133D"/>
    <w:rsid w:val="00572850"/>
    <w:rsid w:val="0058448E"/>
    <w:rsid w:val="005C0988"/>
    <w:rsid w:val="005C2C38"/>
    <w:rsid w:val="005C37B3"/>
    <w:rsid w:val="005D0DDD"/>
    <w:rsid w:val="005D0DFE"/>
    <w:rsid w:val="005D1D54"/>
    <w:rsid w:val="005D5380"/>
    <w:rsid w:val="005E0D2A"/>
    <w:rsid w:val="005E126C"/>
    <w:rsid w:val="005F5983"/>
    <w:rsid w:val="00601A65"/>
    <w:rsid w:val="00602670"/>
    <w:rsid w:val="00607DA2"/>
    <w:rsid w:val="00611D2B"/>
    <w:rsid w:val="00613310"/>
    <w:rsid w:val="00625807"/>
    <w:rsid w:val="0062714B"/>
    <w:rsid w:val="00647B50"/>
    <w:rsid w:val="00663D3C"/>
    <w:rsid w:val="00664AAF"/>
    <w:rsid w:val="00681D3C"/>
    <w:rsid w:val="0068399C"/>
    <w:rsid w:val="006B249F"/>
    <w:rsid w:val="006B7536"/>
    <w:rsid w:val="006C2CC4"/>
    <w:rsid w:val="006D6443"/>
    <w:rsid w:val="00704C18"/>
    <w:rsid w:val="007108B7"/>
    <w:rsid w:val="007166A1"/>
    <w:rsid w:val="007203CE"/>
    <w:rsid w:val="007278B6"/>
    <w:rsid w:val="00733C52"/>
    <w:rsid w:val="00761DD2"/>
    <w:rsid w:val="00763F9F"/>
    <w:rsid w:val="007734BE"/>
    <w:rsid w:val="00776755"/>
    <w:rsid w:val="0078341C"/>
    <w:rsid w:val="00787453"/>
    <w:rsid w:val="007B209B"/>
    <w:rsid w:val="007C1B5A"/>
    <w:rsid w:val="007C1D6C"/>
    <w:rsid w:val="007E2028"/>
    <w:rsid w:val="007E469A"/>
    <w:rsid w:val="00801C35"/>
    <w:rsid w:val="00807A85"/>
    <w:rsid w:val="00825164"/>
    <w:rsid w:val="00827C41"/>
    <w:rsid w:val="00830049"/>
    <w:rsid w:val="008440A3"/>
    <w:rsid w:val="00847A3E"/>
    <w:rsid w:val="008506D6"/>
    <w:rsid w:val="008517AB"/>
    <w:rsid w:val="0085287B"/>
    <w:rsid w:val="00855A8D"/>
    <w:rsid w:val="008656A8"/>
    <w:rsid w:val="00892C52"/>
    <w:rsid w:val="00895659"/>
    <w:rsid w:val="008A66B2"/>
    <w:rsid w:val="008B050C"/>
    <w:rsid w:val="008C0406"/>
    <w:rsid w:val="008C638F"/>
    <w:rsid w:val="008D7160"/>
    <w:rsid w:val="008F4FA6"/>
    <w:rsid w:val="008F6FB1"/>
    <w:rsid w:val="00900EB0"/>
    <w:rsid w:val="00916B5F"/>
    <w:rsid w:val="00943494"/>
    <w:rsid w:val="00964D40"/>
    <w:rsid w:val="00975F98"/>
    <w:rsid w:val="009902E5"/>
    <w:rsid w:val="00992E56"/>
    <w:rsid w:val="009A23FC"/>
    <w:rsid w:val="009A2835"/>
    <w:rsid w:val="009B02BC"/>
    <w:rsid w:val="009B6CFF"/>
    <w:rsid w:val="009E4BB2"/>
    <w:rsid w:val="009E6B62"/>
    <w:rsid w:val="00A21D3D"/>
    <w:rsid w:val="00A23CCE"/>
    <w:rsid w:val="00A25B9C"/>
    <w:rsid w:val="00A30B7A"/>
    <w:rsid w:val="00A34DF1"/>
    <w:rsid w:val="00A546AB"/>
    <w:rsid w:val="00A6673B"/>
    <w:rsid w:val="00A66ADE"/>
    <w:rsid w:val="00A72439"/>
    <w:rsid w:val="00AA1A89"/>
    <w:rsid w:val="00AB7989"/>
    <w:rsid w:val="00AC1F1E"/>
    <w:rsid w:val="00AD1274"/>
    <w:rsid w:val="00AF2BF9"/>
    <w:rsid w:val="00B134A0"/>
    <w:rsid w:val="00B23DDF"/>
    <w:rsid w:val="00B27F60"/>
    <w:rsid w:val="00B33D35"/>
    <w:rsid w:val="00B44DEE"/>
    <w:rsid w:val="00B44E24"/>
    <w:rsid w:val="00B50C03"/>
    <w:rsid w:val="00B55F2D"/>
    <w:rsid w:val="00B6742A"/>
    <w:rsid w:val="00B76113"/>
    <w:rsid w:val="00B96D1C"/>
    <w:rsid w:val="00BA6213"/>
    <w:rsid w:val="00BB37CC"/>
    <w:rsid w:val="00BB3EED"/>
    <w:rsid w:val="00BB497B"/>
    <w:rsid w:val="00BC05A9"/>
    <w:rsid w:val="00BD4F01"/>
    <w:rsid w:val="00BD5F41"/>
    <w:rsid w:val="00BE4DA0"/>
    <w:rsid w:val="00BE62CC"/>
    <w:rsid w:val="00BF22D0"/>
    <w:rsid w:val="00BF7B57"/>
    <w:rsid w:val="00C04AC7"/>
    <w:rsid w:val="00C23AC1"/>
    <w:rsid w:val="00C3766C"/>
    <w:rsid w:val="00C66089"/>
    <w:rsid w:val="00C71242"/>
    <w:rsid w:val="00C74E31"/>
    <w:rsid w:val="00C758A2"/>
    <w:rsid w:val="00CA137B"/>
    <w:rsid w:val="00CB44F6"/>
    <w:rsid w:val="00CC155F"/>
    <w:rsid w:val="00CD28BA"/>
    <w:rsid w:val="00CE7AF0"/>
    <w:rsid w:val="00CF678E"/>
    <w:rsid w:val="00D0088C"/>
    <w:rsid w:val="00D11C45"/>
    <w:rsid w:val="00D16578"/>
    <w:rsid w:val="00D225BE"/>
    <w:rsid w:val="00D37595"/>
    <w:rsid w:val="00D42EAB"/>
    <w:rsid w:val="00D477D0"/>
    <w:rsid w:val="00D50DC6"/>
    <w:rsid w:val="00D64151"/>
    <w:rsid w:val="00D70084"/>
    <w:rsid w:val="00D75586"/>
    <w:rsid w:val="00D817D9"/>
    <w:rsid w:val="00DA20A6"/>
    <w:rsid w:val="00DA7099"/>
    <w:rsid w:val="00DB1D85"/>
    <w:rsid w:val="00DB26A7"/>
    <w:rsid w:val="00DD77E4"/>
    <w:rsid w:val="00E03652"/>
    <w:rsid w:val="00E06545"/>
    <w:rsid w:val="00E11D27"/>
    <w:rsid w:val="00E12B82"/>
    <w:rsid w:val="00E23528"/>
    <w:rsid w:val="00E2451F"/>
    <w:rsid w:val="00E252A0"/>
    <w:rsid w:val="00E360F1"/>
    <w:rsid w:val="00E450C0"/>
    <w:rsid w:val="00E46F0D"/>
    <w:rsid w:val="00E51083"/>
    <w:rsid w:val="00E51BA7"/>
    <w:rsid w:val="00E51F21"/>
    <w:rsid w:val="00E55D34"/>
    <w:rsid w:val="00E5757E"/>
    <w:rsid w:val="00E57E8F"/>
    <w:rsid w:val="00E60D03"/>
    <w:rsid w:val="00E7343B"/>
    <w:rsid w:val="00EA1F82"/>
    <w:rsid w:val="00EA5A7C"/>
    <w:rsid w:val="00EC5CFC"/>
    <w:rsid w:val="00ED056A"/>
    <w:rsid w:val="00ED0BB4"/>
    <w:rsid w:val="00ED6481"/>
    <w:rsid w:val="00F164FA"/>
    <w:rsid w:val="00F21E7D"/>
    <w:rsid w:val="00F27A4B"/>
    <w:rsid w:val="00F50F95"/>
    <w:rsid w:val="00F534D5"/>
    <w:rsid w:val="00F57560"/>
    <w:rsid w:val="00F61AF3"/>
    <w:rsid w:val="00F73475"/>
    <w:rsid w:val="00F86A75"/>
    <w:rsid w:val="00F93F1E"/>
    <w:rsid w:val="00F9791A"/>
    <w:rsid w:val="00FA15EC"/>
    <w:rsid w:val="00FB022D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CE5C-B097-4FC7-9576-31CE395C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2017-11-20T08:46:00Z</cp:lastPrinted>
  <dcterms:created xsi:type="dcterms:W3CDTF">2017-12-18T15:19:00Z</dcterms:created>
  <dcterms:modified xsi:type="dcterms:W3CDTF">2017-12-18T15:20:00Z</dcterms:modified>
</cp:coreProperties>
</file>