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BE" w:rsidRDefault="00CF1FBE" w:rsidP="00735358">
      <w:pPr>
        <w:jc w:val="center"/>
        <w:rPr>
          <w:b/>
          <w:sz w:val="28"/>
        </w:rPr>
      </w:pPr>
    </w:p>
    <w:p w:rsidR="001A0955" w:rsidRDefault="001A0955" w:rsidP="00735358">
      <w:pPr>
        <w:jc w:val="center"/>
        <w:rPr>
          <w:b/>
          <w:sz w:val="28"/>
        </w:rPr>
      </w:pPr>
    </w:p>
    <w:p w:rsidR="00772C95" w:rsidRPr="00D67563" w:rsidRDefault="00735358" w:rsidP="00735358">
      <w:pPr>
        <w:jc w:val="center"/>
        <w:rPr>
          <w:rFonts w:ascii="Arial" w:hAnsi="Arial" w:cs="Arial"/>
          <w:b/>
          <w:sz w:val="28"/>
        </w:rPr>
      </w:pPr>
      <w:r w:rsidRPr="00D67563">
        <w:rPr>
          <w:rFonts w:ascii="Arial" w:hAnsi="Arial" w:cs="Arial"/>
          <w:b/>
          <w:sz w:val="28"/>
        </w:rPr>
        <w:t xml:space="preserve">Dodatek </w:t>
      </w:r>
      <w:proofErr w:type="gramStart"/>
      <w:r w:rsidRPr="00D67563">
        <w:rPr>
          <w:rFonts w:ascii="Arial" w:hAnsi="Arial" w:cs="Arial"/>
          <w:b/>
          <w:sz w:val="28"/>
        </w:rPr>
        <w:t>č.</w:t>
      </w:r>
      <w:r w:rsidR="00EF24CB" w:rsidRPr="00D67563">
        <w:rPr>
          <w:rFonts w:ascii="Arial" w:hAnsi="Arial" w:cs="Arial"/>
          <w:b/>
          <w:sz w:val="28"/>
        </w:rPr>
        <w:t>2</w:t>
      </w:r>
      <w:proofErr w:type="gramEnd"/>
    </w:p>
    <w:p w:rsidR="00735358" w:rsidRPr="00D67563" w:rsidRDefault="00E73780" w:rsidP="00735358">
      <w:pPr>
        <w:jc w:val="center"/>
        <w:rPr>
          <w:rFonts w:ascii="Arial" w:hAnsi="Arial" w:cs="Arial"/>
          <w:b/>
          <w:sz w:val="28"/>
        </w:rPr>
      </w:pPr>
      <w:r w:rsidRPr="00D67563">
        <w:rPr>
          <w:rFonts w:ascii="Arial" w:hAnsi="Arial" w:cs="Arial"/>
          <w:b/>
          <w:sz w:val="28"/>
        </w:rPr>
        <w:t>k</w:t>
      </w:r>
      <w:r w:rsidR="00735358" w:rsidRPr="00D67563">
        <w:rPr>
          <w:rFonts w:ascii="Arial" w:hAnsi="Arial" w:cs="Arial"/>
          <w:b/>
          <w:sz w:val="28"/>
        </w:rPr>
        <w:t>e smlouvě č. 661/2014</w:t>
      </w:r>
    </w:p>
    <w:p w:rsidR="00735358" w:rsidRPr="00D67563" w:rsidRDefault="00735358" w:rsidP="00735358">
      <w:pPr>
        <w:jc w:val="center"/>
        <w:rPr>
          <w:rFonts w:ascii="Arial" w:hAnsi="Arial" w:cs="Arial"/>
          <w:sz w:val="24"/>
          <w:szCs w:val="24"/>
        </w:rPr>
      </w:pPr>
      <w:r w:rsidRPr="00D67563">
        <w:rPr>
          <w:rFonts w:ascii="Arial" w:hAnsi="Arial" w:cs="Arial"/>
          <w:sz w:val="24"/>
          <w:szCs w:val="24"/>
        </w:rPr>
        <w:t xml:space="preserve">uzavřené  dne </w:t>
      </w:r>
      <w:proofErr w:type="gramStart"/>
      <w:r w:rsidRPr="00D67563">
        <w:rPr>
          <w:rFonts w:ascii="Arial" w:hAnsi="Arial" w:cs="Arial"/>
          <w:sz w:val="24"/>
          <w:szCs w:val="24"/>
        </w:rPr>
        <w:t>15.7.2014</w:t>
      </w:r>
      <w:proofErr w:type="gramEnd"/>
    </w:p>
    <w:p w:rsidR="00735358" w:rsidRPr="00D67563" w:rsidRDefault="00735358" w:rsidP="00735358">
      <w:pPr>
        <w:jc w:val="center"/>
        <w:rPr>
          <w:rFonts w:ascii="Arial" w:hAnsi="Arial" w:cs="Arial"/>
        </w:rPr>
      </w:pPr>
    </w:p>
    <w:p w:rsidR="00735358" w:rsidRPr="00D67563" w:rsidRDefault="00735358" w:rsidP="00735358">
      <w:pPr>
        <w:jc w:val="center"/>
        <w:rPr>
          <w:rFonts w:ascii="Arial" w:hAnsi="Arial" w:cs="Arial"/>
        </w:rPr>
      </w:pPr>
    </w:p>
    <w:p w:rsidR="00BA3B6A" w:rsidRPr="00D67563" w:rsidRDefault="00735358" w:rsidP="00735358">
      <w:pPr>
        <w:rPr>
          <w:rFonts w:ascii="Arial" w:hAnsi="Arial" w:cs="Arial"/>
        </w:rPr>
      </w:pPr>
      <w:r w:rsidRPr="00D67563">
        <w:rPr>
          <w:rFonts w:ascii="Arial" w:hAnsi="Arial" w:cs="Arial"/>
        </w:rPr>
        <w:t xml:space="preserve">Smluvní strany se dohodly, že tento dodatek mění </w:t>
      </w:r>
      <w:proofErr w:type="gramStart"/>
      <w:r w:rsidR="00EF24CB" w:rsidRPr="00D67563">
        <w:rPr>
          <w:rFonts w:ascii="Arial" w:hAnsi="Arial" w:cs="Arial"/>
        </w:rPr>
        <w:t>čl.1 – Smluvní</w:t>
      </w:r>
      <w:proofErr w:type="gramEnd"/>
      <w:r w:rsidR="00EF24CB" w:rsidRPr="00D67563">
        <w:rPr>
          <w:rFonts w:ascii="Arial" w:hAnsi="Arial" w:cs="Arial"/>
        </w:rPr>
        <w:t xml:space="preserve"> strany, </w:t>
      </w:r>
      <w:r w:rsidRPr="00D67563">
        <w:rPr>
          <w:rFonts w:ascii="Arial" w:hAnsi="Arial" w:cs="Arial"/>
        </w:rPr>
        <w:t>čl. 4</w:t>
      </w:r>
      <w:r w:rsidR="00BA3B6A" w:rsidRPr="00D67563">
        <w:rPr>
          <w:rFonts w:ascii="Arial" w:hAnsi="Arial" w:cs="Arial"/>
        </w:rPr>
        <w:t>, odst1)</w:t>
      </w:r>
      <w:r w:rsidRPr="00D67563">
        <w:rPr>
          <w:rFonts w:ascii="Arial" w:hAnsi="Arial" w:cs="Arial"/>
        </w:rPr>
        <w:t xml:space="preserve"> – </w:t>
      </w:r>
      <w:r w:rsidR="00EF223F" w:rsidRPr="00D67563">
        <w:rPr>
          <w:rFonts w:ascii="Arial" w:hAnsi="Arial" w:cs="Arial"/>
        </w:rPr>
        <w:t>Ú</w:t>
      </w:r>
      <w:r w:rsidRPr="00D67563">
        <w:rPr>
          <w:rFonts w:ascii="Arial" w:hAnsi="Arial" w:cs="Arial"/>
        </w:rPr>
        <w:t xml:space="preserve">hrada za služby, splatnost a doplňuje čl. </w:t>
      </w:r>
      <w:r w:rsidR="00BA3B6A" w:rsidRPr="00D67563">
        <w:rPr>
          <w:rFonts w:ascii="Arial" w:hAnsi="Arial" w:cs="Arial"/>
        </w:rPr>
        <w:t xml:space="preserve">6 – </w:t>
      </w:r>
      <w:r w:rsidR="00EF223F" w:rsidRPr="00D67563">
        <w:rPr>
          <w:rFonts w:ascii="Arial" w:hAnsi="Arial" w:cs="Arial"/>
        </w:rPr>
        <w:t>Z</w:t>
      </w:r>
      <w:r w:rsidR="00BA3B6A" w:rsidRPr="00D67563">
        <w:rPr>
          <w:rFonts w:ascii="Arial" w:hAnsi="Arial" w:cs="Arial"/>
        </w:rPr>
        <w:t>vláštní ujednání.</w:t>
      </w:r>
    </w:p>
    <w:p w:rsidR="00BA3B6A" w:rsidRPr="00D67563" w:rsidRDefault="00BA3B6A" w:rsidP="00735358">
      <w:pPr>
        <w:rPr>
          <w:rFonts w:ascii="Arial" w:hAnsi="Arial" w:cs="Arial"/>
          <w:sz w:val="24"/>
          <w:szCs w:val="24"/>
        </w:rPr>
      </w:pPr>
    </w:p>
    <w:p w:rsidR="00EF24CB" w:rsidRPr="00D67563" w:rsidRDefault="00EF24CB" w:rsidP="00735358">
      <w:pPr>
        <w:rPr>
          <w:rFonts w:ascii="Arial" w:hAnsi="Arial" w:cs="Arial"/>
          <w:b/>
        </w:rPr>
      </w:pPr>
      <w:r w:rsidRPr="00D67563">
        <w:rPr>
          <w:rFonts w:ascii="Arial" w:hAnsi="Arial" w:cs="Arial"/>
          <w:b/>
        </w:rPr>
        <w:t xml:space="preserve">Ve znění čl.1 – Smluvní strany se </w:t>
      </w:r>
      <w:proofErr w:type="gramStart"/>
      <w:r w:rsidRPr="00D67563">
        <w:rPr>
          <w:rFonts w:ascii="Arial" w:hAnsi="Arial" w:cs="Arial"/>
          <w:b/>
        </w:rPr>
        <w:t>mění :</w:t>
      </w:r>
      <w:proofErr w:type="gramEnd"/>
    </w:p>
    <w:p w:rsidR="00943256" w:rsidRPr="00D67563" w:rsidRDefault="00943256" w:rsidP="00735358">
      <w:pPr>
        <w:rPr>
          <w:rFonts w:ascii="Arial" w:hAnsi="Arial" w:cs="Arial"/>
          <w:sz w:val="24"/>
          <w:szCs w:val="24"/>
        </w:rPr>
      </w:pPr>
    </w:p>
    <w:p w:rsidR="00943256" w:rsidRPr="00D67563" w:rsidRDefault="00943256" w:rsidP="00943256">
      <w:pPr>
        <w:tabs>
          <w:tab w:val="left" w:pos="3960"/>
        </w:tabs>
        <w:overflowPunct w:val="0"/>
        <w:autoSpaceDE w:val="0"/>
        <w:autoSpaceDN w:val="0"/>
        <w:adjustRightInd w:val="0"/>
        <w:ind w:left="3960" w:hanging="3960"/>
        <w:jc w:val="both"/>
        <w:textAlignment w:val="baseline"/>
        <w:rPr>
          <w:rFonts w:ascii="Arial" w:eastAsia="Times New Roman" w:hAnsi="Arial" w:cs="Arial"/>
          <w:b/>
          <w:lang w:eastAsia="cs-CZ"/>
        </w:rPr>
      </w:pPr>
      <w:r w:rsidRPr="00D67563">
        <w:rPr>
          <w:rFonts w:ascii="Arial" w:eastAsia="Times New Roman" w:hAnsi="Arial" w:cs="Arial"/>
          <w:b/>
          <w:lang w:eastAsia="cs-CZ"/>
        </w:rPr>
        <w:t>Objednatel:</w:t>
      </w:r>
      <w:r w:rsidRPr="00D67563">
        <w:rPr>
          <w:rFonts w:ascii="Arial" w:eastAsia="Times New Roman" w:hAnsi="Arial" w:cs="Arial"/>
          <w:b/>
          <w:lang w:eastAsia="cs-CZ"/>
        </w:rPr>
        <w:tab/>
        <w:t>Povodí Ohře, státní podnik</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lang w:eastAsia="cs-CZ"/>
        </w:rPr>
        <w:tab/>
        <w:t>Bezručova 4219, 430 03 Chomutov</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b/>
          <w:lang w:eastAsia="cs-CZ"/>
        </w:rPr>
        <w:t>IČO:</w:t>
      </w:r>
      <w:r w:rsidRPr="00D67563">
        <w:rPr>
          <w:rFonts w:ascii="Arial" w:eastAsia="Times New Roman" w:hAnsi="Arial" w:cs="Arial"/>
          <w:b/>
          <w:lang w:eastAsia="cs-CZ"/>
        </w:rPr>
        <w:tab/>
      </w:r>
      <w:r w:rsidRPr="00D67563">
        <w:rPr>
          <w:rFonts w:ascii="Arial" w:eastAsia="Times New Roman" w:hAnsi="Arial" w:cs="Arial"/>
          <w:lang w:eastAsia="cs-CZ"/>
        </w:rPr>
        <w:t>70889988</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b/>
          <w:lang w:eastAsia="cs-CZ"/>
        </w:rPr>
        <w:t>DIČ:</w:t>
      </w:r>
      <w:r w:rsidRPr="00D67563">
        <w:rPr>
          <w:rFonts w:ascii="Arial" w:eastAsia="Times New Roman" w:hAnsi="Arial" w:cs="Arial"/>
          <w:b/>
          <w:lang w:eastAsia="cs-CZ"/>
        </w:rPr>
        <w:tab/>
      </w:r>
      <w:r w:rsidRPr="00D67563">
        <w:rPr>
          <w:rFonts w:ascii="Arial" w:eastAsia="Times New Roman" w:hAnsi="Arial" w:cs="Arial"/>
          <w:lang w:eastAsia="cs-CZ"/>
        </w:rPr>
        <w:t>CZ 70889988</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b/>
          <w:lang w:eastAsia="cs-CZ"/>
        </w:rPr>
        <w:t>zastoupený:</w:t>
      </w:r>
      <w:r w:rsidRPr="00D67563">
        <w:rPr>
          <w:rFonts w:ascii="Arial" w:eastAsia="Times New Roman" w:hAnsi="Arial" w:cs="Arial"/>
          <w:b/>
          <w:lang w:eastAsia="cs-CZ"/>
        </w:rPr>
        <w:tab/>
      </w:r>
      <w:r w:rsidRPr="00D67563">
        <w:rPr>
          <w:rFonts w:ascii="Arial" w:eastAsia="Times New Roman" w:hAnsi="Arial" w:cs="Arial"/>
          <w:lang w:eastAsia="cs-CZ"/>
        </w:rPr>
        <w:t xml:space="preserve">Ing. Jiřím Nedomou, generálním ředitelem </w:t>
      </w:r>
    </w:p>
    <w:p w:rsidR="00943256" w:rsidRPr="00D67563" w:rsidRDefault="00943256" w:rsidP="00943256">
      <w:pPr>
        <w:overflowPunct w:val="0"/>
        <w:autoSpaceDE w:val="0"/>
        <w:autoSpaceDN w:val="0"/>
        <w:adjustRightInd w:val="0"/>
        <w:textAlignment w:val="baseline"/>
        <w:rPr>
          <w:rFonts w:ascii="Arial" w:hAnsi="Arial" w:cs="Arial"/>
        </w:rPr>
      </w:pPr>
      <w:r w:rsidRPr="00D67563">
        <w:rPr>
          <w:rFonts w:ascii="Arial" w:eastAsia="Times New Roman" w:hAnsi="Arial" w:cs="Arial"/>
          <w:b/>
          <w:lang w:eastAsia="cs-CZ"/>
        </w:rPr>
        <w:t>zástupce ve věcech smluvních:</w:t>
      </w:r>
      <w:r w:rsidRPr="00D67563">
        <w:rPr>
          <w:rFonts w:ascii="Arial" w:eastAsia="Times New Roman" w:hAnsi="Arial" w:cs="Arial"/>
          <w:b/>
          <w:lang w:eastAsia="cs-CZ"/>
        </w:rPr>
        <w:tab/>
      </w:r>
      <w:r w:rsidRPr="00D67563">
        <w:rPr>
          <w:rFonts w:ascii="Arial" w:hAnsi="Arial" w:cs="Arial"/>
        </w:rPr>
        <w:t xml:space="preserve"> </w:t>
      </w:r>
    </w:p>
    <w:p w:rsidR="00943256" w:rsidRPr="00D67563" w:rsidRDefault="00943256" w:rsidP="00943256">
      <w:pPr>
        <w:tabs>
          <w:tab w:val="left" w:pos="3960"/>
        </w:tabs>
        <w:overflowPunct w:val="0"/>
        <w:autoSpaceDE w:val="0"/>
        <w:autoSpaceDN w:val="0"/>
        <w:adjustRightInd w:val="0"/>
        <w:ind w:left="3969" w:hanging="3969"/>
        <w:jc w:val="both"/>
        <w:textAlignment w:val="baseline"/>
        <w:rPr>
          <w:rFonts w:ascii="Arial" w:eastAsia="Times New Roman" w:hAnsi="Arial" w:cs="Arial"/>
          <w:b/>
          <w:lang w:eastAsia="cs-CZ"/>
        </w:rPr>
      </w:pPr>
      <w:r w:rsidRPr="00D67563">
        <w:rPr>
          <w:rFonts w:ascii="Arial" w:eastAsia="Times New Roman" w:hAnsi="Arial" w:cs="Arial"/>
          <w:b/>
          <w:lang w:eastAsia="cs-CZ"/>
        </w:rPr>
        <w:t>bankovní spojení:</w:t>
      </w:r>
      <w:r w:rsidRPr="00D67563">
        <w:rPr>
          <w:rFonts w:ascii="Arial" w:eastAsia="Times New Roman" w:hAnsi="Arial" w:cs="Arial"/>
          <w:b/>
          <w:lang w:eastAsia="cs-CZ"/>
        </w:rPr>
        <w:tab/>
        <w:t xml:space="preserve">  </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D67563">
        <w:rPr>
          <w:rFonts w:ascii="Arial" w:eastAsia="Times New Roman" w:hAnsi="Arial" w:cs="Arial"/>
          <w:b/>
          <w:lang w:eastAsia="cs-CZ"/>
        </w:rPr>
        <w:t>číslo účtu:</w:t>
      </w:r>
      <w:r w:rsidRPr="00D67563">
        <w:rPr>
          <w:rFonts w:ascii="Arial" w:eastAsia="Times New Roman" w:hAnsi="Arial" w:cs="Arial"/>
          <w:b/>
          <w:lang w:eastAsia="cs-CZ"/>
        </w:rPr>
        <w:tab/>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b/>
          <w:lang w:eastAsia="cs-CZ"/>
        </w:rPr>
      </w:pP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lang w:eastAsia="cs-CZ"/>
        </w:rPr>
        <w:t xml:space="preserve">Povodí Ohře, státní podnik je zapsán v obchodním rejstříku Krajského soudu v Ústí nad Labem v oddílu A, vložce č. 13052. </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lang w:eastAsia="cs-CZ"/>
        </w:rPr>
        <w:t xml:space="preserve">(dále jen „objednatel“) na straně jedné a </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D67563">
        <w:rPr>
          <w:rFonts w:ascii="Arial" w:eastAsia="Times New Roman" w:hAnsi="Arial" w:cs="Arial"/>
          <w:b/>
          <w:lang w:eastAsia="cs-CZ"/>
        </w:rPr>
        <w:t>Dodavatel:</w:t>
      </w:r>
      <w:r w:rsidRPr="00D67563">
        <w:rPr>
          <w:rFonts w:ascii="Arial" w:hAnsi="Arial" w:cs="Arial"/>
          <w:b/>
        </w:rPr>
        <w:t xml:space="preserve"> </w:t>
      </w:r>
      <w:r w:rsidRPr="00D67563">
        <w:rPr>
          <w:rFonts w:ascii="Arial" w:hAnsi="Arial" w:cs="Arial"/>
          <w:b/>
        </w:rPr>
        <w:tab/>
      </w:r>
      <w:r w:rsidRPr="00D67563">
        <w:rPr>
          <w:rFonts w:ascii="Arial" w:eastAsia="Times New Roman" w:hAnsi="Arial" w:cs="Arial"/>
          <w:b/>
          <w:snapToGrid w:val="0"/>
          <w:lang w:eastAsia="cs-CZ"/>
        </w:rPr>
        <w:t xml:space="preserve">GASTROTEP, s.r.o. </w:t>
      </w:r>
      <w:r w:rsidRPr="00D67563">
        <w:rPr>
          <w:rFonts w:ascii="Arial" w:eastAsia="Times New Roman" w:hAnsi="Arial" w:cs="Arial"/>
          <w:b/>
          <w:snapToGrid w:val="0"/>
          <w:lang w:eastAsia="cs-CZ"/>
        </w:rPr>
        <w:tab/>
      </w:r>
      <w:r w:rsidRPr="00D67563">
        <w:rPr>
          <w:rFonts w:ascii="Arial" w:eastAsia="Times New Roman" w:hAnsi="Arial" w:cs="Arial"/>
          <w:b/>
          <w:lang w:eastAsia="cs-CZ"/>
        </w:rPr>
        <w:tab/>
      </w:r>
    </w:p>
    <w:p w:rsidR="00943256" w:rsidRPr="00D67563" w:rsidRDefault="00943256" w:rsidP="00943256">
      <w:pPr>
        <w:tabs>
          <w:tab w:val="left" w:pos="3960"/>
        </w:tabs>
        <w:overflowPunct w:val="0"/>
        <w:autoSpaceDE w:val="0"/>
        <w:autoSpaceDN w:val="0"/>
        <w:adjustRightInd w:val="0"/>
        <w:ind w:firstLine="708"/>
        <w:jc w:val="both"/>
        <w:textAlignment w:val="baseline"/>
        <w:rPr>
          <w:rFonts w:ascii="Arial" w:eastAsia="Times New Roman" w:hAnsi="Arial" w:cs="Arial"/>
          <w:lang w:eastAsia="cs-CZ"/>
        </w:rPr>
      </w:pPr>
      <w:r w:rsidRPr="00D67563">
        <w:rPr>
          <w:rFonts w:ascii="Arial" w:eastAsia="Times New Roman" w:hAnsi="Arial" w:cs="Arial"/>
          <w:lang w:eastAsia="cs-CZ"/>
        </w:rPr>
        <w:tab/>
      </w:r>
      <w:proofErr w:type="spellStart"/>
      <w:proofErr w:type="gramStart"/>
      <w:r w:rsidRPr="00D67563">
        <w:rPr>
          <w:rFonts w:ascii="Arial" w:eastAsia="Times New Roman" w:hAnsi="Arial" w:cs="Arial"/>
          <w:snapToGrid w:val="0"/>
          <w:lang w:eastAsia="cs-CZ"/>
        </w:rPr>
        <w:t>ul.Kapitána</w:t>
      </w:r>
      <w:proofErr w:type="spellEnd"/>
      <w:proofErr w:type="gramEnd"/>
      <w:r w:rsidRPr="00D67563">
        <w:rPr>
          <w:rFonts w:ascii="Arial" w:eastAsia="Times New Roman" w:hAnsi="Arial" w:cs="Arial"/>
          <w:snapToGrid w:val="0"/>
          <w:lang w:eastAsia="cs-CZ"/>
        </w:rPr>
        <w:t xml:space="preserve"> Jaroše 536, 415 12 Proboštov</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D67563">
        <w:rPr>
          <w:rFonts w:ascii="Arial" w:eastAsia="Times New Roman" w:hAnsi="Arial" w:cs="Arial"/>
          <w:b/>
          <w:lang w:eastAsia="cs-CZ"/>
        </w:rPr>
        <w:t xml:space="preserve">IČO: </w:t>
      </w:r>
      <w:r w:rsidRPr="00D67563">
        <w:rPr>
          <w:rFonts w:ascii="Arial" w:eastAsia="Times New Roman" w:hAnsi="Arial" w:cs="Arial"/>
          <w:b/>
          <w:lang w:eastAsia="cs-CZ"/>
        </w:rPr>
        <w:tab/>
      </w:r>
      <w:r w:rsidR="00EB73FB" w:rsidRPr="00D67563">
        <w:rPr>
          <w:rFonts w:ascii="Arial" w:eastAsia="Times New Roman" w:hAnsi="Arial" w:cs="Arial"/>
          <w:lang w:eastAsia="cs-CZ"/>
        </w:rPr>
        <w:t>28718178</w:t>
      </w:r>
      <w:r w:rsidRPr="00D67563">
        <w:rPr>
          <w:rFonts w:ascii="Arial" w:eastAsia="Times New Roman" w:hAnsi="Arial" w:cs="Arial"/>
          <w:lang w:eastAsia="cs-CZ"/>
        </w:rPr>
        <w:tab/>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b/>
          <w:lang w:eastAsia="cs-CZ"/>
        </w:rPr>
        <w:t>DIČ:</w:t>
      </w:r>
      <w:r w:rsidRPr="00D67563">
        <w:rPr>
          <w:rFonts w:ascii="Arial" w:eastAsia="Times New Roman" w:hAnsi="Arial" w:cs="Arial"/>
          <w:b/>
          <w:lang w:eastAsia="cs-CZ"/>
        </w:rPr>
        <w:tab/>
      </w:r>
      <w:r w:rsidR="00EB73FB" w:rsidRPr="00D67563">
        <w:rPr>
          <w:rFonts w:ascii="Arial" w:eastAsia="Times New Roman" w:hAnsi="Arial" w:cs="Arial"/>
          <w:lang w:eastAsia="cs-CZ"/>
        </w:rPr>
        <w:t>CZ28718178</w:t>
      </w:r>
    </w:p>
    <w:p w:rsidR="00EB73FB" w:rsidRPr="00D67563" w:rsidRDefault="00EB73FB" w:rsidP="00943256">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D67563">
        <w:rPr>
          <w:rFonts w:ascii="Arial" w:eastAsia="Times New Roman" w:hAnsi="Arial" w:cs="Arial"/>
          <w:b/>
          <w:lang w:eastAsia="cs-CZ"/>
        </w:rPr>
        <w:t>zastoupený:</w:t>
      </w:r>
      <w:r w:rsidRPr="00D67563">
        <w:rPr>
          <w:rFonts w:ascii="Arial" w:eastAsia="Times New Roman" w:hAnsi="Arial" w:cs="Arial"/>
          <w:lang w:eastAsia="cs-CZ"/>
        </w:rPr>
        <w:t xml:space="preserve"> </w:t>
      </w:r>
      <w:r w:rsidRPr="00D67563">
        <w:rPr>
          <w:rFonts w:ascii="Arial" w:eastAsia="Times New Roman" w:hAnsi="Arial" w:cs="Arial"/>
          <w:lang w:eastAsia="cs-CZ"/>
        </w:rPr>
        <w:tab/>
        <w:t>Romana Černá, jednatel společnosti</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b/>
          <w:lang w:eastAsia="cs-CZ"/>
        </w:rPr>
      </w:pPr>
      <w:r w:rsidRPr="00D67563">
        <w:rPr>
          <w:rFonts w:ascii="Arial" w:eastAsia="Times New Roman" w:hAnsi="Arial" w:cs="Arial"/>
          <w:b/>
          <w:lang w:eastAsia="cs-CZ"/>
        </w:rPr>
        <w:t>bankovní spojení:</w:t>
      </w:r>
      <w:r w:rsidRPr="00D67563">
        <w:rPr>
          <w:rFonts w:ascii="Arial" w:eastAsia="Times New Roman" w:hAnsi="Arial" w:cs="Arial"/>
          <w:lang w:eastAsia="cs-CZ"/>
        </w:rPr>
        <w:t xml:space="preserve"> </w:t>
      </w:r>
      <w:r w:rsidRPr="00D67563">
        <w:rPr>
          <w:rFonts w:ascii="Arial" w:eastAsia="Times New Roman" w:hAnsi="Arial" w:cs="Arial"/>
          <w:lang w:eastAsia="cs-CZ"/>
        </w:rPr>
        <w:tab/>
      </w:r>
      <w:bookmarkStart w:id="0" w:name="_GoBack"/>
      <w:bookmarkEnd w:id="0"/>
      <w:r w:rsidRPr="00D67563">
        <w:rPr>
          <w:rFonts w:ascii="Arial" w:eastAsia="Times New Roman" w:hAnsi="Arial" w:cs="Arial"/>
          <w:lang w:eastAsia="cs-CZ"/>
        </w:rPr>
        <w:tab/>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b/>
          <w:lang w:eastAsia="cs-CZ"/>
        </w:rPr>
        <w:t>číslo účtu:</w:t>
      </w:r>
      <w:r w:rsidRPr="00D67563">
        <w:rPr>
          <w:rFonts w:ascii="Arial" w:hAnsi="Arial" w:cs="Arial"/>
          <w:b/>
        </w:rPr>
        <w:t xml:space="preserve"> </w:t>
      </w:r>
      <w:r w:rsidRPr="00D67563">
        <w:rPr>
          <w:rFonts w:ascii="Arial" w:hAnsi="Arial" w:cs="Arial"/>
          <w:b/>
        </w:rPr>
        <w:tab/>
      </w:r>
      <w:r w:rsidRPr="00D67563">
        <w:rPr>
          <w:rFonts w:ascii="Arial" w:eastAsia="Times New Roman" w:hAnsi="Arial" w:cs="Arial"/>
          <w:lang w:eastAsia="cs-CZ"/>
        </w:rPr>
        <w:tab/>
      </w:r>
    </w:p>
    <w:p w:rsidR="00EB73FB" w:rsidRPr="00D67563" w:rsidRDefault="00EB73FB" w:rsidP="00EB73FB">
      <w:pPr>
        <w:rPr>
          <w:rFonts w:ascii="Arial" w:eastAsia="Times New Roman" w:hAnsi="Arial" w:cs="Arial"/>
          <w:lang w:eastAsia="cs-CZ"/>
        </w:rPr>
      </w:pPr>
    </w:p>
    <w:p w:rsidR="00EB73FB" w:rsidRPr="00D67563" w:rsidRDefault="00EB73FB" w:rsidP="00EB73FB">
      <w:pPr>
        <w:rPr>
          <w:rFonts w:ascii="Arial" w:eastAsia="Times New Roman" w:hAnsi="Arial" w:cs="Arial"/>
          <w:lang w:eastAsia="cs-CZ"/>
        </w:rPr>
      </w:pPr>
      <w:proofErr w:type="spellStart"/>
      <w:r w:rsidRPr="00D67563">
        <w:rPr>
          <w:rFonts w:ascii="Arial" w:eastAsia="Times New Roman" w:hAnsi="Arial" w:cs="Arial"/>
          <w:lang w:eastAsia="cs-CZ"/>
        </w:rPr>
        <w:t>Gastrotep</w:t>
      </w:r>
      <w:proofErr w:type="spellEnd"/>
      <w:r w:rsidRPr="00D67563">
        <w:rPr>
          <w:rFonts w:ascii="Arial" w:eastAsia="Times New Roman" w:hAnsi="Arial" w:cs="Arial"/>
          <w:lang w:eastAsia="cs-CZ"/>
        </w:rPr>
        <w:t>, s.r.o. je zapsána v obchodním rejstříku u Krajského soudu v Ústí nad Labem, oddíl C, vložka 28513.</w:t>
      </w:r>
    </w:p>
    <w:p w:rsidR="00943256" w:rsidRPr="00D67563" w:rsidRDefault="00943256" w:rsidP="00943256">
      <w:pPr>
        <w:tabs>
          <w:tab w:val="left" w:pos="3960"/>
        </w:tabs>
        <w:overflowPunct w:val="0"/>
        <w:autoSpaceDE w:val="0"/>
        <w:autoSpaceDN w:val="0"/>
        <w:adjustRightInd w:val="0"/>
        <w:jc w:val="both"/>
        <w:textAlignment w:val="baseline"/>
        <w:rPr>
          <w:rFonts w:ascii="Arial" w:eastAsia="Times New Roman" w:hAnsi="Arial" w:cs="Arial"/>
          <w:lang w:eastAsia="cs-CZ"/>
        </w:rPr>
      </w:pPr>
    </w:p>
    <w:p w:rsidR="00EB73FB" w:rsidRPr="00D67563" w:rsidRDefault="00EB73FB" w:rsidP="00EB73FB">
      <w:pPr>
        <w:tabs>
          <w:tab w:val="left" w:pos="3960"/>
        </w:tabs>
        <w:overflowPunct w:val="0"/>
        <w:autoSpaceDE w:val="0"/>
        <w:autoSpaceDN w:val="0"/>
        <w:adjustRightInd w:val="0"/>
        <w:jc w:val="both"/>
        <w:textAlignment w:val="baseline"/>
        <w:rPr>
          <w:rFonts w:ascii="Arial" w:eastAsia="Times New Roman" w:hAnsi="Arial" w:cs="Arial"/>
          <w:lang w:eastAsia="cs-CZ"/>
        </w:rPr>
      </w:pPr>
      <w:r w:rsidRPr="00D67563">
        <w:rPr>
          <w:rFonts w:ascii="Arial" w:eastAsia="Times New Roman" w:hAnsi="Arial" w:cs="Arial"/>
          <w:lang w:eastAsia="cs-CZ"/>
        </w:rPr>
        <w:t xml:space="preserve">(dále jen „dodavatel“) na straně druhé </w:t>
      </w:r>
    </w:p>
    <w:p w:rsidR="00EF24CB" w:rsidRPr="00D67563" w:rsidRDefault="00EF24CB" w:rsidP="00735358">
      <w:pPr>
        <w:rPr>
          <w:rFonts w:ascii="Arial" w:hAnsi="Arial" w:cs="Arial"/>
        </w:rPr>
      </w:pPr>
    </w:p>
    <w:p w:rsidR="00EF24CB" w:rsidRPr="00D67563" w:rsidRDefault="00EF24CB" w:rsidP="00735358">
      <w:pPr>
        <w:rPr>
          <w:rFonts w:ascii="Arial" w:hAnsi="Arial" w:cs="Arial"/>
        </w:rPr>
      </w:pPr>
    </w:p>
    <w:p w:rsidR="001A0955" w:rsidRPr="00D67563" w:rsidRDefault="001A0955" w:rsidP="00735358">
      <w:pPr>
        <w:rPr>
          <w:rFonts w:ascii="Arial" w:hAnsi="Arial" w:cs="Arial"/>
          <w:b/>
        </w:rPr>
      </w:pPr>
    </w:p>
    <w:p w:rsidR="001A0955" w:rsidRPr="00D67563" w:rsidRDefault="001A0955" w:rsidP="00735358">
      <w:pPr>
        <w:rPr>
          <w:rFonts w:ascii="Arial" w:hAnsi="Arial" w:cs="Arial"/>
          <w:b/>
        </w:rPr>
      </w:pPr>
    </w:p>
    <w:p w:rsidR="00BA3B6A" w:rsidRPr="00D67563" w:rsidRDefault="00BA3B6A" w:rsidP="00735358">
      <w:pPr>
        <w:rPr>
          <w:rFonts w:ascii="Arial" w:hAnsi="Arial" w:cs="Arial"/>
          <w:b/>
        </w:rPr>
      </w:pPr>
      <w:r w:rsidRPr="00D67563">
        <w:rPr>
          <w:rFonts w:ascii="Arial" w:hAnsi="Arial" w:cs="Arial"/>
          <w:b/>
        </w:rPr>
        <w:t xml:space="preserve">Znění čl. 4, odst1)  je nyní </w:t>
      </w:r>
      <w:proofErr w:type="gramStart"/>
      <w:r w:rsidRPr="00D67563">
        <w:rPr>
          <w:rFonts w:ascii="Arial" w:hAnsi="Arial" w:cs="Arial"/>
          <w:b/>
        </w:rPr>
        <w:t>takto :</w:t>
      </w:r>
      <w:proofErr w:type="gramEnd"/>
    </w:p>
    <w:p w:rsidR="00BA3B6A" w:rsidRPr="00D67563" w:rsidRDefault="00BA3B6A" w:rsidP="00735358">
      <w:pPr>
        <w:rPr>
          <w:rFonts w:ascii="Arial" w:hAnsi="Arial" w:cs="Arial"/>
          <w:sz w:val="24"/>
          <w:szCs w:val="24"/>
        </w:rPr>
      </w:pPr>
    </w:p>
    <w:p w:rsidR="00BA3B6A" w:rsidRPr="00D67563" w:rsidRDefault="00BA3B6A" w:rsidP="00735358">
      <w:pPr>
        <w:rPr>
          <w:rFonts w:ascii="Arial" w:hAnsi="Arial" w:cs="Arial"/>
        </w:rPr>
      </w:pPr>
      <w:r w:rsidRPr="00D67563">
        <w:rPr>
          <w:rFonts w:ascii="Arial" w:hAnsi="Arial" w:cs="Arial"/>
        </w:rPr>
        <w:t>Cena 1 jídla (polévka + hlavní jídlo) 6</w:t>
      </w:r>
      <w:r w:rsidR="00EF24CB" w:rsidRPr="00D67563">
        <w:rPr>
          <w:rFonts w:ascii="Arial" w:hAnsi="Arial" w:cs="Arial"/>
        </w:rPr>
        <w:t>5</w:t>
      </w:r>
      <w:r w:rsidRPr="00D67563">
        <w:rPr>
          <w:rFonts w:ascii="Arial" w:hAnsi="Arial" w:cs="Arial"/>
        </w:rPr>
        <w:t xml:space="preserve">,- Kč včetně 15% DPH. </w:t>
      </w:r>
    </w:p>
    <w:p w:rsidR="00BA3B6A" w:rsidRPr="00D67563" w:rsidRDefault="00BA3B6A" w:rsidP="00735358">
      <w:pPr>
        <w:rPr>
          <w:rFonts w:ascii="Arial" w:hAnsi="Arial" w:cs="Arial"/>
          <w:b/>
          <w:sz w:val="24"/>
          <w:szCs w:val="24"/>
        </w:rPr>
      </w:pPr>
    </w:p>
    <w:p w:rsidR="00BA3B6A" w:rsidRDefault="00BA3B6A" w:rsidP="00735358">
      <w:pPr>
        <w:rPr>
          <w:rFonts w:ascii="Arial" w:hAnsi="Arial" w:cs="Arial"/>
          <w:sz w:val="24"/>
          <w:szCs w:val="24"/>
        </w:rPr>
      </w:pPr>
    </w:p>
    <w:p w:rsidR="00D67563" w:rsidRPr="00D67563" w:rsidRDefault="00D67563" w:rsidP="00735358">
      <w:pPr>
        <w:rPr>
          <w:rFonts w:ascii="Arial" w:hAnsi="Arial" w:cs="Arial"/>
          <w:sz w:val="24"/>
          <w:szCs w:val="24"/>
        </w:rPr>
      </w:pPr>
    </w:p>
    <w:p w:rsidR="001A0955" w:rsidRPr="00D67563" w:rsidRDefault="001A0955" w:rsidP="00735358">
      <w:pPr>
        <w:rPr>
          <w:rFonts w:ascii="Arial" w:hAnsi="Arial" w:cs="Arial"/>
          <w:b/>
          <w:sz w:val="24"/>
          <w:szCs w:val="24"/>
        </w:rPr>
      </w:pPr>
    </w:p>
    <w:p w:rsidR="00BA3B6A" w:rsidRPr="00D67563" w:rsidRDefault="00BA3B6A" w:rsidP="00D67563">
      <w:pPr>
        <w:rPr>
          <w:rFonts w:ascii="Arial" w:hAnsi="Arial" w:cs="Arial"/>
          <w:b/>
        </w:rPr>
      </w:pPr>
      <w:r w:rsidRPr="00D67563">
        <w:rPr>
          <w:rFonts w:ascii="Arial" w:hAnsi="Arial" w:cs="Arial"/>
          <w:b/>
        </w:rPr>
        <w:t>Znění čl.</w:t>
      </w:r>
      <w:r w:rsidR="00D67563" w:rsidRPr="00D67563">
        <w:rPr>
          <w:rFonts w:ascii="Arial" w:hAnsi="Arial" w:cs="Arial"/>
          <w:b/>
        </w:rPr>
        <w:t xml:space="preserve"> </w:t>
      </w:r>
      <w:r w:rsidRPr="00D67563">
        <w:rPr>
          <w:rFonts w:ascii="Arial" w:hAnsi="Arial" w:cs="Arial"/>
          <w:b/>
        </w:rPr>
        <w:t>6</w:t>
      </w:r>
      <w:r w:rsidR="00D67563" w:rsidRPr="00D67563">
        <w:rPr>
          <w:rFonts w:ascii="Arial" w:hAnsi="Arial" w:cs="Arial"/>
          <w:b/>
        </w:rPr>
        <w:t xml:space="preserve">  </w:t>
      </w:r>
      <w:r w:rsidRPr="00D67563">
        <w:rPr>
          <w:rFonts w:ascii="Arial" w:hAnsi="Arial" w:cs="Arial"/>
          <w:b/>
        </w:rPr>
        <w:t xml:space="preserve"> </w:t>
      </w:r>
      <w:r w:rsidR="00D67563" w:rsidRPr="00D67563">
        <w:rPr>
          <w:rFonts w:ascii="Arial" w:hAnsi="Arial" w:cs="Arial"/>
          <w:b/>
        </w:rPr>
        <w:t xml:space="preserve">se doplňuje o text související se zveřejněním smlouvy v registru smluv a o </w:t>
      </w:r>
      <w:proofErr w:type="spellStart"/>
      <w:r w:rsidR="00D67563" w:rsidRPr="00D67563">
        <w:rPr>
          <w:rFonts w:ascii="Arial" w:hAnsi="Arial" w:cs="Arial"/>
          <w:b/>
        </w:rPr>
        <w:t>Compliance</w:t>
      </w:r>
      <w:proofErr w:type="spellEnd"/>
      <w:r w:rsidR="00D67563" w:rsidRPr="00D67563">
        <w:rPr>
          <w:rFonts w:ascii="Arial" w:hAnsi="Arial" w:cs="Arial"/>
          <w:b/>
        </w:rPr>
        <w:t xml:space="preserve"> doložku zadavatele a </w:t>
      </w:r>
      <w:r w:rsidRPr="00D67563">
        <w:rPr>
          <w:rFonts w:ascii="Arial" w:hAnsi="Arial" w:cs="Arial"/>
          <w:b/>
        </w:rPr>
        <w:t xml:space="preserve">bude doplněno nyní </w:t>
      </w:r>
      <w:proofErr w:type="gramStart"/>
      <w:r w:rsidRPr="00D67563">
        <w:rPr>
          <w:rFonts w:ascii="Arial" w:hAnsi="Arial" w:cs="Arial"/>
          <w:b/>
        </w:rPr>
        <w:t>takto :</w:t>
      </w:r>
      <w:proofErr w:type="gramEnd"/>
      <w:r w:rsidR="001A0955" w:rsidRPr="00D67563">
        <w:rPr>
          <w:rFonts w:ascii="Arial" w:hAnsi="Arial" w:cs="Arial"/>
          <w:b/>
        </w:rPr>
        <w:t xml:space="preserve"> </w:t>
      </w:r>
    </w:p>
    <w:p w:rsidR="00BA3B6A" w:rsidRPr="00D67563" w:rsidRDefault="00BA3B6A" w:rsidP="00735358">
      <w:pPr>
        <w:rPr>
          <w:rFonts w:ascii="Arial" w:hAnsi="Arial" w:cs="Arial"/>
        </w:rPr>
      </w:pPr>
    </w:p>
    <w:p w:rsidR="00BA3B6A" w:rsidRPr="00D67563" w:rsidRDefault="00BA3B6A" w:rsidP="00735358">
      <w:pPr>
        <w:rPr>
          <w:rFonts w:ascii="Arial" w:hAnsi="Arial" w:cs="Arial"/>
        </w:rPr>
      </w:pPr>
      <w:r w:rsidRPr="00D67563">
        <w:rPr>
          <w:rFonts w:ascii="Arial" w:hAnsi="Arial" w:cs="Arial"/>
        </w:rPr>
        <w:t xml:space="preserve">Smluvní strany se dohodly, že nová cena bude platit od </w:t>
      </w:r>
      <w:proofErr w:type="gramStart"/>
      <w:r w:rsidRPr="00D67563">
        <w:rPr>
          <w:rFonts w:ascii="Arial" w:hAnsi="Arial" w:cs="Arial"/>
        </w:rPr>
        <w:t>1.1.201</w:t>
      </w:r>
      <w:r w:rsidR="00EF223F" w:rsidRPr="00D67563">
        <w:rPr>
          <w:rFonts w:ascii="Arial" w:hAnsi="Arial" w:cs="Arial"/>
        </w:rPr>
        <w:t>8</w:t>
      </w:r>
      <w:proofErr w:type="gramEnd"/>
    </w:p>
    <w:p w:rsidR="001A0955" w:rsidRPr="00D67563" w:rsidRDefault="001A0955" w:rsidP="001A0955">
      <w:pPr>
        <w:rPr>
          <w:rFonts w:ascii="Arial" w:hAnsi="Arial" w:cs="Arial"/>
          <w:b/>
          <w:sz w:val="24"/>
          <w:szCs w:val="24"/>
        </w:rPr>
      </w:pPr>
    </w:p>
    <w:p w:rsidR="00E14736" w:rsidRPr="00D67563" w:rsidRDefault="00D67563" w:rsidP="00EB73FB">
      <w:pPr>
        <w:spacing w:after="200" w:line="276" w:lineRule="auto"/>
        <w:ind w:firstLine="708"/>
        <w:jc w:val="both"/>
        <w:rPr>
          <w:rFonts w:ascii="Arial" w:eastAsiaTheme="minorEastAsia" w:hAnsi="Arial" w:cs="Arial"/>
          <w:lang w:eastAsia="cs-CZ"/>
        </w:rPr>
      </w:pPr>
      <w:r w:rsidRPr="00D67563">
        <w:rPr>
          <w:rFonts w:ascii="Arial" w:eastAsiaTheme="minorEastAsia" w:hAnsi="Arial" w:cs="Arial"/>
          <w:lang w:eastAsia="cs-CZ"/>
        </w:rPr>
        <w:lastRenderedPageBreak/>
        <w:t>S</w:t>
      </w:r>
      <w:r w:rsidR="00E14736" w:rsidRPr="00D67563">
        <w:rPr>
          <w:rFonts w:ascii="Arial" w:eastAsiaTheme="minorEastAsia" w:hAnsi="Arial" w:cs="Arial"/>
          <w:lang w:eastAsia="cs-CZ"/>
        </w:rPr>
        <w:t xml:space="preserve">mluvní strany berou na vědomí, že Povodí Ohře, státní podnik, je povinen zveřejnit obraz smlouvy a jejích případných změn (dodatků) a dalších dokumentů od této smlouvy odvozených včetně </w:t>
      </w:r>
      <w:proofErr w:type="spellStart"/>
      <w:r w:rsidR="00E14736" w:rsidRPr="00D67563">
        <w:rPr>
          <w:rFonts w:ascii="Arial" w:eastAsiaTheme="minorEastAsia" w:hAnsi="Arial" w:cs="Arial"/>
          <w:lang w:eastAsia="cs-CZ"/>
        </w:rPr>
        <w:t>metadat</w:t>
      </w:r>
      <w:proofErr w:type="spellEnd"/>
      <w:r w:rsidR="00E14736" w:rsidRPr="00D67563">
        <w:rPr>
          <w:rFonts w:ascii="Arial" w:eastAsiaTheme="minorEastAsia" w:hAnsi="Arial" w:cs="Arial"/>
          <w:lang w:eastAsia="cs-CZ"/>
        </w:rPr>
        <w:t xml:space="preserve"> požadovaných k uveřejnění dle zákona č. 340/2015 Sb. o registru smluv. Zveřejnění smlouvy a </w:t>
      </w:r>
      <w:proofErr w:type="spellStart"/>
      <w:r w:rsidR="00E14736" w:rsidRPr="00D67563">
        <w:rPr>
          <w:rFonts w:ascii="Arial" w:eastAsiaTheme="minorEastAsia" w:hAnsi="Arial" w:cs="Arial"/>
          <w:lang w:eastAsia="cs-CZ"/>
        </w:rPr>
        <w:t>metadat</w:t>
      </w:r>
      <w:proofErr w:type="spellEnd"/>
      <w:r w:rsidR="00E14736" w:rsidRPr="00D67563">
        <w:rPr>
          <w:rFonts w:ascii="Arial" w:eastAsiaTheme="minorEastAsia" w:hAnsi="Arial" w:cs="Arial"/>
          <w:lang w:eastAsia="cs-CZ"/>
        </w:rPr>
        <w:t xml:space="preserve"> v registru smluv zajistí Povodí Ohře, státní podnik, který má právo tuto smlouvu zveřejnit rovněž v pochybnostech o tom, zda tato smlouva zveřejnění podléhá či nikoliv.</w:t>
      </w:r>
    </w:p>
    <w:p w:rsidR="001A0955" w:rsidRPr="00D67563" w:rsidRDefault="001A0955" w:rsidP="00E14736">
      <w:pPr>
        <w:rPr>
          <w:rFonts w:ascii="Arial" w:hAnsi="Arial" w:cs="Arial"/>
        </w:rPr>
      </w:pPr>
    </w:p>
    <w:p w:rsidR="001A0955" w:rsidRPr="00D67563" w:rsidRDefault="001A0955" w:rsidP="00E14736">
      <w:pPr>
        <w:rPr>
          <w:rFonts w:ascii="Arial" w:hAnsi="Arial" w:cs="Arial"/>
        </w:rPr>
      </w:pPr>
    </w:p>
    <w:p w:rsidR="00E14736" w:rsidRPr="00D67563" w:rsidRDefault="00E14736" w:rsidP="00E14736">
      <w:pPr>
        <w:rPr>
          <w:rFonts w:ascii="Arial" w:hAnsi="Arial" w:cs="Arial"/>
        </w:rPr>
      </w:pPr>
      <w:r w:rsidRPr="00D67563">
        <w:rPr>
          <w:rFonts w:ascii="Arial" w:hAnsi="Arial" w:cs="Arial"/>
        </w:rPr>
        <w:t xml:space="preserve">COMPLIANCE DOLOŽKA </w:t>
      </w:r>
    </w:p>
    <w:p w:rsidR="00EF24CB" w:rsidRPr="00D67563" w:rsidRDefault="00EF24CB" w:rsidP="00EF24CB">
      <w:pPr>
        <w:rPr>
          <w:rFonts w:ascii="Arial" w:hAnsi="Arial" w:cs="Arial"/>
        </w:rPr>
      </w:pPr>
    </w:p>
    <w:p w:rsidR="00E14736" w:rsidRPr="00D67563" w:rsidRDefault="00E14736" w:rsidP="00E14736">
      <w:pPr>
        <w:widowControl w:val="0"/>
        <w:numPr>
          <w:ilvl w:val="0"/>
          <w:numId w:val="1"/>
        </w:numPr>
        <w:autoSpaceDE w:val="0"/>
        <w:autoSpaceDN w:val="0"/>
        <w:adjustRightInd w:val="0"/>
        <w:spacing w:after="200" w:line="276" w:lineRule="auto"/>
        <w:ind w:left="426" w:hanging="426"/>
        <w:contextualSpacing/>
        <w:jc w:val="both"/>
        <w:rPr>
          <w:rFonts w:ascii="Arial" w:eastAsiaTheme="minorEastAsia" w:hAnsi="Arial" w:cs="Arial"/>
          <w:lang w:eastAsia="cs-CZ"/>
        </w:rPr>
      </w:pPr>
      <w:r w:rsidRPr="00D67563">
        <w:rPr>
          <w:rFonts w:ascii="Arial" w:eastAsiaTheme="minorEastAsia" w:hAnsi="Arial" w:cs="Arial"/>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E14736" w:rsidRPr="00D67563" w:rsidRDefault="00E14736" w:rsidP="00E14736">
      <w:pPr>
        <w:widowControl w:val="0"/>
        <w:autoSpaceDE w:val="0"/>
        <w:autoSpaceDN w:val="0"/>
        <w:adjustRightInd w:val="0"/>
        <w:ind w:left="426" w:hanging="426"/>
        <w:jc w:val="both"/>
        <w:rPr>
          <w:rFonts w:ascii="Arial" w:eastAsiaTheme="minorEastAsia" w:hAnsi="Arial" w:cs="Arial"/>
          <w:lang w:eastAsia="cs-CZ"/>
        </w:rPr>
      </w:pPr>
    </w:p>
    <w:p w:rsidR="00E14736" w:rsidRPr="00D67563" w:rsidRDefault="00E14736" w:rsidP="00E14736">
      <w:pPr>
        <w:widowControl w:val="0"/>
        <w:numPr>
          <w:ilvl w:val="0"/>
          <w:numId w:val="1"/>
        </w:numPr>
        <w:autoSpaceDE w:val="0"/>
        <w:autoSpaceDN w:val="0"/>
        <w:adjustRightInd w:val="0"/>
        <w:spacing w:after="200" w:line="276" w:lineRule="auto"/>
        <w:ind w:left="426" w:hanging="426"/>
        <w:contextualSpacing/>
        <w:jc w:val="both"/>
        <w:rPr>
          <w:rFonts w:ascii="Arial" w:eastAsiaTheme="minorEastAsia" w:hAnsi="Arial" w:cs="Arial"/>
          <w:lang w:eastAsia="cs-CZ"/>
        </w:rPr>
      </w:pPr>
      <w:r w:rsidRPr="00D67563">
        <w:rPr>
          <w:rFonts w:ascii="Arial" w:eastAsiaTheme="minorEastAsia" w:hAnsi="Arial" w:cs="Arial"/>
          <w:lang w:eastAsia="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14736" w:rsidRPr="00D67563" w:rsidRDefault="00E14736" w:rsidP="00E14736">
      <w:pPr>
        <w:widowControl w:val="0"/>
        <w:autoSpaceDE w:val="0"/>
        <w:autoSpaceDN w:val="0"/>
        <w:adjustRightInd w:val="0"/>
        <w:ind w:left="426" w:hanging="426"/>
        <w:jc w:val="both"/>
        <w:rPr>
          <w:rFonts w:ascii="Arial" w:eastAsiaTheme="minorEastAsia" w:hAnsi="Arial" w:cs="Arial"/>
          <w:lang w:eastAsia="cs-CZ"/>
        </w:rPr>
      </w:pPr>
    </w:p>
    <w:p w:rsidR="00E14736" w:rsidRPr="00D67563" w:rsidRDefault="00E14736" w:rsidP="00E14736">
      <w:pPr>
        <w:widowControl w:val="0"/>
        <w:numPr>
          <w:ilvl w:val="0"/>
          <w:numId w:val="1"/>
        </w:numPr>
        <w:autoSpaceDE w:val="0"/>
        <w:autoSpaceDN w:val="0"/>
        <w:adjustRightInd w:val="0"/>
        <w:spacing w:after="200" w:line="276" w:lineRule="auto"/>
        <w:ind w:left="426" w:hanging="426"/>
        <w:contextualSpacing/>
        <w:jc w:val="both"/>
        <w:rPr>
          <w:rFonts w:ascii="Arial" w:eastAsiaTheme="minorEastAsia" w:hAnsi="Arial" w:cs="Arial"/>
          <w:lang w:eastAsia="cs-CZ"/>
        </w:rPr>
      </w:pPr>
      <w:r w:rsidRPr="00D67563">
        <w:rPr>
          <w:rFonts w:ascii="Arial" w:eastAsiaTheme="minorEastAsia" w:hAnsi="Arial" w:cs="Arial"/>
          <w:lang w:eastAsia="cs-CZ"/>
        </w:rPr>
        <w:t xml:space="preserve">Dodavatel prohlašuje, že se seznámil se zásadami, hodnotami a cíli </w:t>
      </w:r>
      <w:proofErr w:type="spellStart"/>
      <w:r w:rsidRPr="00D67563">
        <w:rPr>
          <w:rFonts w:ascii="Arial" w:eastAsiaTheme="minorEastAsia" w:hAnsi="Arial" w:cs="Arial"/>
          <w:lang w:eastAsia="cs-CZ"/>
        </w:rPr>
        <w:t>Compliance</w:t>
      </w:r>
      <w:proofErr w:type="spellEnd"/>
      <w:r w:rsidRPr="00D67563">
        <w:rPr>
          <w:rFonts w:ascii="Arial" w:eastAsiaTheme="minorEastAsia" w:hAnsi="Arial" w:cs="Arial"/>
          <w:lang w:eastAsia="cs-CZ"/>
        </w:rPr>
        <w:t xml:space="preserve"> programu Povodí Ohře, státní podnik (viz </w:t>
      </w:r>
      <w:proofErr w:type="gramStart"/>
      <w:r w:rsidRPr="00D67563">
        <w:rPr>
          <w:rFonts w:ascii="Arial" w:eastAsiaTheme="minorEastAsia" w:hAnsi="Arial" w:cs="Arial"/>
          <w:lang w:eastAsia="cs-CZ"/>
        </w:rPr>
        <w:t>www</w:t>
      </w:r>
      <w:proofErr w:type="gramEnd"/>
      <w:r w:rsidRPr="00D67563">
        <w:rPr>
          <w:rFonts w:ascii="Arial" w:eastAsiaTheme="minorEastAsia" w:hAnsi="Arial" w:cs="Arial"/>
          <w:lang w:eastAsia="cs-CZ"/>
        </w:rPr>
        <w:t>.</w:t>
      </w:r>
      <w:proofErr w:type="gramStart"/>
      <w:r w:rsidRPr="00D67563">
        <w:rPr>
          <w:rFonts w:ascii="Arial" w:eastAsiaTheme="minorEastAsia" w:hAnsi="Arial" w:cs="Arial"/>
          <w:lang w:eastAsia="cs-CZ"/>
        </w:rPr>
        <w:t>poh</w:t>
      </w:r>
      <w:proofErr w:type="gramEnd"/>
      <w:r w:rsidRPr="00D67563">
        <w:rPr>
          <w:rFonts w:ascii="Arial" w:eastAsiaTheme="minorEastAsia" w:hAnsi="Arial" w:cs="Arial"/>
          <w:lang w:eastAsia="cs-CZ"/>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E14736" w:rsidRPr="00D67563" w:rsidRDefault="00E14736" w:rsidP="00E14736">
      <w:pPr>
        <w:widowControl w:val="0"/>
        <w:autoSpaceDE w:val="0"/>
        <w:autoSpaceDN w:val="0"/>
        <w:adjustRightInd w:val="0"/>
        <w:ind w:left="426" w:hanging="426"/>
        <w:jc w:val="both"/>
        <w:rPr>
          <w:rFonts w:ascii="Arial" w:eastAsiaTheme="minorEastAsia" w:hAnsi="Arial" w:cs="Arial"/>
          <w:lang w:eastAsia="cs-CZ"/>
        </w:rPr>
      </w:pPr>
    </w:p>
    <w:p w:rsidR="00E14736" w:rsidRPr="00D67563" w:rsidRDefault="00E14736" w:rsidP="00E14736">
      <w:pPr>
        <w:widowControl w:val="0"/>
        <w:numPr>
          <w:ilvl w:val="0"/>
          <w:numId w:val="1"/>
        </w:numPr>
        <w:autoSpaceDE w:val="0"/>
        <w:autoSpaceDN w:val="0"/>
        <w:adjustRightInd w:val="0"/>
        <w:spacing w:after="200" w:line="276" w:lineRule="auto"/>
        <w:ind w:left="426" w:hanging="426"/>
        <w:contextualSpacing/>
        <w:jc w:val="both"/>
        <w:rPr>
          <w:rFonts w:ascii="Arial" w:eastAsiaTheme="minorEastAsia" w:hAnsi="Arial" w:cs="Arial"/>
          <w:lang w:eastAsia="cs-CZ"/>
        </w:rPr>
      </w:pPr>
      <w:r w:rsidRPr="00D67563">
        <w:rPr>
          <w:rFonts w:ascii="Arial" w:eastAsiaTheme="minorEastAsia" w:hAnsi="Arial" w:cs="Arial"/>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F24CB" w:rsidRPr="00D67563" w:rsidRDefault="00EF24CB" w:rsidP="00EF24CB">
      <w:pPr>
        <w:rPr>
          <w:rFonts w:ascii="Arial" w:hAnsi="Arial" w:cs="Arial"/>
        </w:rPr>
      </w:pPr>
    </w:p>
    <w:p w:rsidR="00EF24CB" w:rsidRPr="00D67563" w:rsidRDefault="00EF24CB" w:rsidP="00EF24CB">
      <w:pPr>
        <w:rPr>
          <w:rFonts w:ascii="Arial" w:hAnsi="Arial" w:cs="Arial"/>
        </w:rPr>
      </w:pPr>
    </w:p>
    <w:p w:rsidR="00D67563" w:rsidRDefault="00D67563" w:rsidP="001A0955">
      <w:pPr>
        <w:rPr>
          <w:rFonts w:ascii="Arial" w:hAnsi="Arial" w:cs="Arial"/>
        </w:rPr>
      </w:pPr>
    </w:p>
    <w:p w:rsidR="001A0955" w:rsidRPr="00D67563" w:rsidRDefault="001A0955" w:rsidP="001A0955">
      <w:pPr>
        <w:rPr>
          <w:rFonts w:ascii="Arial" w:hAnsi="Arial" w:cs="Arial"/>
        </w:rPr>
      </w:pPr>
      <w:r w:rsidRPr="00D67563">
        <w:rPr>
          <w:rFonts w:ascii="Arial" w:hAnsi="Arial" w:cs="Arial"/>
        </w:rPr>
        <w:t>Ostatní ujednání smlouvy č. 661/2014 zůstávají beze změny.</w:t>
      </w:r>
    </w:p>
    <w:p w:rsidR="00EF24CB" w:rsidRPr="00D67563" w:rsidRDefault="00EF24CB" w:rsidP="00EF24CB">
      <w:pPr>
        <w:rPr>
          <w:rFonts w:ascii="Arial" w:hAnsi="Arial" w:cs="Arial"/>
        </w:rPr>
      </w:pPr>
    </w:p>
    <w:p w:rsidR="00EF223F" w:rsidRDefault="00EF223F" w:rsidP="00735358">
      <w:pPr>
        <w:rPr>
          <w:rFonts w:ascii="Arial" w:hAnsi="Arial" w:cs="Arial"/>
        </w:rPr>
      </w:pPr>
    </w:p>
    <w:p w:rsidR="00D67563" w:rsidRDefault="00D67563" w:rsidP="00735358">
      <w:pPr>
        <w:rPr>
          <w:rFonts w:ascii="Arial" w:hAnsi="Arial" w:cs="Arial"/>
        </w:rPr>
      </w:pPr>
    </w:p>
    <w:p w:rsidR="00D67563" w:rsidRDefault="00D67563" w:rsidP="00735358">
      <w:pPr>
        <w:rPr>
          <w:rFonts w:ascii="Arial" w:hAnsi="Arial" w:cs="Arial"/>
        </w:rPr>
      </w:pPr>
    </w:p>
    <w:p w:rsidR="00D67563" w:rsidRPr="00D67563" w:rsidRDefault="00D67563" w:rsidP="00735358">
      <w:pPr>
        <w:rPr>
          <w:rFonts w:ascii="Arial" w:hAnsi="Arial" w:cs="Arial"/>
        </w:rPr>
      </w:pPr>
    </w:p>
    <w:p w:rsidR="00CF1FBE" w:rsidRPr="00D67563" w:rsidRDefault="00CF1FBE" w:rsidP="00735358">
      <w:pPr>
        <w:rPr>
          <w:rFonts w:ascii="Arial" w:hAnsi="Arial" w:cs="Arial"/>
        </w:rPr>
      </w:pPr>
      <w:r w:rsidRPr="00D67563">
        <w:rPr>
          <w:rFonts w:ascii="Arial" w:hAnsi="Arial" w:cs="Arial"/>
        </w:rPr>
        <w:t xml:space="preserve">V Chomutově dne </w:t>
      </w:r>
    </w:p>
    <w:p w:rsidR="00CF1FBE" w:rsidRPr="00D67563" w:rsidRDefault="00CF1FBE" w:rsidP="00735358">
      <w:pPr>
        <w:rPr>
          <w:rFonts w:ascii="Arial" w:hAnsi="Arial" w:cs="Arial"/>
        </w:rPr>
      </w:pPr>
    </w:p>
    <w:p w:rsidR="00CF1FBE" w:rsidRPr="00D67563" w:rsidRDefault="00CF1FBE" w:rsidP="00735358">
      <w:pPr>
        <w:rPr>
          <w:rFonts w:ascii="Arial" w:hAnsi="Arial" w:cs="Arial"/>
        </w:rPr>
      </w:pPr>
    </w:p>
    <w:p w:rsidR="00CF1FBE" w:rsidRPr="00D67563" w:rsidRDefault="00CF1FBE" w:rsidP="00735358">
      <w:pPr>
        <w:rPr>
          <w:rFonts w:ascii="Arial" w:hAnsi="Arial" w:cs="Arial"/>
        </w:rPr>
      </w:pPr>
    </w:p>
    <w:p w:rsidR="00D67563" w:rsidRPr="00D67563" w:rsidRDefault="00D67563" w:rsidP="00735358">
      <w:pPr>
        <w:rPr>
          <w:rFonts w:ascii="Arial" w:hAnsi="Arial" w:cs="Arial"/>
        </w:rPr>
      </w:pPr>
    </w:p>
    <w:p w:rsidR="00CF1FBE" w:rsidRPr="00D67563" w:rsidRDefault="00CF1FBE" w:rsidP="00735358">
      <w:pPr>
        <w:rPr>
          <w:rFonts w:ascii="Arial" w:hAnsi="Arial" w:cs="Arial"/>
        </w:rPr>
      </w:pPr>
      <w:r w:rsidRPr="00D67563">
        <w:rPr>
          <w:rFonts w:ascii="Arial" w:hAnsi="Arial" w:cs="Arial"/>
        </w:rPr>
        <w:t>-----------------------------------------------</w:t>
      </w:r>
      <w:r w:rsidRPr="00D67563">
        <w:rPr>
          <w:rFonts w:ascii="Arial" w:hAnsi="Arial" w:cs="Arial"/>
        </w:rPr>
        <w:tab/>
      </w:r>
      <w:r w:rsidRPr="00D67563">
        <w:rPr>
          <w:rFonts w:ascii="Arial" w:hAnsi="Arial" w:cs="Arial"/>
        </w:rPr>
        <w:tab/>
      </w:r>
      <w:r w:rsidRPr="00D67563">
        <w:rPr>
          <w:rFonts w:ascii="Arial" w:hAnsi="Arial" w:cs="Arial"/>
        </w:rPr>
        <w:tab/>
      </w:r>
      <w:r w:rsidRPr="00D67563">
        <w:rPr>
          <w:rFonts w:ascii="Arial" w:hAnsi="Arial" w:cs="Arial"/>
        </w:rPr>
        <w:tab/>
      </w:r>
      <w:r w:rsidRPr="00D67563">
        <w:rPr>
          <w:rFonts w:ascii="Arial" w:hAnsi="Arial" w:cs="Arial"/>
        </w:rPr>
        <w:tab/>
        <w:t>------------------------------------------</w:t>
      </w:r>
    </w:p>
    <w:p w:rsidR="00BA3B6A" w:rsidRPr="00D67563" w:rsidRDefault="00CF1FBE" w:rsidP="00735358">
      <w:pPr>
        <w:rPr>
          <w:rFonts w:ascii="Arial" w:hAnsi="Arial" w:cs="Arial"/>
        </w:rPr>
      </w:pPr>
      <w:r w:rsidRPr="00D67563">
        <w:rPr>
          <w:rFonts w:ascii="Arial" w:hAnsi="Arial" w:cs="Arial"/>
        </w:rPr>
        <w:t xml:space="preserve">       Povodí Ohře, státní podnik</w:t>
      </w:r>
      <w:r w:rsidRPr="00D67563">
        <w:rPr>
          <w:rFonts w:ascii="Arial" w:hAnsi="Arial" w:cs="Arial"/>
        </w:rPr>
        <w:tab/>
      </w:r>
      <w:r w:rsidRPr="00D67563">
        <w:rPr>
          <w:rFonts w:ascii="Arial" w:hAnsi="Arial" w:cs="Arial"/>
        </w:rPr>
        <w:tab/>
      </w:r>
      <w:r w:rsidRPr="00D67563">
        <w:rPr>
          <w:rFonts w:ascii="Arial" w:hAnsi="Arial" w:cs="Arial"/>
        </w:rPr>
        <w:tab/>
      </w:r>
      <w:r w:rsidRPr="00D67563">
        <w:rPr>
          <w:rFonts w:ascii="Arial" w:hAnsi="Arial" w:cs="Arial"/>
        </w:rPr>
        <w:tab/>
      </w:r>
      <w:r w:rsidRPr="00D67563">
        <w:rPr>
          <w:rFonts w:ascii="Arial" w:hAnsi="Arial" w:cs="Arial"/>
        </w:rPr>
        <w:tab/>
      </w:r>
      <w:r w:rsidRPr="00D67563">
        <w:rPr>
          <w:rFonts w:ascii="Arial" w:hAnsi="Arial" w:cs="Arial"/>
        </w:rPr>
        <w:tab/>
      </w:r>
      <w:proofErr w:type="spellStart"/>
      <w:r w:rsidRPr="00D67563">
        <w:rPr>
          <w:rFonts w:ascii="Arial" w:hAnsi="Arial" w:cs="Arial"/>
        </w:rPr>
        <w:t>Gastrotep</w:t>
      </w:r>
      <w:proofErr w:type="spellEnd"/>
      <w:r w:rsidRPr="00D67563">
        <w:rPr>
          <w:rFonts w:ascii="Arial" w:hAnsi="Arial" w:cs="Arial"/>
        </w:rPr>
        <w:t xml:space="preserve"> s.r.o.</w:t>
      </w:r>
    </w:p>
    <w:p w:rsidR="00735358" w:rsidRPr="00D67563" w:rsidRDefault="00735358" w:rsidP="00735358">
      <w:pPr>
        <w:rPr>
          <w:rFonts w:ascii="Arial" w:hAnsi="Arial" w:cs="Arial"/>
        </w:rPr>
      </w:pPr>
      <w:r w:rsidRPr="00D67563">
        <w:rPr>
          <w:rFonts w:ascii="Arial" w:hAnsi="Arial" w:cs="Arial"/>
        </w:rPr>
        <w:t xml:space="preserve"> </w:t>
      </w:r>
      <w:r w:rsidR="00CF1FBE" w:rsidRPr="00D67563">
        <w:rPr>
          <w:rFonts w:ascii="Arial" w:hAnsi="Arial" w:cs="Arial"/>
        </w:rPr>
        <w:t xml:space="preserve">     Bezručova 4219, Chomutov</w:t>
      </w:r>
      <w:r w:rsidR="00CF1FBE" w:rsidRPr="00D67563">
        <w:rPr>
          <w:rFonts w:ascii="Arial" w:hAnsi="Arial" w:cs="Arial"/>
        </w:rPr>
        <w:tab/>
      </w:r>
      <w:r w:rsidR="00CF1FBE" w:rsidRPr="00D67563">
        <w:rPr>
          <w:rFonts w:ascii="Arial" w:hAnsi="Arial" w:cs="Arial"/>
        </w:rPr>
        <w:tab/>
      </w:r>
      <w:r w:rsidR="00CF1FBE" w:rsidRPr="00D67563">
        <w:rPr>
          <w:rFonts w:ascii="Arial" w:hAnsi="Arial" w:cs="Arial"/>
        </w:rPr>
        <w:tab/>
      </w:r>
      <w:r w:rsidR="00CF1FBE" w:rsidRPr="00D67563">
        <w:rPr>
          <w:rFonts w:ascii="Arial" w:hAnsi="Arial" w:cs="Arial"/>
        </w:rPr>
        <w:tab/>
      </w:r>
      <w:r w:rsidR="00CF1FBE" w:rsidRPr="00D67563">
        <w:rPr>
          <w:rFonts w:ascii="Arial" w:hAnsi="Arial" w:cs="Arial"/>
        </w:rPr>
        <w:tab/>
        <w:t xml:space="preserve">   Kpt. Jaroše 536, Proboštov </w:t>
      </w:r>
    </w:p>
    <w:p w:rsidR="00EF223F" w:rsidRPr="00D67563" w:rsidRDefault="00EF223F">
      <w:pPr>
        <w:rPr>
          <w:rFonts w:ascii="Arial" w:hAnsi="Arial" w:cs="Arial"/>
        </w:rPr>
      </w:pPr>
    </w:p>
    <w:sectPr w:rsidR="00EF223F" w:rsidRPr="00D67563" w:rsidSect="00F000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12462"/>
    <w:multiLevelType w:val="hybridMultilevel"/>
    <w:tmpl w:val="083C27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58"/>
    <w:rsid w:val="000D1A79"/>
    <w:rsid w:val="000F0970"/>
    <w:rsid w:val="00114EE4"/>
    <w:rsid w:val="001A0955"/>
    <w:rsid w:val="00311580"/>
    <w:rsid w:val="00534679"/>
    <w:rsid w:val="00735358"/>
    <w:rsid w:val="00772C95"/>
    <w:rsid w:val="007D3455"/>
    <w:rsid w:val="00943256"/>
    <w:rsid w:val="00A82C13"/>
    <w:rsid w:val="00AE6BEB"/>
    <w:rsid w:val="00BA3B6A"/>
    <w:rsid w:val="00CF1FBE"/>
    <w:rsid w:val="00D67563"/>
    <w:rsid w:val="00E14736"/>
    <w:rsid w:val="00E73780"/>
    <w:rsid w:val="00EB73FB"/>
    <w:rsid w:val="00EF223F"/>
    <w:rsid w:val="00EF24CB"/>
    <w:rsid w:val="00F000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455"/>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455"/>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Janda Pavel</dc:creator>
  <cp:lastModifiedBy>Janda Pavel</cp:lastModifiedBy>
  <cp:revision>3</cp:revision>
  <cp:lastPrinted>2016-11-16T06:32:00Z</cp:lastPrinted>
  <dcterms:created xsi:type="dcterms:W3CDTF">2017-12-15T05:54:00Z</dcterms:created>
  <dcterms:modified xsi:type="dcterms:W3CDTF">2017-12-15T05:55:00Z</dcterms:modified>
</cp:coreProperties>
</file>