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0E" w:rsidRPr="003A337E" w:rsidRDefault="00573F0E">
      <w:pPr>
        <w:pStyle w:val="Nzev"/>
        <w:rPr>
          <w:rFonts w:cs="Arial"/>
          <w:sz w:val="52"/>
          <w:szCs w:val="52"/>
        </w:rPr>
      </w:pPr>
      <w:bookmarkStart w:id="0" w:name="_GoBack"/>
      <w:bookmarkEnd w:id="0"/>
      <w:r w:rsidRPr="003A337E">
        <w:rPr>
          <w:rFonts w:cs="Arial"/>
          <w:sz w:val="52"/>
          <w:szCs w:val="52"/>
        </w:rPr>
        <w:t>KUPNÍ SMLOUVA</w:t>
      </w:r>
    </w:p>
    <w:p w:rsidR="00573F0E" w:rsidRPr="003A337E" w:rsidRDefault="00EE79C8">
      <w:pPr>
        <w:spacing w:before="120" w:line="240" w:lineRule="atLeast"/>
        <w:jc w:val="center"/>
        <w:rPr>
          <w:rFonts w:ascii="Arial" w:hAnsi="Arial" w:cs="Arial"/>
          <w:b/>
          <w:sz w:val="36"/>
        </w:rPr>
      </w:pPr>
      <w:r>
        <w:rPr>
          <w:rFonts w:ascii="Arial" w:hAnsi="Arial" w:cs="Arial"/>
          <w:b/>
          <w:sz w:val="36"/>
        </w:rPr>
        <w:t>P</w:t>
      </w:r>
      <w:r w:rsidR="003A337E">
        <w:rPr>
          <w:rFonts w:ascii="Arial" w:hAnsi="Arial" w:cs="Arial"/>
          <w:b/>
          <w:sz w:val="36"/>
        </w:rPr>
        <w:t>T/</w:t>
      </w:r>
      <w:r w:rsidR="00573F0E" w:rsidRPr="003A337E">
        <w:rPr>
          <w:rFonts w:ascii="Arial" w:hAnsi="Arial" w:cs="Arial"/>
          <w:b/>
          <w:sz w:val="36"/>
        </w:rPr>
        <w:t>20</w:t>
      </w:r>
      <w:r w:rsidR="00EA089B" w:rsidRPr="003A337E">
        <w:rPr>
          <w:rFonts w:ascii="Arial" w:hAnsi="Arial" w:cs="Arial"/>
          <w:b/>
          <w:sz w:val="36"/>
        </w:rPr>
        <w:t>1</w:t>
      </w:r>
      <w:r w:rsidR="00D33C0F">
        <w:rPr>
          <w:rFonts w:ascii="Arial" w:hAnsi="Arial" w:cs="Arial"/>
          <w:b/>
          <w:sz w:val="36"/>
        </w:rPr>
        <w:t>7</w:t>
      </w:r>
      <w:r w:rsidR="00CC6AFD">
        <w:rPr>
          <w:rFonts w:ascii="Arial" w:hAnsi="Arial" w:cs="Arial"/>
          <w:b/>
          <w:sz w:val="36"/>
        </w:rPr>
        <w:t>/</w:t>
      </w:r>
      <w:r w:rsidR="00CE382D">
        <w:rPr>
          <w:rFonts w:ascii="Arial" w:hAnsi="Arial" w:cs="Arial"/>
          <w:b/>
          <w:sz w:val="36"/>
        </w:rPr>
        <w:t>150</w:t>
      </w:r>
    </w:p>
    <w:p w:rsidR="00573F0E" w:rsidRPr="003A337E" w:rsidRDefault="00573F0E">
      <w:pPr>
        <w:spacing w:before="120" w:line="240" w:lineRule="atLeast"/>
        <w:jc w:val="center"/>
        <w:rPr>
          <w:rFonts w:ascii="Arial" w:hAnsi="Arial" w:cs="Arial"/>
        </w:rPr>
      </w:pPr>
    </w:p>
    <w:p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rsidR="00A47E0C" w:rsidRDefault="00D404FC" w:rsidP="00A47E0C">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A47E0C" w:rsidRPr="003A337E">
        <w:rPr>
          <w:rFonts w:ascii="Arial" w:hAnsi="Arial" w:cs="Arial"/>
          <w:sz w:val="22"/>
          <w:szCs w:val="22"/>
        </w:rPr>
        <w:t xml:space="preserve">Ing. Zbyněk Frolík </w:t>
      </w:r>
      <w:r w:rsidR="00A47E0C">
        <w:rPr>
          <w:rFonts w:ascii="Arial" w:hAnsi="Arial" w:cs="Arial"/>
          <w:sz w:val="22"/>
          <w:szCs w:val="22"/>
        </w:rPr>
        <w:t>– jednatel</w:t>
      </w:r>
    </w:p>
    <w:p w:rsidR="00A47E0C" w:rsidRPr="003A337E" w:rsidRDefault="00A47E0C" w:rsidP="00A47E0C">
      <w:pPr>
        <w:ind w:left="2124" w:firstLine="708"/>
        <w:rPr>
          <w:rFonts w:ascii="Arial" w:hAnsi="Arial" w:cs="Arial"/>
          <w:sz w:val="22"/>
          <w:szCs w:val="22"/>
        </w:rPr>
      </w:pPr>
      <w:r w:rsidRPr="003A337E">
        <w:rPr>
          <w:rFonts w:ascii="Arial" w:hAnsi="Arial" w:cs="Arial"/>
          <w:sz w:val="22"/>
          <w:szCs w:val="22"/>
        </w:rPr>
        <w:t>Ing. Tomáš Kolář</w:t>
      </w:r>
      <w:r>
        <w:rPr>
          <w:rFonts w:ascii="Arial" w:hAnsi="Arial" w:cs="Arial"/>
          <w:sz w:val="22"/>
          <w:szCs w:val="22"/>
        </w:rPr>
        <w:t xml:space="preserve"> – jednatel</w:t>
      </w:r>
    </w:p>
    <w:p w:rsidR="00A47E0C" w:rsidRPr="003A337E" w:rsidRDefault="00A47E0C" w:rsidP="00A47E0C">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rsidR="00573F0E" w:rsidRPr="003A337E" w:rsidRDefault="00A47E0C" w:rsidP="00A47E0C">
      <w:pPr>
        <w:ind w:left="2124" w:firstLine="708"/>
        <w:rPr>
          <w:rFonts w:ascii="Arial" w:hAnsi="Arial" w:cs="Arial"/>
          <w:sz w:val="22"/>
          <w:szCs w:val="22"/>
        </w:rPr>
      </w:pPr>
      <w:r>
        <w:rPr>
          <w:rFonts w:ascii="Arial" w:hAnsi="Arial" w:cs="Arial"/>
          <w:sz w:val="22"/>
          <w:szCs w:val="22"/>
        </w:rPr>
        <w:t>Ing. Pavel Chýňava – prokurista</w:t>
      </w:r>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rsidR="00573F0E" w:rsidRPr="003A337E" w:rsidRDefault="00573F0E">
      <w:pPr>
        <w:spacing w:before="120"/>
        <w:rPr>
          <w:rFonts w:ascii="Arial" w:hAnsi="Arial" w:cs="Arial"/>
          <w:b/>
          <w:bCs/>
          <w:sz w:val="22"/>
          <w:szCs w:val="22"/>
        </w:rPr>
      </w:pPr>
    </w:p>
    <w:p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CC6AFD">
        <w:rPr>
          <w:rFonts w:ascii="Arial" w:hAnsi="Arial" w:cs="Arial"/>
          <w:sz w:val="22"/>
          <w:szCs w:val="22"/>
        </w:rPr>
        <w:t>Domov pro seniory Tovačov, příspěvková organizace</w:t>
      </w:r>
    </w:p>
    <w:p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CC6AFD">
        <w:rPr>
          <w:rFonts w:ascii="Arial" w:hAnsi="Arial" w:cs="Arial"/>
          <w:sz w:val="22"/>
          <w:szCs w:val="22"/>
        </w:rPr>
        <w:t>Nádražní 94, 751 01 Tovačov</w:t>
      </w:r>
    </w:p>
    <w:p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CC6AFD">
        <w:rPr>
          <w:rFonts w:ascii="Arial" w:hAnsi="Arial" w:cs="Arial"/>
          <w:sz w:val="22"/>
          <w:szCs w:val="22"/>
        </w:rPr>
        <w:t>61985872</w:t>
      </w:r>
    </w:p>
    <w:p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CC6AFD">
        <w:rPr>
          <w:rFonts w:ascii="Arial" w:hAnsi="Arial" w:cs="Arial"/>
          <w:sz w:val="22"/>
          <w:szCs w:val="22"/>
        </w:rPr>
        <w:t>Mgr. Lenka Olivová</w:t>
      </w:r>
    </w:p>
    <w:p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p>
    <w:p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rsidR="00573F0E" w:rsidRPr="003A337E" w:rsidRDefault="00573F0E">
      <w:pPr>
        <w:pStyle w:val="Nzev"/>
        <w:jc w:val="both"/>
        <w:rPr>
          <w:rFonts w:cs="Arial"/>
          <w:b w:val="0"/>
          <w:bCs/>
          <w:sz w:val="22"/>
          <w:szCs w:val="22"/>
          <w:u w:val="none"/>
        </w:rPr>
      </w:pPr>
    </w:p>
    <w:p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rsidR="00573F0E" w:rsidRPr="003A337E" w:rsidRDefault="00573F0E" w:rsidP="003D7A50">
      <w:pPr>
        <w:spacing w:before="240" w:line="240" w:lineRule="atLeast"/>
        <w:rPr>
          <w:rFonts w:ascii="Arial" w:hAnsi="Arial" w:cs="Arial"/>
          <w:b/>
          <w:sz w:val="22"/>
          <w:szCs w:val="22"/>
          <w:u w:val="single"/>
        </w:rPr>
      </w:pPr>
    </w:p>
    <w:p w:rsidR="001272BC" w:rsidRPr="003A337E" w:rsidRDefault="001272BC" w:rsidP="003D7A50">
      <w:pPr>
        <w:spacing w:before="240" w:line="240" w:lineRule="atLeast"/>
        <w:rPr>
          <w:rFonts w:ascii="Arial" w:hAnsi="Arial" w:cs="Arial"/>
          <w:b/>
          <w:sz w:val="22"/>
          <w:szCs w:val="22"/>
          <w:u w:val="single"/>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ust. § 2086 odst. 2 občanského zákoníku</w:t>
      </w:r>
      <w:r w:rsidRPr="003A337E">
        <w:rPr>
          <w:rFonts w:cs="Arial"/>
          <w:sz w:val="22"/>
          <w:szCs w:val="22"/>
        </w:rPr>
        <w:t>.</w:t>
      </w:r>
    </w:p>
    <w:p w:rsidR="00573F0E" w:rsidRDefault="00573F0E">
      <w:pPr>
        <w:spacing w:before="120"/>
        <w:rPr>
          <w:rFonts w:ascii="Arial" w:hAnsi="Arial" w:cs="Arial"/>
          <w:sz w:val="22"/>
          <w:szCs w:val="22"/>
        </w:rPr>
      </w:pPr>
    </w:p>
    <w:p w:rsidR="006D106E" w:rsidRDefault="006D106E">
      <w:pPr>
        <w:spacing w:before="120"/>
        <w:rPr>
          <w:rFonts w:ascii="Arial" w:hAnsi="Arial" w:cs="Arial"/>
          <w:sz w:val="22"/>
          <w:szCs w:val="22"/>
        </w:rPr>
      </w:pPr>
    </w:p>
    <w:p w:rsidR="00DE1E2E" w:rsidRPr="003A337E" w:rsidRDefault="00DE1E2E">
      <w:pPr>
        <w:spacing w:before="12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CC6AFD">
        <w:rPr>
          <w:rFonts w:ascii="Arial" w:hAnsi="Arial" w:cs="Arial"/>
          <w:sz w:val="22"/>
          <w:szCs w:val="22"/>
        </w:rPr>
        <w:t>17 lůžek s příslušenstvím</w:t>
      </w:r>
      <w:r w:rsidRPr="003A337E">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rsidR="001272BC" w:rsidRPr="003A337E" w:rsidRDefault="001272BC">
      <w:pPr>
        <w:tabs>
          <w:tab w:val="left" w:pos="540"/>
        </w:tabs>
        <w:spacing w:before="120"/>
        <w:jc w:val="both"/>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27"/>
        <w:gridCol w:w="5557"/>
      </w:tblGrid>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433 973,2</w:t>
            </w:r>
            <w:r w:rsidR="00CC6AFD">
              <w:rPr>
                <w:rFonts w:ascii="Arial" w:hAnsi="Arial" w:cs="Arial"/>
                <w:b/>
                <w:sz w:val="22"/>
                <w:szCs w:val="22"/>
              </w:rPr>
              <w:t>0</w:t>
            </w:r>
            <w:r w:rsidR="00F90423">
              <w:rPr>
                <w:rFonts w:ascii="Arial" w:hAnsi="Arial" w:cs="Arial"/>
                <w:b/>
                <w:sz w:val="22"/>
                <w:szCs w:val="22"/>
              </w:rPr>
              <w:t xml:space="preserve"> Kč</w:t>
            </w:r>
          </w:p>
        </w:tc>
      </w:tr>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65 095,98</w:t>
            </w:r>
            <w:r w:rsidR="003F36D1">
              <w:rPr>
                <w:rFonts w:ascii="Arial" w:hAnsi="Arial" w:cs="Arial"/>
                <w:b/>
                <w:sz w:val="22"/>
                <w:szCs w:val="22"/>
              </w:rPr>
              <w:t xml:space="preserve"> Kč</w:t>
            </w:r>
          </w:p>
        </w:tc>
      </w:tr>
      <w:tr w:rsidR="003F36D1" w:rsidRPr="003A337E" w:rsidTr="00F90423">
        <w:trPr>
          <w:trHeight w:val="454"/>
        </w:trPr>
        <w:tc>
          <w:tcPr>
            <w:tcW w:w="3727" w:type="dxa"/>
          </w:tcPr>
          <w:p w:rsidR="003F36D1" w:rsidRPr="003A337E" w:rsidRDefault="003F36D1" w:rsidP="00F90423">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tcPr>
          <w:p w:rsidR="003F36D1" w:rsidRPr="003A337E" w:rsidRDefault="007923DC" w:rsidP="00F90423">
            <w:pPr>
              <w:spacing w:before="120" w:line="240" w:lineRule="atLeast"/>
              <w:ind w:right="284"/>
              <w:jc w:val="right"/>
              <w:rPr>
                <w:rFonts w:ascii="Arial" w:hAnsi="Arial" w:cs="Arial"/>
                <w:b/>
                <w:sz w:val="22"/>
                <w:szCs w:val="22"/>
              </w:rPr>
            </w:pPr>
            <w:r>
              <w:rPr>
                <w:rFonts w:ascii="Arial" w:hAnsi="Arial" w:cs="Arial"/>
                <w:b/>
                <w:sz w:val="22"/>
                <w:szCs w:val="22"/>
              </w:rPr>
              <w:t>499 069,18</w:t>
            </w:r>
            <w:r w:rsidR="003F36D1">
              <w:rPr>
                <w:rFonts w:ascii="Arial" w:hAnsi="Arial" w:cs="Arial"/>
                <w:b/>
                <w:sz w:val="22"/>
                <w:szCs w:val="22"/>
              </w:rPr>
              <w:t xml:space="preserve"> Kč</w:t>
            </w:r>
            <w:r w:rsidR="003F36D1" w:rsidRPr="003A337E">
              <w:rPr>
                <w:rFonts w:ascii="Arial" w:hAnsi="Arial" w:cs="Arial"/>
                <w:b/>
                <w:sz w:val="22"/>
                <w:szCs w:val="22"/>
              </w:rPr>
              <w:t xml:space="preserve"> </w:t>
            </w:r>
          </w:p>
        </w:tc>
      </w:tr>
    </w:tbl>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7923DC">
        <w:rPr>
          <w:rFonts w:ascii="Arial" w:hAnsi="Arial" w:cs="Arial"/>
          <w:sz w:val="22"/>
          <w:szCs w:val="22"/>
        </w:rPr>
        <w:t>4</w:t>
      </w:r>
      <w:r w:rsidR="00CC6AFD">
        <w:rPr>
          <w:rFonts w:ascii="Arial" w:hAnsi="Arial" w:cs="Arial"/>
          <w:sz w:val="22"/>
          <w:szCs w:val="22"/>
        </w:rPr>
        <w:t>99</w:t>
      </w:r>
      <w:r w:rsidR="007923DC">
        <w:rPr>
          <w:rFonts w:ascii="Arial" w:hAnsi="Arial" w:cs="Arial"/>
          <w:sz w:val="22"/>
          <w:szCs w:val="22"/>
        </w:rPr>
        <w:t> 069,18</w:t>
      </w:r>
      <w:r w:rsidR="00CC6AFD">
        <w:rPr>
          <w:rFonts w:ascii="Arial" w:hAnsi="Arial" w:cs="Arial"/>
          <w:sz w:val="22"/>
          <w:szCs w:val="22"/>
        </w:rPr>
        <w:t xml:space="preserve"> Kč</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rsidR="001272BC" w:rsidRPr="003A337E" w:rsidRDefault="001272BC">
      <w:pPr>
        <w:spacing w:before="120" w:line="240" w:lineRule="atLeast"/>
        <w:jc w:val="both"/>
        <w:rPr>
          <w:rFonts w:ascii="Arial" w:hAnsi="Arial" w:cs="Arial"/>
          <w:sz w:val="22"/>
          <w:szCs w:val="22"/>
        </w:rPr>
      </w:pPr>
    </w:p>
    <w:p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rsidR="00EE50B3" w:rsidRDefault="00EE50B3"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CC6AFD">
        <w:rPr>
          <w:rFonts w:cs="Arial"/>
          <w:sz w:val="22"/>
          <w:szCs w:val="22"/>
        </w:rPr>
        <w:t>Domov pro seniory Tovačov, Nádražní 94, 751 01 Tovačov</w:t>
      </w:r>
      <w:r w:rsidRPr="003A337E">
        <w:rPr>
          <w:rFonts w:cs="Arial"/>
          <w:sz w:val="22"/>
          <w:szCs w:val="22"/>
        </w:rPr>
        <w:t xml:space="preserve"> (dále též „místo plnění“).</w:t>
      </w:r>
    </w:p>
    <w:p w:rsidR="000C3317" w:rsidRPr="00424232" w:rsidRDefault="00573F0E" w:rsidP="00424232">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lastRenderedPageBreak/>
        <w:t>Prodávající se zavazuje zboží kupujícímu</w:t>
      </w:r>
      <w:r w:rsidR="00CE7A2C" w:rsidRPr="003A337E">
        <w:rPr>
          <w:rFonts w:cs="Arial"/>
          <w:sz w:val="22"/>
          <w:szCs w:val="22"/>
        </w:rPr>
        <w:t xml:space="preserve"> </w:t>
      </w:r>
      <w:r w:rsidR="00CC6AFD">
        <w:rPr>
          <w:rFonts w:cs="Arial"/>
          <w:sz w:val="22"/>
          <w:szCs w:val="22"/>
        </w:rPr>
        <w:t>dodat do 22.12.2017</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rsidR="00573F0E" w:rsidRPr="00F37784"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w:t>
      </w:r>
      <w:r w:rsidR="00CC6AFD">
        <w:rPr>
          <w:rFonts w:ascii="Arial" w:hAnsi="Arial" w:cs="Arial"/>
          <w:sz w:val="22"/>
          <w:szCs w:val="22"/>
        </w:rPr>
        <w:t xml:space="preserve"> poskytuje prodávající po dobu 36</w:t>
      </w:r>
      <w:r w:rsidRPr="003A337E">
        <w:rPr>
          <w:rFonts w:ascii="Arial" w:hAnsi="Arial" w:cs="Arial"/>
          <w:sz w:val="22"/>
          <w:szCs w:val="22"/>
        </w:rPr>
        <w:t xml:space="preserve"> </w:t>
      </w:r>
      <w:r w:rsidR="00CC6AFD">
        <w:rPr>
          <w:rFonts w:ascii="Arial" w:hAnsi="Arial" w:cs="Arial"/>
          <w:sz w:val="22"/>
          <w:szCs w:val="22"/>
        </w:rPr>
        <w:t>m</w:t>
      </w:r>
      <w:r w:rsidRPr="003A337E">
        <w:rPr>
          <w:rFonts w:ascii="Arial" w:hAnsi="Arial" w:cs="Arial"/>
          <w:sz w:val="22"/>
          <w:szCs w:val="22"/>
        </w:rPr>
        <w:t>ěsíců. Záruční doba počíná běžet dnem podpisu předávacího protokolu dle čl. V. odst. 1) této smlouvy.</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rsidR="001272BC" w:rsidRPr="003A337E" w:rsidRDefault="001272BC">
      <w:pPr>
        <w:pStyle w:val="Zkladntext"/>
        <w:spacing w:before="120"/>
        <w:rPr>
          <w:rFonts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713D31">
        <w:rPr>
          <w:rFonts w:ascii="Arial" w:hAnsi="Arial" w:cs="Arial"/>
          <w:sz w:val="22"/>
          <w:szCs w:val="22"/>
        </w:rPr>
        <w:t xml:space="preserve">poštou na adresu </w:t>
      </w:r>
      <w:r w:rsidR="00713D31" w:rsidRPr="00B17E2E">
        <w:rPr>
          <w:rFonts w:ascii="Arial" w:hAnsi="Arial" w:cs="Arial"/>
          <w:sz w:val="22"/>
          <w:szCs w:val="22"/>
        </w:rPr>
        <w:t>LINET spol. s r.o.</w:t>
      </w:r>
      <w:r w:rsidR="00713D31">
        <w:rPr>
          <w:rFonts w:ascii="Arial" w:hAnsi="Arial" w:cs="Arial"/>
          <w:sz w:val="22"/>
          <w:szCs w:val="22"/>
        </w:rPr>
        <w:t>, Želevčice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Želevčicích.</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7 (sedmi) dnů od nahlášení závady, což se </w:t>
      </w:r>
      <w:r w:rsidRPr="003A337E">
        <w:rPr>
          <w:rFonts w:ascii="Arial" w:hAnsi="Arial" w:cs="Arial"/>
          <w:sz w:val="22"/>
          <w:szCs w:val="22"/>
        </w:rPr>
        <w:lastRenderedPageBreak/>
        <w:t>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CC6AFD">
        <w:rPr>
          <w:rFonts w:ascii="Arial" w:hAnsi="Arial" w:cs="Arial"/>
          <w:sz w:val="22"/>
          <w:szCs w:val="22"/>
        </w:rPr>
        <w:t>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je </w:t>
      </w:r>
      <w:r w:rsidR="00CC6AFD">
        <w:rPr>
          <w:rFonts w:ascii="Arial" w:hAnsi="Arial" w:cs="Arial"/>
          <w:sz w:val="22"/>
          <w:szCs w:val="22"/>
        </w:rPr>
        <w:t>850,-</w:t>
      </w:r>
      <w:r w:rsidRPr="003A337E">
        <w:rPr>
          <w:rFonts w:ascii="Arial" w:hAnsi="Arial" w:cs="Arial"/>
          <w:sz w:val="22"/>
          <w:szCs w:val="22"/>
        </w:rPr>
        <w:t xml:space="preserve"> Kč za jeden kus + </w:t>
      </w:r>
      <w:r w:rsidR="00477661" w:rsidRPr="003A337E">
        <w:rPr>
          <w:rFonts w:ascii="Arial" w:hAnsi="Arial" w:cs="Arial"/>
          <w:sz w:val="22"/>
          <w:szCs w:val="22"/>
        </w:rPr>
        <w:t>cena cestovních nákladů a čas technika strávený na cestě</w:t>
      </w:r>
      <w:r w:rsidR="001A655B">
        <w:rPr>
          <w:rFonts w:ascii="Arial" w:hAnsi="Arial" w:cs="Arial"/>
          <w:sz w:val="22"/>
          <w:szCs w:val="22"/>
        </w:rPr>
        <w:t xml:space="preserve"> + příslušná DPH.</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713D31">
        <w:rPr>
          <w:rFonts w:ascii="Arial" w:hAnsi="Arial" w:cs="Arial"/>
          <w:sz w:val="22"/>
          <w:szCs w:val="22"/>
        </w:rPr>
        <w:t>1 090,</w:t>
      </w:r>
      <w:r w:rsidRPr="003A337E">
        <w:rPr>
          <w:rFonts w:ascii="Arial" w:hAnsi="Arial" w:cs="Arial"/>
          <w:sz w:val="22"/>
          <w:szCs w:val="22"/>
        </w:rPr>
        <w:t>- Kč (</w:t>
      </w:r>
      <w:r w:rsidR="00D947D6">
        <w:rPr>
          <w:rFonts w:ascii="Arial" w:hAnsi="Arial" w:cs="Arial"/>
          <w:sz w:val="22"/>
          <w:szCs w:val="22"/>
        </w:rPr>
        <w:t>jedentisícdevadesát</w:t>
      </w:r>
      <w:r w:rsidRPr="003A337E">
        <w:rPr>
          <w:rFonts w:ascii="Arial" w:hAnsi="Arial" w:cs="Arial"/>
          <w:sz w:val="22"/>
          <w:szCs w:val="22"/>
        </w:rPr>
        <w:t xml:space="preserve"> korun českých) + cena cestovních nákladů a čas technika strávený na cestě.</w:t>
      </w:r>
      <w:r w:rsidR="000D401D">
        <w:rPr>
          <w:rFonts w:ascii="Arial" w:hAnsi="Arial" w:cs="Arial"/>
          <w:sz w:val="22"/>
          <w:szCs w:val="22"/>
        </w:rPr>
        <w:t xml:space="preserve"> Marným výjezdem je pro účely této smlouvy myšlena skutečnost</w:t>
      </w:r>
      <w:r w:rsidR="00705C52">
        <w:rPr>
          <w:rFonts w:ascii="Arial" w:hAnsi="Arial" w:cs="Arial"/>
          <w:sz w:val="22"/>
          <w:szCs w:val="22"/>
        </w:rPr>
        <w:t>, kdy zaměstnanec p</w:t>
      </w:r>
      <w:r w:rsidR="000D401D">
        <w:rPr>
          <w:rFonts w:ascii="Arial" w:hAnsi="Arial" w:cs="Arial"/>
          <w:sz w:val="22"/>
          <w:szCs w:val="22"/>
        </w:rPr>
        <w:t>rodávajícího (technik) nemohl provést kupujícím požadované servisní práce z důvodu nedostatečné součinnosti na straně kupujícího.</w:t>
      </w:r>
    </w:p>
    <w:p w:rsidR="001272BC" w:rsidRPr="003A337E" w:rsidRDefault="001272BC" w:rsidP="00D54C9C">
      <w:pPr>
        <w:pStyle w:val="Seznam"/>
        <w:spacing w:before="240"/>
        <w:rPr>
          <w:rFonts w:ascii="Arial" w:hAnsi="Arial" w:cs="Arial"/>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rsidR="00573F0E" w:rsidRPr="003A337E" w:rsidRDefault="00EE79C8">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w:t>
      </w:r>
      <w:r>
        <w:rPr>
          <w:rFonts w:ascii="Arial" w:hAnsi="Arial" w:cs="Arial"/>
          <w:sz w:val="22"/>
          <w:szCs w:val="22"/>
        </w:rPr>
        <w:t xml:space="preserve"> o více jak </w:t>
      </w:r>
      <w:r w:rsidR="00CC6AFD">
        <w:rPr>
          <w:rFonts w:ascii="Arial" w:hAnsi="Arial" w:cs="Arial"/>
          <w:sz w:val="22"/>
          <w:szCs w:val="22"/>
        </w:rPr>
        <w:t>35</w:t>
      </w:r>
      <w:r>
        <w:rPr>
          <w:rFonts w:ascii="Arial" w:hAnsi="Arial" w:cs="Arial"/>
          <w:sz w:val="22"/>
          <w:szCs w:val="22"/>
        </w:rPr>
        <w:t xml:space="preserve"> kalendářních dnů</w:t>
      </w:r>
      <w:r w:rsidRPr="003A337E">
        <w:rPr>
          <w:rFonts w:ascii="Arial" w:hAnsi="Arial" w:cs="Arial"/>
          <w:sz w:val="22"/>
          <w:szCs w:val="22"/>
        </w:rPr>
        <w:t>, je prodávající povinen uhradit kupujícímu smluvní pokutu ve výši 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rsidR="006D106E" w:rsidRPr="003A337E" w:rsidRDefault="006D106E">
      <w:pPr>
        <w:spacing w:before="120" w:line="240" w:lineRule="atLeast"/>
        <w:jc w:val="both"/>
        <w:rPr>
          <w:rFonts w:ascii="Arial" w:hAnsi="Arial" w:cs="Arial"/>
          <w:b/>
          <w:sz w:val="22"/>
          <w:szCs w:val="22"/>
          <w:u w:val="single"/>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rsidR="00573F0E" w:rsidRPr="003A337E" w:rsidRDefault="00573F0E">
      <w:pPr>
        <w:numPr>
          <w:ilvl w:val="0"/>
          <w:numId w:val="17"/>
        </w:numPr>
        <w:tabs>
          <w:tab w:val="clear" w:pos="720"/>
          <w:tab w:val="num" w:pos="360"/>
        </w:tabs>
        <w:spacing w:before="120"/>
        <w:ind w:left="360"/>
        <w:jc w:val="both"/>
        <w:rPr>
          <w:rStyle w:val="Zvraznn"/>
          <w:rFonts w:ascii="Arial" w:hAnsi="Arial" w:cs="Arial"/>
          <w:bCs/>
          <w:i w:val="0"/>
          <w:sz w:val="22"/>
          <w:szCs w:val="22"/>
        </w:rPr>
      </w:pPr>
      <w:r w:rsidRPr="003A337E">
        <w:rPr>
          <w:rStyle w:val="Zv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w:t>
      </w:r>
      <w:r w:rsidRPr="003A337E">
        <w:rPr>
          <w:rFonts w:ascii="Arial" w:hAnsi="Arial" w:cs="Arial"/>
          <w:bCs/>
          <w:sz w:val="22"/>
          <w:szCs w:val="22"/>
        </w:rPr>
        <w:lastRenderedPageBreak/>
        <w:t xml:space="preserve">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vraznn"/>
          <w:rFonts w:ascii="Arial" w:hAnsi="Arial" w:cs="Arial"/>
          <w:bCs/>
          <w:i w:val="0"/>
          <w:sz w:val="22"/>
          <w:szCs w:val="22"/>
        </w:rPr>
        <w:t>rozhodným právem pro eventuální spory vzniklé z předmětu této smlouvy je právo České republiky.</w:t>
      </w:r>
    </w:p>
    <w:p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v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vraznn"/>
          <w:rFonts w:ascii="Arial" w:hAnsi="Arial" w:cs="Arial"/>
          <w:bCs/>
          <w:i w:val="0"/>
          <w:sz w:val="22"/>
          <w:szCs w:val="22"/>
        </w:rPr>
        <w:t xml:space="preserve"> </w:t>
      </w:r>
      <w:r w:rsidRPr="003A337E">
        <w:rPr>
          <w:rStyle w:val="Zvraznn"/>
          <w:rFonts w:ascii="Arial" w:hAnsi="Arial" w:cs="Arial"/>
          <w:bCs/>
          <w:i w:val="0"/>
          <w:sz w:val="22"/>
          <w:szCs w:val="22"/>
        </w:rPr>
        <w:t>rozhodovány obecným soudem, kdy místní příslušnost věcně příslušného soudu I. stupně se bude řídit obecným soudem prodávajícího.</w:t>
      </w:r>
    </w:p>
    <w:p w:rsidR="00573F0E" w:rsidRPr="003A337E" w:rsidRDefault="00573F0E" w:rsidP="00D54C9C">
      <w:pPr>
        <w:spacing w:before="240"/>
        <w:rPr>
          <w:rFonts w:ascii="Arial" w:hAnsi="Arial" w:cs="Arial"/>
          <w:b/>
          <w:bCs/>
          <w:sz w:val="22"/>
          <w:szCs w:val="22"/>
        </w:rPr>
      </w:pPr>
    </w:p>
    <w:p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rsidR="00D404FC" w:rsidRPr="00CC6AFD" w:rsidRDefault="00D404FC" w:rsidP="00D404FC">
      <w:pPr>
        <w:pStyle w:val="Zkladntext"/>
        <w:ind w:firstLine="360"/>
        <w:rPr>
          <w:rFonts w:cs="Arial"/>
          <w:sz w:val="22"/>
          <w:szCs w:val="22"/>
        </w:rPr>
      </w:pPr>
      <w:r w:rsidRPr="00CC6AFD">
        <w:rPr>
          <w:rFonts w:cs="Arial"/>
          <w:sz w:val="22"/>
          <w:szCs w:val="22"/>
        </w:rPr>
        <w:t>Nikolaos Vidras – regionální vedoucí (tel.: 724 274 095)</w:t>
      </w:r>
    </w:p>
    <w:p w:rsidR="00573F0E" w:rsidRPr="003A337E" w:rsidRDefault="00573F0E">
      <w:pPr>
        <w:pStyle w:val="Zkladntext"/>
        <w:ind w:firstLine="283"/>
        <w:rPr>
          <w:rFonts w:cs="Arial"/>
          <w:sz w:val="22"/>
          <w:szCs w:val="22"/>
        </w:rPr>
      </w:pPr>
    </w:p>
    <w:p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rsidR="00573F0E" w:rsidRPr="003A337E" w:rsidRDefault="00CE382D">
      <w:pPr>
        <w:pStyle w:val="Zkladntext"/>
        <w:ind w:firstLine="360"/>
        <w:rPr>
          <w:rFonts w:cs="Arial"/>
          <w:sz w:val="22"/>
          <w:szCs w:val="22"/>
        </w:rPr>
      </w:pPr>
      <w:r>
        <w:rPr>
          <w:rFonts w:cs="Arial"/>
          <w:sz w:val="22"/>
          <w:szCs w:val="22"/>
        </w:rPr>
        <w:t>Jiří Veselý, tel.: 581 731 152, kl. 25</w:t>
      </w:r>
    </w:p>
    <w:p w:rsidR="00573F0E" w:rsidRDefault="00573F0E">
      <w:pPr>
        <w:pStyle w:val="Zkladntext"/>
        <w:numPr>
          <w:ilvl w:val="0"/>
          <w:numId w:val="15"/>
        </w:numPr>
        <w:spacing w:before="120"/>
        <w:rPr>
          <w:rFonts w:cs="Arial"/>
          <w:sz w:val="22"/>
          <w:szCs w:val="22"/>
        </w:rPr>
      </w:pPr>
      <w:r w:rsidRPr="003A337E">
        <w:rPr>
          <w:rFonts w:cs="Arial"/>
          <w:sz w:val="22"/>
          <w:szCs w:val="22"/>
        </w:rPr>
        <w:t>Tato smlouva je platná a účinná dnem jejího podpisu oběma smluvními stranami.</w:t>
      </w:r>
    </w:p>
    <w:p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rsidR="00573F0E" w:rsidRPr="003A337E" w:rsidRDefault="00573F0E">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rsidR="00231B87" w:rsidRPr="003A337E" w:rsidRDefault="00231B87" w:rsidP="00231B87">
      <w:pPr>
        <w:spacing w:before="120"/>
        <w:jc w:val="both"/>
        <w:rPr>
          <w:rFonts w:ascii="Arial" w:hAnsi="Arial" w:cs="Arial"/>
          <w:bCs/>
          <w:sz w:val="22"/>
          <w:szCs w:val="22"/>
        </w:rPr>
      </w:pPr>
    </w:p>
    <w:p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095D1B">
        <w:rPr>
          <w:rFonts w:ascii="Arial" w:hAnsi="Arial" w:cs="Arial"/>
          <w:bCs/>
          <w:sz w:val="22"/>
          <w:szCs w:val="22"/>
        </w:rPr>
        <w:t>6</w:t>
      </w:r>
      <w:r w:rsidR="00F90423">
        <w:rPr>
          <w:rFonts w:ascii="Arial" w:hAnsi="Arial" w:cs="Arial"/>
          <w:bCs/>
          <w:sz w:val="22"/>
          <w:szCs w:val="22"/>
        </w:rPr>
        <w:t>.</w:t>
      </w:r>
      <w:r w:rsidR="00A04320">
        <w:rPr>
          <w:rFonts w:ascii="Arial" w:hAnsi="Arial" w:cs="Arial"/>
          <w:bCs/>
          <w:sz w:val="22"/>
          <w:szCs w:val="22"/>
        </w:rPr>
        <w:t xml:space="preserve"> </w:t>
      </w:r>
      <w:r w:rsidR="00F90423">
        <w:rPr>
          <w:rFonts w:ascii="Arial" w:hAnsi="Arial" w:cs="Arial"/>
          <w:bCs/>
          <w:sz w:val="22"/>
          <w:szCs w:val="22"/>
        </w:rPr>
        <w:t>1</w:t>
      </w:r>
      <w:r w:rsidR="00CE382D">
        <w:rPr>
          <w:rFonts w:ascii="Arial" w:hAnsi="Arial" w:cs="Arial"/>
          <w:bCs/>
          <w:sz w:val="22"/>
          <w:szCs w:val="22"/>
        </w:rPr>
        <w:t>2</w:t>
      </w:r>
      <w:r w:rsidR="00F90423">
        <w:rPr>
          <w:rFonts w:ascii="Arial" w:hAnsi="Arial" w:cs="Arial"/>
          <w:bCs/>
          <w:sz w:val="22"/>
          <w:szCs w:val="22"/>
        </w:rPr>
        <w:t>.</w:t>
      </w:r>
      <w:r w:rsidR="00A04320">
        <w:rPr>
          <w:rFonts w:ascii="Arial" w:hAnsi="Arial" w:cs="Arial"/>
          <w:bCs/>
          <w:sz w:val="22"/>
          <w:szCs w:val="22"/>
        </w:rPr>
        <w:t xml:space="preserve"> </w:t>
      </w:r>
      <w:r w:rsidRPr="003A337E">
        <w:rPr>
          <w:rFonts w:ascii="Arial" w:hAnsi="Arial" w:cs="Arial"/>
          <w:bCs/>
          <w:sz w:val="22"/>
          <w:szCs w:val="22"/>
        </w:rPr>
        <w:t>20</w:t>
      </w:r>
      <w:r w:rsidR="00EA089B" w:rsidRPr="003A337E">
        <w:rPr>
          <w:rFonts w:ascii="Arial" w:hAnsi="Arial" w:cs="Arial"/>
          <w:bCs/>
          <w:sz w:val="22"/>
          <w:szCs w:val="22"/>
        </w:rPr>
        <w:t>1</w:t>
      </w:r>
      <w:r w:rsidR="00713D31">
        <w:rPr>
          <w:rFonts w:ascii="Arial" w:hAnsi="Arial" w:cs="Arial"/>
          <w:bCs/>
          <w:sz w:val="22"/>
          <w:szCs w:val="22"/>
        </w:rPr>
        <w:t>7</w:t>
      </w:r>
      <w:r w:rsidR="00CC6AFD">
        <w:rPr>
          <w:rFonts w:ascii="Arial" w:hAnsi="Arial" w:cs="Arial"/>
          <w:bCs/>
          <w:sz w:val="22"/>
          <w:szCs w:val="22"/>
        </w:rPr>
        <w:tab/>
      </w:r>
      <w:r w:rsidR="00095D1B">
        <w:rPr>
          <w:rFonts w:ascii="Arial" w:hAnsi="Arial" w:cs="Arial"/>
          <w:bCs/>
          <w:sz w:val="22"/>
          <w:szCs w:val="22"/>
        </w:rPr>
        <w:tab/>
      </w:r>
      <w:r w:rsidR="00CC6AFD">
        <w:rPr>
          <w:rFonts w:ascii="Arial" w:hAnsi="Arial" w:cs="Arial"/>
          <w:bCs/>
          <w:sz w:val="22"/>
          <w:szCs w:val="22"/>
        </w:rPr>
        <w:tab/>
        <w:t>V Tovačově</w:t>
      </w:r>
      <w:r w:rsidRPr="003A337E">
        <w:rPr>
          <w:rFonts w:ascii="Arial" w:hAnsi="Arial" w:cs="Arial"/>
          <w:bCs/>
          <w:sz w:val="22"/>
          <w:szCs w:val="22"/>
        </w:rPr>
        <w:t xml:space="preserve"> dne </w:t>
      </w:r>
      <w:r w:rsidR="00A04320">
        <w:rPr>
          <w:rFonts w:ascii="Arial" w:hAnsi="Arial" w:cs="Arial"/>
          <w:bCs/>
          <w:sz w:val="22"/>
          <w:szCs w:val="22"/>
        </w:rPr>
        <w:t xml:space="preserve">14. 12. </w:t>
      </w:r>
      <w:r w:rsidR="0079187F">
        <w:rPr>
          <w:rFonts w:ascii="Arial" w:hAnsi="Arial" w:cs="Arial"/>
          <w:bCs/>
          <w:sz w:val="22"/>
          <w:szCs w:val="22"/>
        </w:rPr>
        <w:t>201</w:t>
      </w:r>
      <w:r w:rsidR="00713D31">
        <w:rPr>
          <w:rFonts w:ascii="Arial" w:hAnsi="Arial" w:cs="Arial"/>
          <w:bCs/>
          <w:sz w:val="22"/>
          <w:szCs w:val="22"/>
        </w:rPr>
        <w:t>7</w:t>
      </w: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p>
    <w:p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rsidR="00231B87" w:rsidRPr="00666082" w:rsidRDefault="00231B87" w:rsidP="001272BC">
      <w:pPr>
        <w:spacing w:before="120"/>
        <w:jc w:val="both"/>
        <w:rPr>
          <w:rFonts w:ascii="Arial" w:hAnsi="Arial" w:cs="Arial"/>
          <w:bCs/>
          <w:i/>
          <w:sz w:val="22"/>
          <w:szCs w:val="22"/>
        </w:rPr>
      </w:pPr>
    </w:p>
    <w:p w:rsidR="00231B87" w:rsidRPr="003A337E" w:rsidRDefault="00231B87" w:rsidP="001272BC">
      <w:pPr>
        <w:spacing w:before="120"/>
        <w:jc w:val="both"/>
        <w:rPr>
          <w:rFonts w:ascii="Arial" w:hAnsi="Arial" w:cs="Arial"/>
          <w:bCs/>
          <w:sz w:val="22"/>
          <w:szCs w:val="22"/>
        </w:rPr>
      </w:pPr>
    </w:p>
    <w:p w:rsidR="001272BC" w:rsidRPr="003A337E" w:rsidRDefault="001272BC" w:rsidP="001272BC">
      <w:pPr>
        <w:spacing w:before="120"/>
        <w:jc w:val="both"/>
        <w:rPr>
          <w:rFonts w:ascii="Arial" w:hAnsi="Arial" w:cs="Arial"/>
          <w:bCs/>
          <w:sz w:val="22"/>
          <w:szCs w:val="22"/>
        </w:rPr>
      </w:pPr>
    </w:p>
    <w:sectPr w:rsidR="001272BC" w:rsidRPr="003A337E" w:rsidSect="00713D31">
      <w:footerReference w:type="even" r:id="rId9"/>
      <w:footerReference w:type="default" r:id="rId10"/>
      <w:pgSz w:w="11907" w:h="16839" w:code="9"/>
      <w:pgMar w:top="1134" w:right="1077" w:bottom="1134" w:left="1077" w:header="709" w:footer="5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75" w:rsidRDefault="009A3B75">
      <w:r>
        <w:separator/>
      </w:r>
    </w:p>
  </w:endnote>
  <w:endnote w:type="continuationSeparator" w:id="0">
    <w:p w:rsidR="009A3B75" w:rsidRDefault="009A3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303779">
    <w:pPr>
      <w:pStyle w:val="Zpat"/>
      <w:framePr w:wrap="around" w:vAnchor="text" w:hAnchor="margin" w:xAlign="right" w:y="1"/>
      <w:rPr>
        <w:rStyle w:val="slostrnky"/>
      </w:rPr>
    </w:pPr>
    <w:r>
      <w:rPr>
        <w:rStyle w:val="slostrnky"/>
      </w:rPr>
      <w:fldChar w:fldCharType="begin"/>
    </w:r>
    <w:r w:rsidR="000D401D">
      <w:rPr>
        <w:rStyle w:val="slostrnky"/>
      </w:rPr>
      <w:instrText xml:space="preserve">PAGE  </w:instrText>
    </w:r>
    <w:r>
      <w:rPr>
        <w:rStyle w:val="slostrnky"/>
      </w:rPr>
      <w:fldChar w:fldCharType="end"/>
    </w:r>
  </w:p>
  <w:p w:rsidR="000D401D" w:rsidRDefault="000D401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1D" w:rsidRDefault="00303779" w:rsidP="003A337E">
    <w:pPr>
      <w:pStyle w:val="Zpat"/>
      <w:ind w:right="360"/>
      <w:jc w:val="right"/>
      <w:rPr>
        <w:rFonts w:ascii="Arial" w:hAnsi="Arial" w:cs="Arial"/>
        <w:snapToGrid w:val="0"/>
        <w:sz w:val="16"/>
      </w:rPr>
    </w:pPr>
    <w:r>
      <w:rPr>
        <w:rStyle w:val="slostrnky"/>
      </w:rPr>
      <w:fldChar w:fldCharType="begin"/>
    </w:r>
    <w:r w:rsidR="000D401D">
      <w:rPr>
        <w:rStyle w:val="slostrnky"/>
      </w:rPr>
      <w:instrText xml:space="preserve"> PAGE </w:instrText>
    </w:r>
    <w:r>
      <w:rPr>
        <w:rStyle w:val="slostrnky"/>
      </w:rPr>
      <w:fldChar w:fldCharType="separate"/>
    </w:r>
    <w:r w:rsidR="00DD5E78">
      <w:rPr>
        <w:rStyle w:val="slostrnky"/>
        <w:noProof/>
      </w:rPr>
      <w:t>5</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75" w:rsidRDefault="009A3B75">
      <w:r>
        <w:separator/>
      </w:r>
    </w:p>
  </w:footnote>
  <w:footnote w:type="continuationSeparator" w:id="0">
    <w:p w:rsidR="009A3B75" w:rsidRDefault="009A3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3314"/>
  </w:hdrShapeDefaults>
  <w:footnotePr>
    <w:footnote w:id="-1"/>
    <w:footnote w:id="0"/>
  </w:footnotePr>
  <w:endnotePr>
    <w:endnote w:id="-1"/>
    <w:endnote w:id="0"/>
  </w:endnotePr>
  <w:compat/>
  <w:rsids>
    <w:rsidRoot w:val="000D38AB"/>
    <w:rsid w:val="000052D1"/>
    <w:rsid w:val="000074B9"/>
    <w:rsid w:val="00007E87"/>
    <w:rsid w:val="00033DA3"/>
    <w:rsid w:val="00036533"/>
    <w:rsid w:val="000410DC"/>
    <w:rsid w:val="00050FE6"/>
    <w:rsid w:val="0007414C"/>
    <w:rsid w:val="00095D1B"/>
    <w:rsid w:val="000B0C14"/>
    <w:rsid w:val="000C3317"/>
    <w:rsid w:val="000D38AB"/>
    <w:rsid w:val="000D401D"/>
    <w:rsid w:val="00117174"/>
    <w:rsid w:val="001272BC"/>
    <w:rsid w:val="001431FE"/>
    <w:rsid w:val="0014684E"/>
    <w:rsid w:val="001820E0"/>
    <w:rsid w:val="001844D2"/>
    <w:rsid w:val="001856B0"/>
    <w:rsid w:val="001A4F8A"/>
    <w:rsid w:val="001A655B"/>
    <w:rsid w:val="001A712D"/>
    <w:rsid w:val="001A7503"/>
    <w:rsid w:val="0021013C"/>
    <w:rsid w:val="00230D33"/>
    <w:rsid w:val="00231B87"/>
    <w:rsid w:val="00235154"/>
    <w:rsid w:val="002B0563"/>
    <w:rsid w:val="002B76BE"/>
    <w:rsid w:val="00303779"/>
    <w:rsid w:val="00311218"/>
    <w:rsid w:val="00325B7C"/>
    <w:rsid w:val="00330C72"/>
    <w:rsid w:val="0034449D"/>
    <w:rsid w:val="00375E70"/>
    <w:rsid w:val="00376D53"/>
    <w:rsid w:val="003A337E"/>
    <w:rsid w:val="003B5755"/>
    <w:rsid w:val="003D7A50"/>
    <w:rsid w:val="003F36D1"/>
    <w:rsid w:val="00424232"/>
    <w:rsid w:val="00477661"/>
    <w:rsid w:val="004C3A73"/>
    <w:rsid w:val="004F6050"/>
    <w:rsid w:val="00500E5F"/>
    <w:rsid w:val="00564195"/>
    <w:rsid w:val="00573F0E"/>
    <w:rsid w:val="00576963"/>
    <w:rsid w:val="005A78CB"/>
    <w:rsid w:val="005E19D3"/>
    <w:rsid w:val="005E5EF3"/>
    <w:rsid w:val="005E7388"/>
    <w:rsid w:val="00602CF9"/>
    <w:rsid w:val="00617D7E"/>
    <w:rsid w:val="00643412"/>
    <w:rsid w:val="00666082"/>
    <w:rsid w:val="00680AA3"/>
    <w:rsid w:val="006D106E"/>
    <w:rsid w:val="00705C52"/>
    <w:rsid w:val="00712AC4"/>
    <w:rsid w:val="00713D31"/>
    <w:rsid w:val="00717EDA"/>
    <w:rsid w:val="007710C7"/>
    <w:rsid w:val="0079187F"/>
    <w:rsid w:val="007923DC"/>
    <w:rsid w:val="00811487"/>
    <w:rsid w:val="00817995"/>
    <w:rsid w:val="008242CB"/>
    <w:rsid w:val="008325F5"/>
    <w:rsid w:val="008849B7"/>
    <w:rsid w:val="00895B28"/>
    <w:rsid w:val="008D03BD"/>
    <w:rsid w:val="008E5775"/>
    <w:rsid w:val="00923E75"/>
    <w:rsid w:val="009309D8"/>
    <w:rsid w:val="00933F2F"/>
    <w:rsid w:val="00937622"/>
    <w:rsid w:val="0094239D"/>
    <w:rsid w:val="00967C83"/>
    <w:rsid w:val="009A3B75"/>
    <w:rsid w:val="009C21C5"/>
    <w:rsid w:val="00A022FD"/>
    <w:rsid w:val="00A04320"/>
    <w:rsid w:val="00A307BD"/>
    <w:rsid w:val="00A47E0C"/>
    <w:rsid w:val="00A5191B"/>
    <w:rsid w:val="00A6062D"/>
    <w:rsid w:val="00A6147A"/>
    <w:rsid w:val="00A70A8B"/>
    <w:rsid w:val="00A913E2"/>
    <w:rsid w:val="00AC65FB"/>
    <w:rsid w:val="00B03E63"/>
    <w:rsid w:val="00B312B4"/>
    <w:rsid w:val="00B428F1"/>
    <w:rsid w:val="00B512F1"/>
    <w:rsid w:val="00B51957"/>
    <w:rsid w:val="00BD0EA1"/>
    <w:rsid w:val="00C51F10"/>
    <w:rsid w:val="00C96B52"/>
    <w:rsid w:val="00CB53FE"/>
    <w:rsid w:val="00CC6AFD"/>
    <w:rsid w:val="00CC7D55"/>
    <w:rsid w:val="00CE382D"/>
    <w:rsid w:val="00CE7A2C"/>
    <w:rsid w:val="00D1276A"/>
    <w:rsid w:val="00D33C0F"/>
    <w:rsid w:val="00D37927"/>
    <w:rsid w:val="00D404FC"/>
    <w:rsid w:val="00D54C9C"/>
    <w:rsid w:val="00D70D52"/>
    <w:rsid w:val="00D947D6"/>
    <w:rsid w:val="00DA610E"/>
    <w:rsid w:val="00DB608B"/>
    <w:rsid w:val="00DC273E"/>
    <w:rsid w:val="00DD1594"/>
    <w:rsid w:val="00DD5E78"/>
    <w:rsid w:val="00DE1E2E"/>
    <w:rsid w:val="00DE6C72"/>
    <w:rsid w:val="00DF7BAB"/>
    <w:rsid w:val="00E80F9D"/>
    <w:rsid w:val="00E81E99"/>
    <w:rsid w:val="00EA089B"/>
    <w:rsid w:val="00EA118C"/>
    <w:rsid w:val="00EA5719"/>
    <w:rsid w:val="00EA62C7"/>
    <w:rsid w:val="00EB28B8"/>
    <w:rsid w:val="00EB6471"/>
    <w:rsid w:val="00EE50B3"/>
    <w:rsid w:val="00EE79C8"/>
    <w:rsid w:val="00F127E4"/>
    <w:rsid w:val="00F37784"/>
    <w:rsid w:val="00F40993"/>
    <w:rsid w:val="00F557EC"/>
    <w:rsid w:val="00F57122"/>
    <w:rsid w:val="00F904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779"/>
    <w:rPr>
      <w:sz w:val="24"/>
      <w:szCs w:val="24"/>
    </w:rPr>
  </w:style>
  <w:style w:type="paragraph" w:styleId="Nadpis1">
    <w:name w:val="heading 1"/>
    <w:basedOn w:val="Normln"/>
    <w:next w:val="Normln"/>
    <w:qFormat/>
    <w:rsid w:val="00303779"/>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3779"/>
    <w:pPr>
      <w:spacing w:before="120" w:line="240" w:lineRule="atLeast"/>
      <w:jc w:val="center"/>
    </w:pPr>
    <w:rPr>
      <w:rFonts w:ascii="Arial" w:hAnsi="Arial"/>
      <w:b/>
      <w:sz w:val="68"/>
      <w:szCs w:val="20"/>
      <w:u w:val="single"/>
    </w:rPr>
  </w:style>
  <w:style w:type="paragraph" w:styleId="Zkladntext">
    <w:name w:val="Body Text"/>
    <w:basedOn w:val="Normln"/>
    <w:rsid w:val="00303779"/>
    <w:pPr>
      <w:jc w:val="both"/>
    </w:pPr>
    <w:rPr>
      <w:rFonts w:ascii="Arial" w:hAnsi="Arial"/>
      <w:sz w:val="20"/>
      <w:szCs w:val="20"/>
    </w:rPr>
  </w:style>
  <w:style w:type="paragraph" w:styleId="Zhlav">
    <w:name w:val="header"/>
    <w:basedOn w:val="Normln"/>
    <w:rsid w:val="00303779"/>
    <w:pPr>
      <w:tabs>
        <w:tab w:val="center" w:pos="4536"/>
        <w:tab w:val="right" w:pos="9072"/>
      </w:tabs>
    </w:pPr>
    <w:rPr>
      <w:sz w:val="20"/>
      <w:szCs w:val="20"/>
    </w:rPr>
  </w:style>
  <w:style w:type="character" w:styleId="Hypertextovodkaz">
    <w:name w:val="Hyperlink"/>
    <w:rsid w:val="00303779"/>
    <w:rPr>
      <w:color w:val="0000FF"/>
      <w:u w:val="single"/>
    </w:rPr>
  </w:style>
  <w:style w:type="paragraph" w:styleId="Seznam">
    <w:name w:val="List"/>
    <w:basedOn w:val="Normln"/>
    <w:rsid w:val="00303779"/>
    <w:pPr>
      <w:ind w:left="283" w:hanging="283"/>
    </w:pPr>
    <w:rPr>
      <w:sz w:val="20"/>
      <w:szCs w:val="20"/>
    </w:rPr>
  </w:style>
  <w:style w:type="paragraph" w:styleId="Zkladntext3">
    <w:name w:val="Body Text 3"/>
    <w:basedOn w:val="Normln"/>
    <w:rsid w:val="00303779"/>
    <w:pPr>
      <w:spacing w:after="120"/>
    </w:pPr>
    <w:rPr>
      <w:sz w:val="16"/>
      <w:szCs w:val="16"/>
    </w:rPr>
  </w:style>
  <w:style w:type="character" w:styleId="Zvraznn">
    <w:name w:val="Emphasis"/>
    <w:qFormat/>
    <w:rsid w:val="00303779"/>
    <w:rPr>
      <w:i/>
      <w:iCs/>
    </w:rPr>
  </w:style>
  <w:style w:type="paragraph" w:styleId="Zkladntext2">
    <w:name w:val="Body Text 2"/>
    <w:basedOn w:val="Normln"/>
    <w:rsid w:val="00303779"/>
    <w:pPr>
      <w:spacing w:after="120" w:line="480" w:lineRule="auto"/>
    </w:pPr>
    <w:rPr>
      <w:sz w:val="20"/>
      <w:szCs w:val="20"/>
    </w:rPr>
  </w:style>
  <w:style w:type="character" w:styleId="slostrnky">
    <w:name w:val="page number"/>
    <w:basedOn w:val="Standardnpsmoodstavce"/>
    <w:rsid w:val="00303779"/>
  </w:style>
  <w:style w:type="paragraph" w:styleId="Zpat">
    <w:name w:val="footer"/>
    <w:basedOn w:val="Normln"/>
    <w:rsid w:val="00303779"/>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15D4-8DAE-49E0-8FD9-1B582F9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12941</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reditelka</cp:lastModifiedBy>
  <cp:revision>3</cp:revision>
  <cp:lastPrinted>2017-12-12T08:13:00Z</cp:lastPrinted>
  <dcterms:created xsi:type="dcterms:W3CDTF">2017-12-15T10:40:00Z</dcterms:created>
  <dcterms:modified xsi:type="dcterms:W3CDTF">2017-12-15T10:40:00Z</dcterms:modified>
</cp:coreProperties>
</file>