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976B4A" w:rsidRPr="00D96274" w:rsidRDefault="00DF4459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t></w:t>
      </w:r>
      <w:r>
        <w:rPr>
          <w:rFonts w:ascii="Code 128 Notext" w:hAnsi="Code 128 Notext" w:cs="Arial"/>
          <w:sz w:val="72"/>
          <w:szCs w:val="72"/>
        </w:rPr>
        <w:t></w:t>
      </w:r>
      <w:r>
        <w:rPr>
          <w:rFonts w:ascii="Code 128 Notext" w:hAnsi="Code 128 Notext" w:cs="Arial"/>
          <w:sz w:val="72"/>
          <w:szCs w:val="72"/>
        </w:rPr>
        <w:t></w:t>
      </w:r>
      <w:r>
        <w:rPr>
          <w:rFonts w:ascii="Code 128 Notext" w:hAnsi="Code 128 Notext" w:cs="Arial"/>
          <w:sz w:val="72"/>
          <w:szCs w:val="72"/>
        </w:rPr>
        <w:t></w:t>
      </w:r>
      <w:r>
        <w:rPr>
          <w:rFonts w:ascii="Code 128 Notext" w:hAnsi="Code 128 Notext" w:cs="Arial"/>
          <w:sz w:val="72"/>
          <w:szCs w:val="72"/>
        </w:rPr>
        <w:t></w:t>
      </w:r>
      <w:r>
        <w:rPr>
          <w:rFonts w:ascii="Code 128 Notext" w:hAnsi="Code 128 Notext" w:cs="Arial"/>
          <w:sz w:val="72"/>
          <w:szCs w:val="72"/>
        </w:rPr>
        <w:t></w:t>
      </w:r>
      <w:r>
        <w:rPr>
          <w:rFonts w:ascii="Code 128 Notext" w:hAnsi="Code 128 Notext" w:cs="Arial"/>
          <w:sz w:val="72"/>
          <w:szCs w:val="72"/>
        </w:rPr>
        <w:t></w:t>
      </w:r>
      <w:r>
        <w:rPr>
          <w:rFonts w:ascii="Code 128 Notext" w:hAnsi="Code 128 Notext" w:cs="Arial"/>
          <w:sz w:val="72"/>
          <w:szCs w:val="72"/>
        </w:rPr>
        <w:t></w:t>
      </w:r>
      <w:r>
        <w:rPr>
          <w:rFonts w:ascii="Code 128 Notext" w:hAnsi="Code 128 Notext" w:cs="Arial"/>
          <w:sz w:val="72"/>
          <w:szCs w:val="72"/>
        </w:rPr>
        <w:t></w:t>
      </w:r>
      <w:r>
        <w:rPr>
          <w:rFonts w:ascii="Code 128 Notext" w:hAnsi="Code 128 Notext" w:cs="Arial"/>
          <w:sz w:val="72"/>
          <w:szCs w:val="72"/>
        </w:rPr>
        <w:t></w:t>
      </w:r>
      <w:r>
        <w:rPr>
          <w:rFonts w:ascii="Code 128 Notext" w:hAnsi="Code 128 Notext" w:cs="Arial"/>
          <w:sz w:val="72"/>
          <w:szCs w:val="72"/>
        </w:rPr>
        <w:t></w:t>
      </w:r>
      <w:r>
        <w:rPr>
          <w:rFonts w:ascii="Code 128 Notext" w:hAnsi="Code 128 Notext" w:cs="Arial"/>
          <w:sz w:val="72"/>
          <w:szCs w:val="72"/>
        </w:rPr>
        <w:t></w:t>
      </w:r>
      <w:r>
        <w:rPr>
          <w:rFonts w:ascii="Code 128 Notext" w:hAnsi="Code 128 Notext" w:cs="Arial"/>
          <w:sz w:val="72"/>
          <w:szCs w:val="72"/>
        </w:rPr>
        <w:t></w:t>
      </w:r>
      <w:r>
        <w:rPr>
          <w:rFonts w:ascii="Code 128 Notext" w:hAnsi="Code 128 Notext" w:cs="Arial"/>
          <w:sz w:val="72"/>
          <w:szCs w:val="72"/>
        </w:rPr>
        <w:t></w:t>
      </w:r>
      <w:r>
        <w:rPr>
          <w:rFonts w:ascii="Code 128 Notext" w:hAnsi="Code 128 Notext" w:cs="Arial"/>
          <w:sz w:val="72"/>
          <w:szCs w:val="72"/>
        </w:rPr>
        <w:t></w:t>
      </w:r>
      <w:r>
        <w:rPr>
          <w:rFonts w:ascii="Code 128 Notext" w:hAnsi="Code 128 Notext" w:cs="Arial"/>
          <w:sz w:val="72"/>
          <w:szCs w:val="72"/>
        </w:rPr>
        <w:t></w:t>
      </w:r>
      <w:r>
        <w:rPr>
          <w:rFonts w:ascii="Code 128 Notext" w:hAnsi="Code 128 Notext" w:cs="Arial"/>
          <w:sz w:val="72"/>
          <w:szCs w:val="72"/>
        </w:rPr>
        <w:t></w:t>
      </w:r>
      <w:r>
        <w:rPr>
          <w:rFonts w:ascii="Code 128 Notext" w:hAnsi="Code 128 Notext" w:cs="Arial"/>
          <w:sz w:val="72"/>
          <w:szCs w:val="72"/>
        </w:rPr>
        <w:t></w:t>
      </w:r>
      <w:r>
        <w:rPr>
          <w:rFonts w:ascii="Code 128 Notext" w:hAnsi="Code 128 Notext" w:cs="Arial"/>
          <w:sz w:val="72"/>
          <w:szCs w:val="72"/>
        </w:rPr>
        <w:t></w:t>
      </w:r>
      <w:r>
        <w:rPr>
          <w:rFonts w:ascii="Code 128 Notext" w:hAnsi="Code 128 Notext" w:cs="Arial"/>
          <w:sz w:val="72"/>
          <w:szCs w:val="72"/>
        </w:rPr>
        <w:t></w:t>
      </w:r>
      <w:r>
        <w:rPr>
          <w:rFonts w:ascii="Code 128 Notext" w:hAnsi="Code 128 Notext" w:cs="Arial"/>
          <w:sz w:val="72"/>
          <w:szCs w:val="72"/>
        </w:rPr>
        <w:t></w:t>
      </w:r>
      <w:r>
        <w:rPr>
          <w:rFonts w:ascii="Code 128 Notext" w:hAnsi="Code 128 Notext" w:cs="Arial"/>
          <w:sz w:val="72"/>
          <w:szCs w:val="72"/>
        </w:rPr>
        <w:t></w:t>
      </w:r>
    </w:p>
    <w:p w:rsidR="007E2ACA" w:rsidRPr="00976B4A" w:rsidRDefault="00DF44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83202/A/2016-HMO2</w:t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="00DF4459">
        <w:rPr>
          <w:rFonts w:ascii="Arial" w:hAnsi="Arial" w:cs="Arial"/>
          <w:sz w:val="18"/>
          <w:szCs w:val="18"/>
        </w:rPr>
        <w:t>UZSVM/A/48351/2016-HMO2</w:t>
      </w:r>
    </w:p>
    <w:p w:rsidR="00D432B2" w:rsidRDefault="00D432B2" w:rsidP="00D432B2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</w:p>
    <w:p w:rsidR="00D432B2" w:rsidRDefault="00D432B2" w:rsidP="00D432B2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="00DF4459"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t>,</w:t>
      </w:r>
    </w:p>
    <w:p w:rsidR="00D432B2" w:rsidRDefault="00D432B2" w:rsidP="00D43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DF4459">
        <w:rPr>
          <w:rFonts w:ascii="Arial" w:hAnsi="Arial" w:cs="Arial"/>
          <w:sz w:val="22"/>
          <w:szCs w:val="22"/>
        </w:rPr>
        <w:t>Rašínovo nábřeží 390/42, 128 00 Praha 2</w:t>
      </w:r>
      <w:r>
        <w:rPr>
          <w:rFonts w:ascii="Arial" w:hAnsi="Arial" w:cs="Arial"/>
          <w:sz w:val="22"/>
          <w:szCs w:val="22"/>
        </w:rPr>
        <w:t>,</w:t>
      </w:r>
    </w:p>
    <w:p w:rsidR="00D432B2" w:rsidRDefault="00D432B2" w:rsidP="00D432B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Vladimír Hůlka, pověřen zastupováním pracovního místa ředitele Územního pracoviště v hlavním městě Praze na základě Příkazu generálního ředitele č. 6/2014 v platném znění</w:t>
      </w:r>
      <w:r>
        <w:rPr>
          <w:rFonts w:ascii="Arial" w:hAnsi="Arial" w:cs="Arial"/>
          <w:i/>
          <w:sz w:val="22"/>
          <w:szCs w:val="22"/>
        </w:rPr>
        <w:t>,</w:t>
      </w:r>
    </w:p>
    <w:p w:rsidR="00D432B2" w:rsidRDefault="00D432B2" w:rsidP="00D432B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D432B2" w:rsidRDefault="00D432B2" w:rsidP="00D432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D432B2" w:rsidRDefault="00D432B2" w:rsidP="00D432B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432B2" w:rsidRPr="00F20B1F" w:rsidRDefault="00D432B2" w:rsidP="00D432B2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  <w:r w:rsidRPr="00F20B1F">
        <w:rPr>
          <w:rFonts w:ascii="Arial" w:hAnsi="Arial" w:cs="Arial"/>
          <w:b/>
          <w:bCs/>
          <w:iCs/>
          <w:sz w:val="22"/>
          <w:szCs w:val="22"/>
        </w:rPr>
        <w:t>Manželé</w:t>
      </w:r>
    </w:p>
    <w:p w:rsidR="00F20B1F" w:rsidRDefault="00F20B1F" w:rsidP="00D432B2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i/>
          <w:sz w:val="22"/>
          <w:szCs w:val="22"/>
        </w:rPr>
      </w:pPr>
      <w:r w:rsidRPr="00F20B1F">
        <w:rPr>
          <w:rFonts w:ascii="Arial" w:hAnsi="Arial" w:cs="Arial"/>
          <w:b/>
          <w:sz w:val="22"/>
          <w:szCs w:val="22"/>
        </w:rPr>
        <w:t>Alena Domlátilová</w:t>
      </w:r>
      <w:r w:rsidR="00D432B2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CC17D2">
        <w:rPr>
          <w:rFonts w:ascii="Arial" w:hAnsi="Arial" w:cs="Arial"/>
          <w:sz w:val="22"/>
          <w:szCs w:val="22"/>
        </w:rPr>
        <w:t>xxxxxxxxxxxxxxxxxxx</w:t>
      </w:r>
      <w:proofErr w:type="spellEnd"/>
      <w:r w:rsidR="00D432B2">
        <w:rPr>
          <w:rFonts w:ascii="Arial" w:hAnsi="Arial" w:cs="Arial"/>
          <w:i/>
          <w:sz w:val="22"/>
          <w:szCs w:val="22"/>
        </w:rPr>
        <w:t xml:space="preserve"> </w:t>
      </w:r>
    </w:p>
    <w:p w:rsidR="00D432B2" w:rsidRDefault="00D432B2" w:rsidP="00D432B2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trvalý pobyt</w:t>
      </w:r>
      <w:r w:rsidR="00F20B1F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C17D2">
        <w:rPr>
          <w:rFonts w:ascii="Arial" w:hAnsi="Arial" w:cs="Arial"/>
          <w:sz w:val="22"/>
          <w:szCs w:val="22"/>
        </w:rPr>
        <w:t>xxxxxxxxxxxxxxxxxxxxxxxxxxxxx</w:t>
      </w:r>
      <w:proofErr w:type="spellEnd"/>
    </w:p>
    <w:p w:rsidR="00F20B1F" w:rsidRDefault="00F20B1F" w:rsidP="00D432B2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F20B1F" w:rsidRDefault="00F20B1F" w:rsidP="00D432B2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F20B1F">
        <w:rPr>
          <w:rFonts w:ascii="Arial" w:hAnsi="Arial" w:cs="Arial"/>
          <w:b/>
          <w:sz w:val="22"/>
          <w:szCs w:val="22"/>
        </w:rPr>
        <w:t>Jiří Domlátil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C17D2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F20B1F" w:rsidRDefault="00D432B2" w:rsidP="00F20B1F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trvalý pobyt</w:t>
      </w:r>
      <w:r w:rsidR="00F20B1F">
        <w:rPr>
          <w:rFonts w:ascii="Arial" w:hAnsi="Arial" w:cs="Arial"/>
          <w:sz w:val="22"/>
          <w:szCs w:val="22"/>
        </w:rPr>
        <w:t xml:space="preserve">: </w:t>
      </w:r>
      <w:r w:rsidR="00F20B1F" w:rsidRPr="00F20B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17D2">
        <w:rPr>
          <w:rFonts w:ascii="Arial" w:hAnsi="Arial" w:cs="Arial"/>
          <w:sz w:val="22"/>
          <w:szCs w:val="22"/>
        </w:rPr>
        <w:t>xxxxxxxxxxxxxxxxxxxxxxxxxxxx</w:t>
      </w:r>
      <w:proofErr w:type="spellEnd"/>
    </w:p>
    <w:p w:rsidR="00D432B2" w:rsidRDefault="00D432B2" w:rsidP="00F20B1F">
      <w:pPr>
        <w:tabs>
          <w:tab w:val="left" w:pos="120"/>
          <w:tab w:val="left" w:pos="3402"/>
          <w:tab w:val="left" w:pos="6237"/>
        </w:tabs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D432B2" w:rsidRDefault="00D432B2" w:rsidP="00D432B2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D432B2" w:rsidRDefault="00D432B2" w:rsidP="00D432B2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D432B2" w:rsidRDefault="00D432B2" w:rsidP="00D43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§ 2079 a násl. zákona č. 89/2012 Sb., občanský zákoník (dále jen „zákon </w:t>
      </w:r>
      <w:r w:rsidR="00114E4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89/2012 Sb. “), a podle zákona č. 219/2000 Sb., o majetku České republiky a jejím vystupování v právních vztazích, ve znění pozdějších předpisů (dále jen „zákon č. 219/2000 Sb.,“) tuto</w:t>
      </w:r>
    </w:p>
    <w:p w:rsidR="00CF367E" w:rsidRDefault="00CF367E" w:rsidP="00D432B2">
      <w:pPr>
        <w:tabs>
          <w:tab w:val="left" w:pos="1635"/>
        </w:tabs>
        <w:spacing w:before="360"/>
        <w:jc w:val="center"/>
        <w:rPr>
          <w:rFonts w:ascii="Arial" w:hAnsi="Arial" w:cs="Arial"/>
          <w:b/>
          <w:spacing w:val="60"/>
          <w:sz w:val="28"/>
          <w:szCs w:val="28"/>
        </w:rPr>
      </w:pPr>
    </w:p>
    <w:p w:rsidR="00D432B2" w:rsidRDefault="00D432B2" w:rsidP="00D432B2">
      <w:pPr>
        <w:tabs>
          <w:tab w:val="left" w:pos="1635"/>
        </w:tabs>
        <w:spacing w:before="360"/>
        <w:jc w:val="center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>KUPNÍ SMLOUVU</w:t>
      </w: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D432B2" w:rsidRDefault="00D432B2" w:rsidP="00D432B2"/>
    <w:p w:rsidR="00D432B2" w:rsidRDefault="00D432B2" w:rsidP="00D432B2">
      <w:pPr>
        <w:numPr>
          <w:ilvl w:val="0"/>
          <w:numId w:val="1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uvedených nemovitých věcí:</w:t>
      </w:r>
    </w:p>
    <w:p w:rsidR="00D432B2" w:rsidRDefault="00D432B2" w:rsidP="00D432B2">
      <w:pPr>
        <w:jc w:val="both"/>
        <w:rPr>
          <w:rFonts w:ascii="Arial" w:hAnsi="Arial" w:cs="Arial"/>
          <w:b/>
          <w:sz w:val="22"/>
          <w:szCs w:val="22"/>
        </w:rPr>
      </w:pPr>
    </w:p>
    <w:p w:rsidR="00CF367E" w:rsidRDefault="00CF367E" w:rsidP="00D432B2">
      <w:pPr>
        <w:jc w:val="both"/>
        <w:rPr>
          <w:rFonts w:ascii="Arial" w:hAnsi="Arial" w:cs="Arial"/>
          <w:b/>
          <w:sz w:val="22"/>
          <w:szCs w:val="22"/>
        </w:rPr>
      </w:pPr>
    </w:p>
    <w:p w:rsidR="00D432B2" w:rsidRDefault="00D432B2" w:rsidP="00D432B2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bytová jednotka č. 806/16 v domě č.p. 806, postaveném na pozemku </w:t>
      </w:r>
      <w:proofErr w:type="spellStart"/>
      <w:r>
        <w:rPr>
          <w:rFonts w:ascii="Arial" w:hAnsi="Arial" w:cs="Arial"/>
          <w:b/>
          <w:sz w:val="22"/>
          <w:szCs w:val="22"/>
        </w:rPr>
        <w:t>parc</w:t>
      </w:r>
      <w:proofErr w:type="spellEnd"/>
      <w:r>
        <w:rPr>
          <w:rFonts w:ascii="Arial" w:hAnsi="Arial" w:cs="Arial"/>
          <w:b/>
          <w:sz w:val="22"/>
          <w:szCs w:val="22"/>
        </w:rPr>
        <w:t>. č.  828</w:t>
      </w:r>
      <w:r w:rsidR="00114E47">
        <w:rPr>
          <w:rFonts w:ascii="Arial" w:hAnsi="Arial" w:cs="Arial"/>
          <w:b/>
          <w:sz w:val="22"/>
          <w:szCs w:val="22"/>
        </w:rPr>
        <w:t>,   se spoluvlastnickým podílem</w:t>
      </w:r>
      <w:r>
        <w:rPr>
          <w:rFonts w:ascii="Arial" w:hAnsi="Arial" w:cs="Arial"/>
          <w:b/>
          <w:sz w:val="22"/>
          <w:szCs w:val="22"/>
        </w:rPr>
        <w:t xml:space="preserve"> 317/14905 na společných částech domu č.p. 806 jehož součástí je kotelna, postaveném na pozemku </w:t>
      </w:r>
      <w:proofErr w:type="spellStart"/>
      <w:r>
        <w:rPr>
          <w:rFonts w:ascii="Arial" w:hAnsi="Arial" w:cs="Arial"/>
          <w:b/>
          <w:sz w:val="22"/>
          <w:szCs w:val="22"/>
        </w:rPr>
        <w:t>parc</w:t>
      </w:r>
      <w:proofErr w:type="spellEnd"/>
      <w:r>
        <w:rPr>
          <w:rFonts w:ascii="Arial" w:hAnsi="Arial" w:cs="Arial"/>
          <w:b/>
          <w:sz w:val="22"/>
          <w:szCs w:val="22"/>
        </w:rPr>
        <w:t>. č. 828, vše v katastrálním území Bubeneč</w:t>
      </w:r>
      <w:r w:rsidR="00114E47">
        <w:rPr>
          <w:rFonts w:ascii="Arial" w:hAnsi="Arial" w:cs="Arial"/>
          <w:b/>
          <w:sz w:val="22"/>
          <w:szCs w:val="22"/>
        </w:rPr>
        <w:t>.</w:t>
      </w:r>
    </w:p>
    <w:p w:rsidR="00D432B2" w:rsidRDefault="00D432B2" w:rsidP="00D432B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Bytová jednotka je zapsána na listu vlastnictví č. 5893 a dům je zapsán na listu vlastnictví č. 944 vedeném Katastrálním úřadem pro hlavní město Prahu, Katastrální pracoviště Praha, pro obec Pra</w:t>
      </w:r>
      <w:r w:rsidR="00114E47">
        <w:rPr>
          <w:rFonts w:ascii="Arial" w:hAnsi="Arial" w:cs="Arial"/>
          <w:sz w:val="22"/>
          <w:szCs w:val="22"/>
        </w:rPr>
        <w:t>ha, katastrální území Bubeneč.</w:t>
      </w:r>
    </w:p>
    <w:p w:rsidR="00D432B2" w:rsidRDefault="00D432B2" w:rsidP="00D432B2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:rsidR="00D432B2" w:rsidRDefault="00D432B2" w:rsidP="00D432B2">
      <w:pPr>
        <w:numPr>
          <w:ilvl w:val="0"/>
          <w:numId w:val="3"/>
        </w:numPr>
        <w:tabs>
          <w:tab w:val="num" w:pos="426"/>
          <w:tab w:val="center" w:pos="4536"/>
          <w:tab w:val="left" w:pos="5222"/>
        </w:tabs>
        <w:ind w:left="426" w:hanging="426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Úřad pro zastupování státu ve věcech majetkových je na základě Usnesení Obvodního soudu pro Prahu 6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zn. 26 D 393/2014 ze dne 19.5.2015, v právní moci dne 19.5.2016,   ve věci dědictví po zemřelém Jiřím Va</w:t>
      </w:r>
      <w:r w:rsidR="00114E47">
        <w:rPr>
          <w:rFonts w:ascii="Arial" w:hAnsi="Arial" w:cs="Arial"/>
          <w:sz w:val="22"/>
          <w:szCs w:val="22"/>
        </w:rPr>
        <w:t xml:space="preserve">lentovi, s převáděným majetkem </w:t>
      </w:r>
      <w:r>
        <w:rPr>
          <w:rFonts w:ascii="Arial" w:hAnsi="Arial" w:cs="Arial"/>
          <w:sz w:val="22"/>
          <w:szCs w:val="22"/>
        </w:rPr>
        <w:t xml:space="preserve">hospodařit, </w:t>
      </w:r>
      <w:r w:rsidR="00114E4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to ve smyslu § 11 zákona č. 219/2000 Sb. </w:t>
      </w:r>
    </w:p>
    <w:p w:rsidR="00D432B2" w:rsidRDefault="00D432B2" w:rsidP="00D432B2">
      <w:pPr>
        <w:jc w:val="both"/>
        <w:rPr>
          <w:rFonts w:ascii="Arial" w:hAnsi="Arial" w:cs="Arial"/>
          <w:b/>
          <w:sz w:val="22"/>
          <w:szCs w:val="22"/>
        </w:rPr>
      </w:pPr>
    </w:p>
    <w:p w:rsidR="00D432B2" w:rsidRDefault="00D432B2" w:rsidP="00114E47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kupní smlouva je uzavírána na základě výsledků výběrového řízení, které vyhlásil prodávající.</w:t>
      </w:r>
    </w:p>
    <w:p w:rsidR="00D432B2" w:rsidRDefault="00D432B2" w:rsidP="00D432B2">
      <w:pPr>
        <w:tabs>
          <w:tab w:val="num" w:pos="720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D432B2">
      <w:pPr>
        <w:tabs>
          <w:tab w:val="num" w:pos="720"/>
        </w:tabs>
        <w:ind w:left="357"/>
        <w:jc w:val="center"/>
        <w:rPr>
          <w:rFonts w:ascii="Arial" w:hAnsi="Arial" w:cs="Arial"/>
          <w:sz w:val="22"/>
          <w:szCs w:val="22"/>
        </w:rPr>
      </w:pPr>
    </w:p>
    <w:p w:rsidR="00D432B2" w:rsidRDefault="00D432B2" w:rsidP="00EA27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II.</w:t>
      </w:r>
    </w:p>
    <w:p w:rsidR="00D432B2" w:rsidRDefault="00D432B2" w:rsidP="00D432B2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:rsidR="00D432B2" w:rsidRDefault="00D432B2" w:rsidP="00A35434">
      <w:pPr>
        <w:numPr>
          <w:ilvl w:val="3"/>
          <w:numId w:val="3"/>
        </w:numPr>
        <w:tabs>
          <w:tab w:val="clear" w:pos="360"/>
          <w:tab w:val="num" w:pos="0"/>
          <w:tab w:val="num" w:pos="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převádí touto smlouvou kupujícím vlastnické právo k převáděnému majetku </w:t>
      </w:r>
      <w:r w:rsidR="00871304">
        <w:rPr>
          <w:rFonts w:ascii="Arial" w:hAnsi="Arial" w:cs="Arial"/>
          <w:sz w:val="22"/>
          <w:szCs w:val="22"/>
        </w:rPr>
        <w:br/>
      </w:r>
      <w:r w:rsidR="00114E47">
        <w:rPr>
          <w:rFonts w:ascii="Arial" w:hAnsi="Arial" w:cs="Arial"/>
          <w:sz w:val="22"/>
          <w:szCs w:val="22"/>
        </w:rPr>
        <w:t>se</w:t>
      </w:r>
      <w:r w:rsidR="005643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všemi součástmi a s příslušenstvím, právy a povinnostmi,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za kupní cenu, stanovenou v Čl. II. odst. 2. této smlouvy. Kupující toto právo za kupní cenu uvedenou v Čl. II. odst. 2. této smlouvy přijímají do společného jmění manželů.</w:t>
      </w:r>
    </w:p>
    <w:p w:rsidR="00D432B2" w:rsidRDefault="00D432B2" w:rsidP="00D432B2">
      <w:pPr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2E6D1A">
      <w:pPr>
        <w:numPr>
          <w:ilvl w:val="3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za převáděný majetek, ve</w:t>
      </w:r>
      <w:r w:rsidR="00114E47">
        <w:rPr>
          <w:rFonts w:ascii="Arial" w:hAnsi="Arial" w:cs="Arial"/>
          <w:sz w:val="22"/>
          <w:szCs w:val="22"/>
        </w:rPr>
        <w:t xml:space="preserve"> smyslu odst. 1. tohoto článku,</w:t>
      </w:r>
      <w:r>
        <w:rPr>
          <w:rFonts w:ascii="Arial" w:hAnsi="Arial" w:cs="Arial"/>
          <w:sz w:val="22"/>
          <w:szCs w:val="22"/>
        </w:rPr>
        <w:t xml:space="preserve"> </w:t>
      </w:r>
      <w:r w:rsidR="00114E47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 xml:space="preserve"> </w:t>
      </w:r>
      <w:r w:rsidR="0056438A">
        <w:rPr>
          <w:rFonts w:ascii="Arial" w:hAnsi="Arial" w:cs="Arial"/>
          <w:sz w:val="22"/>
          <w:szCs w:val="22"/>
        </w:rPr>
        <w:t xml:space="preserve">2 140 000,00 </w:t>
      </w:r>
      <w:r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56438A">
        <w:rPr>
          <w:rFonts w:ascii="Arial" w:hAnsi="Arial" w:cs="Arial"/>
          <w:sz w:val="22"/>
          <w:szCs w:val="22"/>
        </w:rPr>
        <w:t>dvamilionystočtyřicettisíc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:rsidR="00D432B2" w:rsidRDefault="00D432B2" w:rsidP="00D432B2">
      <w:pPr>
        <w:ind w:left="426" w:hanging="426"/>
        <w:jc w:val="center"/>
        <w:rPr>
          <w:rFonts w:ascii="Arial" w:hAnsi="Arial" w:cs="Arial"/>
          <w:sz w:val="22"/>
          <w:szCs w:val="22"/>
        </w:rPr>
      </w:pP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D432B2" w:rsidRDefault="00D432B2" w:rsidP="00D432B2"/>
    <w:p w:rsidR="00D432B2" w:rsidRDefault="00D432B2" w:rsidP="00243B62">
      <w:pPr>
        <w:numPr>
          <w:ilvl w:val="6"/>
          <w:numId w:val="15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se zavazují uhradit kupní cenu, dle Čl. II. odst. 2. rukou společnou a nerozdílnou </w:t>
      </w:r>
      <w:r w:rsidR="00114E4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účet prodávajícího vedený u České národní banky se sídlem v Praze, číslo </w:t>
      </w:r>
      <w:proofErr w:type="gramStart"/>
      <w:r>
        <w:rPr>
          <w:rFonts w:ascii="Arial" w:hAnsi="Arial" w:cs="Arial"/>
          <w:sz w:val="22"/>
          <w:szCs w:val="22"/>
        </w:rPr>
        <w:t xml:space="preserve">účtu </w:t>
      </w:r>
      <w:r w:rsidR="00201629">
        <w:rPr>
          <w:rFonts w:ascii="Arial" w:hAnsi="Arial" w:cs="Arial"/>
          <w:sz w:val="22"/>
          <w:szCs w:val="22"/>
        </w:rPr>
        <w:t xml:space="preserve">                       </w:t>
      </w:r>
      <w:proofErr w:type="spellStart"/>
      <w:r w:rsidR="00CC17D2">
        <w:rPr>
          <w:rFonts w:ascii="Arial" w:hAnsi="Arial" w:cs="Arial"/>
          <w:sz w:val="22"/>
          <w:szCs w:val="22"/>
        </w:rPr>
        <w:t>xxxxxxxxxxxxxxxx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, variabilní symbol </w:t>
      </w:r>
      <w:proofErr w:type="spellStart"/>
      <w:r w:rsidR="00CC17D2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D432B2" w:rsidRDefault="00D432B2" w:rsidP="00243B62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432B2" w:rsidRDefault="00D432B2" w:rsidP="00243B62">
      <w:pPr>
        <w:numPr>
          <w:ilvl w:val="3"/>
          <w:numId w:val="15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na úhradu kupní ceny stanovené v Čl. II. odst. 2</w:t>
      </w:r>
      <w:r w:rsidR="00114E4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bude použita částka ve výši </w:t>
      </w:r>
      <w:r w:rsidR="00201629">
        <w:rPr>
          <w:rFonts w:ascii="Arial" w:hAnsi="Arial" w:cs="Arial"/>
          <w:sz w:val="22"/>
          <w:szCs w:val="22"/>
        </w:rPr>
        <w:t>178 767,00</w:t>
      </w:r>
      <w:r>
        <w:rPr>
          <w:rFonts w:ascii="Arial" w:hAnsi="Arial" w:cs="Arial"/>
          <w:sz w:val="22"/>
          <w:szCs w:val="22"/>
        </w:rPr>
        <w:t xml:space="preserve"> Kč, kterou složil kupující ve výběrovém řízení na účet prodávajícího  </w:t>
      </w:r>
      <w:proofErr w:type="spellStart"/>
      <w:r w:rsidR="00DE379E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v. s. </w:t>
      </w:r>
      <w:proofErr w:type="spellStart"/>
      <w:r w:rsidR="00DE379E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201629">
        <w:rPr>
          <w:rFonts w:ascii="Arial" w:hAnsi="Arial" w:cs="Arial"/>
          <w:sz w:val="22"/>
          <w:szCs w:val="22"/>
        </w:rPr>
        <w:t>9.9.2016</w:t>
      </w:r>
      <w:proofErr w:type="gramEnd"/>
      <w:r w:rsidR="00201629">
        <w:rPr>
          <w:rFonts w:ascii="Arial" w:hAnsi="Arial" w:cs="Arial"/>
          <w:sz w:val="22"/>
          <w:szCs w:val="22"/>
        </w:rPr>
        <w:t xml:space="preserve">. </w:t>
      </w:r>
      <w:r w:rsidR="00114E47">
        <w:rPr>
          <w:rFonts w:ascii="Arial" w:hAnsi="Arial" w:cs="Arial"/>
          <w:sz w:val="22"/>
          <w:szCs w:val="22"/>
        </w:rPr>
        <w:t xml:space="preserve">Zbývající část kupní ceny ve </w:t>
      </w:r>
      <w:r>
        <w:rPr>
          <w:rFonts w:ascii="Arial" w:hAnsi="Arial" w:cs="Arial"/>
          <w:sz w:val="22"/>
          <w:szCs w:val="22"/>
        </w:rPr>
        <w:t xml:space="preserve">výši </w:t>
      </w:r>
      <w:r w:rsidR="00201629">
        <w:rPr>
          <w:rFonts w:ascii="Arial" w:hAnsi="Arial" w:cs="Arial"/>
          <w:sz w:val="22"/>
          <w:szCs w:val="22"/>
        </w:rPr>
        <w:t xml:space="preserve">1 961 233,00 Kč </w:t>
      </w:r>
      <w:r>
        <w:rPr>
          <w:rFonts w:ascii="Arial" w:hAnsi="Arial" w:cs="Arial"/>
          <w:sz w:val="22"/>
          <w:szCs w:val="22"/>
        </w:rPr>
        <w:t>zaplatí kupující na účet a v. s</w:t>
      </w:r>
      <w:r w:rsidR="00871304">
        <w:rPr>
          <w:rFonts w:ascii="Arial" w:hAnsi="Arial" w:cs="Arial"/>
          <w:sz w:val="22"/>
          <w:szCs w:val="22"/>
        </w:rPr>
        <w:t xml:space="preserve">. prodávajícího uvedený v odst. </w:t>
      </w:r>
      <w:r>
        <w:rPr>
          <w:rFonts w:ascii="Arial" w:hAnsi="Arial" w:cs="Arial"/>
          <w:sz w:val="22"/>
          <w:szCs w:val="22"/>
        </w:rPr>
        <w:t>1</w:t>
      </w:r>
      <w:r w:rsidR="00114E47">
        <w:rPr>
          <w:rFonts w:ascii="Arial" w:hAnsi="Arial" w:cs="Arial"/>
          <w:sz w:val="22"/>
          <w:szCs w:val="22"/>
        </w:rPr>
        <w:t>.</w:t>
      </w:r>
      <w:r w:rsidR="00871304">
        <w:rPr>
          <w:rFonts w:ascii="Arial" w:hAnsi="Arial" w:cs="Arial"/>
          <w:sz w:val="22"/>
          <w:szCs w:val="22"/>
        </w:rPr>
        <w:t xml:space="preserve">, </w:t>
      </w:r>
      <w:r w:rsidR="0087130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to ve lhůtě, která </w:t>
      </w:r>
      <w:r w:rsidR="005C705C">
        <w:rPr>
          <w:rFonts w:ascii="Arial" w:hAnsi="Arial" w:cs="Arial"/>
          <w:sz w:val="22"/>
          <w:szCs w:val="22"/>
        </w:rPr>
        <w:t>jim</w:t>
      </w:r>
      <w:r>
        <w:rPr>
          <w:rFonts w:ascii="Arial" w:hAnsi="Arial" w:cs="Arial"/>
          <w:sz w:val="22"/>
          <w:szCs w:val="22"/>
        </w:rPr>
        <w:t xml:space="preserve"> bude oznámena ve výzvě prodávajícího k zaplacení, přičemž tato lhůta nebude kratší než 30 dnů ode dne odeslání výzvy k úhradě. </w:t>
      </w:r>
    </w:p>
    <w:p w:rsidR="00D432B2" w:rsidRDefault="00D432B2" w:rsidP="00243B62">
      <w:pPr>
        <w:tabs>
          <w:tab w:val="num" w:pos="567"/>
          <w:tab w:val="left" w:pos="851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i/>
          <w:sz w:val="20"/>
          <w:szCs w:val="20"/>
          <w:u w:val="single"/>
        </w:rPr>
      </w:pPr>
    </w:p>
    <w:p w:rsidR="00D432B2" w:rsidRDefault="00D432B2" w:rsidP="00243B62">
      <w:pPr>
        <w:numPr>
          <w:ilvl w:val="0"/>
          <w:numId w:val="1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Neuhradí-li kupující celou kupní cenu ve lhůtě, stanovené touto smlouvou, j</w:t>
      </w:r>
      <w:r w:rsidR="005C705C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kupující povin</w:t>
      </w:r>
      <w:r w:rsidR="005C705C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zaplatit smluvní pokutu ve výši 0,1% z celkové kupní ceny za každý den prodlení. </w:t>
      </w:r>
    </w:p>
    <w:p w:rsidR="00D432B2" w:rsidRDefault="00D432B2" w:rsidP="00243B62">
      <w:pPr>
        <w:tabs>
          <w:tab w:val="num" w:pos="72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432B2" w:rsidRDefault="00D432B2" w:rsidP="00243B62">
      <w:pPr>
        <w:numPr>
          <w:ilvl w:val="0"/>
          <w:numId w:val="1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 úhradou kupní ceny j</w:t>
      </w:r>
      <w:r w:rsidR="005C705C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kupující povin</w:t>
      </w:r>
      <w:r w:rsidR="005C705C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zaplatit, kromě smluvní pokuty dle předchozího odstavce, i úroky z prodlení dle platné právní úpravy.</w:t>
      </w:r>
    </w:p>
    <w:p w:rsidR="00D432B2" w:rsidRDefault="00D432B2" w:rsidP="00243B62">
      <w:pPr>
        <w:ind w:left="426" w:hanging="426"/>
        <w:contextualSpacing/>
        <w:rPr>
          <w:rFonts w:ascii="Arial" w:hAnsi="Arial" w:cs="Arial"/>
          <w:sz w:val="22"/>
          <w:szCs w:val="22"/>
        </w:rPr>
      </w:pPr>
    </w:p>
    <w:p w:rsidR="00D432B2" w:rsidRPr="00871304" w:rsidRDefault="00114E47" w:rsidP="00871304">
      <w:pPr>
        <w:numPr>
          <w:ilvl w:val="0"/>
          <w:numId w:val="1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kupující v prohlášeních </w:t>
      </w:r>
      <w:r w:rsidR="00D432B2">
        <w:rPr>
          <w:rFonts w:ascii="Arial" w:hAnsi="Arial" w:cs="Arial"/>
          <w:sz w:val="22"/>
          <w:szCs w:val="22"/>
        </w:rPr>
        <w:t>podle čl. V. odst. 1</w:t>
      </w:r>
      <w:r>
        <w:rPr>
          <w:rFonts w:ascii="Arial" w:hAnsi="Arial" w:cs="Arial"/>
          <w:sz w:val="22"/>
          <w:szCs w:val="22"/>
        </w:rPr>
        <w:t>.</w:t>
      </w:r>
      <w:r w:rsidR="00D432B2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>.</w:t>
      </w:r>
      <w:r w:rsidR="00D432B2">
        <w:rPr>
          <w:rFonts w:ascii="Arial" w:hAnsi="Arial" w:cs="Arial"/>
          <w:sz w:val="22"/>
          <w:szCs w:val="22"/>
        </w:rPr>
        <w:t xml:space="preserve"> uved</w:t>
      </w:r>
      <w:r w:rsidR="005C705C">
        <w:rPr>
          <w:rFonts w:ascii="Arial" w:hAnsi="Arial" w:cs="Arial"/>
          <w:sz w:val="22"/>
          <w:szCs w:val="22"/>
        </w:rPr>
        <w:t>ou</w:t>
      </w:r>
      <w:r w:rsidR="00D432B2">
        <w:rPr>
          <w:rFonts w:ascii="Arial" w:hAnsi="Arial" w:cs="Arial"/>
          <w:sz w:val="22"/>
          <w:szCs w:val="22"/>
        </w:rPr>
        <w:t xml:space="preserve"> nepravdivé skutečnos</w:t>
      </w:r>
      <w:r w:rsidR="00871304">
        <w:rPr>
          <w:rFonts w:ascii="Arial" w:hAnsi="Arial" w:cs="Arial"/>
          <w:sz w:val="22"/>
          <w:szCs w:val="22"/>
        </w:rPr>
        <w:t xml:space="preserve">ti </w:t>
      </w:r>
      <w:r w:rsidR="00871304">
        <w:rPr>
          <w:rFonts w:ascii="Arial" w:hAnsi="Arial" w:cs="Arial"/>
          <w:sz w:val="22"/>
          <w:szCs w:val="22"/>
        </w:rPr>
        <w:br/>
      </w:r>
      <w:r w:rsidR="00D432B2" w:rsidRPr="00871304">
        <w:rPr>
          <w:rFonts w:ascii="Arial" w:hAnsi="Arial" w:cs="Arial"/>
          <w:sz w:val="22"/>
          <w:szCs w:val="22"/>
        </w:rPr>
        <w:t>o svých dluzích vůči státu a své způsobilosti nabýt převáděný majetek, má prodávající právo požadovat na kupující</w:t>
      </w:r>
      <w:r w:rsidR="005C705C" w:rsidRPr="00871304">
        <w:rPr>
          <w:rFonts w:ascii="Arial" w:hAnsi="Arial" w:cs="Arial"/>
          <w:sz w:val="22"/>
          <w:szCs w:val="22"/>
        </w:rPr>
        <w:t>ch</w:t>
      </w:r>
      <w:r w:rsidR="00D432B2" w:rsidRPr="00871304">
        <w:rPr>
          <w:rFonts w:ascii="Arial" w:hAnsi="Arial" w:cs="Arial"/>
          <w:sz w:val="22"/>
          <w:szCs w:val="22"/>
        </w:rPr>
        <w:t xml:space="preserve"> úhradu smluvní pokuty ve výši 10 % z kupní ceny.</w:t>
      </w:r>
    </w:p>
    <w:p w:rsidR="00D432B2" w:rsidRDefault="00D432B2" w:rsidP="00243B62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243B62">
      <w:pPr>
        <w:numPr>
          <w:ilvl w:val="0"/>
          <w:numId w:val="1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201629">
        <w:rPr>
          <w:rFonts w:ascii="Arial" w:hAnsi="Arial" w:cs="Arial"/>
          <w:sz w:val="22"/>
          <w:szCs w:val="22"/>
        </w:rPr>
        <w:t>Pokuty podle odst. 3.</w:t>
      </w:r>
      <w:r w:rsidR="00114E47">
        <w:rPr>
          <w:rFonts w:ascii="Arial" w:hAnsi="Arial" w:cs="Arial"/>
          <w:sz w:val="22"/>
          <w:szCs w:val="22"/>
        </w:rPr>
        <w:t xml:space="preserve"> a 5. jsou splatné do patnácti </w:t>
      </w:r>
      <w:r w:rsidRPr="00201629">
        <w:rPr>
          <w:rFonts w:ascii="Arial" w:hAnsi="Arial" w:cs="Arial"/>
          <w:sz w:val="22"/>
          <w:szCs w:val="22"/>
        </w:rPr>
        <w:t xml:space="preserve">dnů ode dne doručení výzvy </w:t>
      </w:r>
      <w:r w:rsidRPr="00201629">
        <w:rPr>
          <w:rFonts w:ascii="Arial" w:hAnsi="Arial" w:cs="Arial"/>
          <w:sz w:val="22"/>
          <w:szCs w:val="22"/>
        </w:rPr>
        <w:br/>
        <w:t xml:space="preserve">k jejich zaplacení na účet prodávajícího č. </w:t>
      </w:r>
      <w:proofErr w:type="spellStart"/>
      <w:r w:rsidR="00DE379E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5C705C" w:rsidRPr="00201629" w:rsidRDefault="005C705C" w:rsidP="005C705C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432B2" w:rsidRDefault="00D432B2" w:rsidP="00243B62">
      <w:pPr>
        <w:numPr>
          <w:ilvl w:val="0"/>
          <w:numId w:val="1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smlouvy se kupní cena, smluvní pokuta, úroky z prodlení a případné jiné platby, považují za zaplacené okamžikem připsání celé hrazené částky na účet prodávajícího.</w:t>
      </w:r>
    </w:p>
    <w:p w:rsidR="00D432B2" w:rsidRDefault="00D432B2" w:rsidP="00D432B2">
      <w:pPr>
        <w:ind w:left="426" w:hanging="42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D432B2" w:rsidRDefault="00D432B2" w:rsidP="00D432B2">
      <w:pPr>
        <w:tabs>
          <w:tab w:val="num" w:pos="4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IV.</w:t>
      </w:r>
    </w:p>
    <w:p w:rsidR="00D432B2" w:rsidRDefault="00D432B2" w:rsidP="00D432B2"/>
    <w:p w:rsidR="00D432B2" w:rsidRDefault="00D432B2" w:rsidP="00D432B2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Prodávající prohlašuje, že mu není známo, že by na převáděném majetku vázla nějaká omezení, závazky či právní vady.</w:t>
      </w:r>
    </w:p>
    <w:p w:rsidR="00D432B2" w:rsidRDefault="00D432B2" w:rsidP="00D432B2"/>
    <w:p w:rsidR="00D432B2" w:rsidRDefault="00D432B2" w:rsidP="00D432B2"/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:rsidR="00D432B2" w:rsidRDefault="00D432B2" w:rsidP="00D432B2"/>
    <w:p w:rsidR="00D432B2" w:rsidRDefault="00D432B2" w:rsidP="00860B63">
      <w:pPr>
        <w:numPr>
          <w:ilvl w:val="0"/>
          <w:numId w:val="6"/>
        </w:num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</w:t>
      </w:r>
      <w:r w:rsidR="005C705C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, že je </w:t>
      </w:r>
      <w:r w:rsidR="005C705C">
        <w:rPr>
          <w:rFonts w:ascii="Arial" w:hAnsi="Arial" w:cs="Arial"/>
          <w:sz w:val="22"/>
          <w:szCs w:val="22"/>
        </w:rPr>
        <w:t>jim</w:t>
      </w:r>
      <w:r>
        <w:rPr>
          <w:rFonts w:ascii="Arial" w:hAnsi="Arial" w:cs="Arial"/>
          <w:sz w:val="22"/>
          <w:szCs w:val="22"/>
        </w:rPr>
        <w:t xml:space="preserve"> současný stav převáděného majetku dobře znám. Kupující rovněž prohlašuj</w:t>
      </w:r>
      <w:r w:rsidR="005C705C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že nem</w:t>
      </w:r>
      <w:r w:rsidR="005C705C">
        <w:rPr>
          <w:rFonts w:ascii="Arial" w:hAnsi="Arial" w:cs="Arial"/>
          <w:sz w:val="22"/>
          <w:szCs w:val="22"/>
        </w:rPr>
        <w:t>ají</w:t>
      </w:r>
      <w:r>
        <w:rPr>
          <w:rFonts w:ascii="Arial" w:hAnsi="Arial" w:cs="Arial"/>
          <w:sz w:val="22"/>
          <w:szCs w:val="22"/>
        </w:rPr>
        <w:t xml:space="preserve"> žádné dluhy vůči státu a j</w:t>
      </w:r>
      <w:r w:rsidR="005C705C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schop</w:t>
      </w:r>
      <w:r w:rsidR="005C705C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dodržet své závazky vyplývající z této smlouvy, zejména zaplatit včas a řádně kupní cenu.</w:t>
      </w:r>
    </w:p>
    <w:p w:rsidR="00D432B2" w:rsidRDefault="00D432B2" w:rsidP="00860B63">
      <w:pPr>
        <w:tabs>
          <w:tab w:val="left" w:pos="426"/>
          <w:tab w:val="left" w:pos="709"/>
          <w:tab w:val="center" w:pos="4536"/>
          <w:tab w:val="left" w:pos="5222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:rsidR="00D432B2" w:rsidRPr="00E20361" w:rsidRDefault="00D432B2" w:rsidP="00860B63">
      <w:pPr>
        <w:numPr>
          <w:ilvl w:val="0"/>
          <w:numId w:val="6"/>
        </w:numPr>
        <w:tabs>
          <w:tab w:val="left" w:pos="-142"/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Kupující prohlašuj</w:t>
      </w:r>
      <w:r w:rsidR="005C705C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že ne</w:t>
      </w:r>
      <w:r w:rsidR="005C705C">
        <w:rPr>
          <w:rFonts w:ascii="Arial" w:hAnsi="Arial" w:cs="Arial"/>
          <w:sz w:val="22"/>
          <w:szCs w:val="22"/>
        </w:rPr>
        <w:t>jsou</w:t>
      </w:r>
      <w:r>
        <w:rPr>
          <w:rFonts w:ascii="Arial" w:hAnsi="Arial" w:cs="Arial"/>
          <w:sz w:val="22"/>
          <w:szCs w:val="22"/>
        </w:rPr>
        <w:t xml:space="preserve"> osob</w:t>
      </w:r>
      <w:r w:rsidR="005C705C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>, na n</w:t>
      </w:r>
      <w:r w:rsidR="005C705C">
        <w:rPr>
          <w:rFonts w:ascii="Arial" w:hAnsi="Arial" w:cs="Arial"/>
          <w:sz w:val="22"/>
          <w:szCs w:val="22"/>
        </w:rPr>
        <w:t>ěž</w:t>
      </w:r>
      <w:r>
        <w:rPr>
          <w:rFonts w:ascii="Arial" w:hAnsi="Arial" w:cs="Arial"/>
          <w:sz w:val="22"/>
          <w:szCs w:val="22"/>
        </w:rPr>
        <w:t xml:space="preserve"> se vztahuje § 18 zákona č. 219/2000 Sb. </w:t>
      </w: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VI.</w:t>
      </w:r>
    </w:p>
    <w:p w:rsidR="00D432B2" w:rsidRDefault="00D432B2" w:rsidP="00D432B2">
      <w:pPr>
        <w:tabs>
          <w:tab w:val="left" w:pos="-142"/>
        </w:tabs>
        <w:overflowPunct w:val="0"/>
        <w:autoSpaceDE w:val="0"/>
        <w:autoSpaceDN w:val="0"/>
        <w:adjustRightInd w:val="0"/>
        <w:ind w:left="357" w:hanging="499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432B2" w:rsidRDefault="00D432B2" w:rsidP="00BE448A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</w:t>
      </w:r>
      <w:r w:rsidR="005C705C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povin</w:t>
      </w:r>
      <w:r w:rsidR="005C705C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bezodkladně písemně oznámit prodávajícímu veškeré skutečnosti, které mají nebo by mohly mít vliv na převod vlastnického práva k převáděnému majetku podle této smlouvy, zejména pak skutečnosti, které se dotýkají povinnosti zaplacení kupní ceny. Tato povinnost kupující</w:t>
      </w:r>
      <w:r w:rsidR="005C705C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trvá až do okamžiku zaplacení kupní ceny s příslušenstvím.</w:t>
      </w:r>
    </w:p>
    <w:p w:rsidR="00D432B2" w:rsidRDefault="00D432B2" w:rsidP="00D432B2">
      <w:pPr>
        <w:jc w:val="center"/>
      </w:pPr>
    </w:p>
    <w:p w:rsidR="00D432B2" w:rsidRDefault="00D432B2" w:rsidP="00D432B2">
      <w:pPr>
        <w:jc w:val="center"/>
      </w:pP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VII.</w:t>
      </w:r>
    </w:p>
    <w:p w:rsidR="00D432B2" w:rsidRDefault="00D432B2" w:rsidP="00D432B2"/>
    <w:p w:rsidR="00D432B2" w:rsidRDefault="00D432B2" w:rsidP="006B3206">
      <w:pPr>
        <w:numPr>
          <w:ilvl w:val="0"/>
          <w:numId w:val="7"/>
        </w:numPr>
        <w:tabs>
          <w:tab w:val="clear" w:pos="360"/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</w:t>
      </w:r>
      <w:r w:rsidR="005C705C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oprávněn</w:t>
      </w:r>
      <w:r w:rsidR="005C705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odstoupit od této kupní smlouvy pouze v souladu s ustanovení </w:t>
      </w:r>
      <w:r w:rsidR="00114E4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§ 2001 a násl. zákona č. 89/2012 Sb.</w:t>
      </w:r>
    </w:p>
    <w:p w:rsidR="00D432B2" w:rsidRDefault="00D432B2" w:rsidP="006B3206">
      <w:pPr>
        <w:tabs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6B3206">
      <w:pPr>
        <w:numPr>
          <w:ilvl w:val="0"/>
          <w:numId w:val="7"/>
        </w:numPr>
        <w:tabs>
          <w:tab w:val="clear" w:pos="360"/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neuhradí kupní cenu řádně a včas, má prodávající právo v souladu s ustanovením §1977 zákona č. 89/2012 Sb. od smlouv</w:t>
      </w:r>
      <w:r w:rsidR="005C705C">
        <w:rPr>
          <w:rFonts w:ascii="Arial" w:hAnsi="Arial" w:cs="Arial"/>
          <w:sz w:val="22"/>
          <w:szCs w:val="22"/>
        </w:rPr>
        <w:t>y odstoupit, pokud to kupujícím (prodlévajícím</w:t>
      </w:r>
      <w:r>
        <w:rPr>
          <w:rFonts w:ascii="Arial" w:hAnsi="Arial" w:cs="Arial"/>
          <w:sz w:val="22"/>
          <w:szCs w:val="22"/>
        </w:rPr>
        <w:t>) oznámí bez zbytečného odkladu poté, co se o prodlení dozvěděl.</w:t>
      </w:r>
    </w:p>
    <w:p w:rsidR="00D432B2" w:rsidRDefault="00D432B2" w:rsidP="006B3206">
      <w:pPr>
        <w:tabs>
          <w:tab w:val="num" w:pos="426"/>
          <w:tab w:val="left" w:pos="567"/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6B3206">
      <w:pPr>
        <w:numPr>
          <w:ilvl w:val="0"/>
          <w:numId w:val="7"/>
        </w:numPr>
        <w:tabs>
          <w:tab w:val="clear" w:pos="360"/>
          <w:tab w:val="num" w:pos="426"/>
          <w:tab w:val="left" w:pos="567"/>
          <w:tab w:val="left" w:pos="709"/>
        </w:tabs>
        <w:ind w:left="426" w:hanging="426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Prodávající je, kromě zákonných důvodů, též oprávněn od této smlouvy odstoupit, jestliže se prokáže, že prohlášení kupující</w:t>
      </w:r>
      <w:r w:rsidR="005C705C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, uvedené v článku V. odst. 2. není pravdivé, úplné nebo přesné. </w:t>
      </w:r>
    </w:p>
    <w:p w:rsidR="00D432B2" w:rsidRDefault="00D432B2" w:rsidP="00114E47">
      <w:pPr>
        <w:tabs>
          <w:tab w:val="left" w:pos="567"/>
          <w:tab w:val="left" w:pos="709"/>
          <w:tab w:val="left" w:pos="900"/>
        </w:tabs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D432B2" w:rsidRDefault="00D432B2" w:rsidP="00114E47">
      <w:pPr>
        <w:tabs>
          <w:tab w:val="left" w:pos="567"/>
          <w:tab w:val="left" w:pos="709"/>
          <w:tab w:val="left" w:pos="900"/>
        </w:tabs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D432B2" w:rsidRDefault="00D432B2" w:rsidP="00114E47">
      <w:pPr>
        <w:tabs>
          <w:tab w:val="left" w:pos="567"/>
        </w:tabs>
        <w:ind w:left="426" w:hanging="426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VIII.</w:t>
      </w:r>
    </w:p>
    <w:p w:rsidR="00D432B2" w:rsidRDefault="00D432B2" w:rsidP="00114E47">
      <w:pPr>
        <w:tabs>
          <w:tab w:val="left" w:pos="567"/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114E47">
      <w:pPr>
        <w:numPr>
          <w:ilvl w:val="3"/>
          <w:numId w:val="7"/>
        </w:numPr>
        <w:tabs>
          <w:tab w:val="num" w:pos="426"/>
          <w:tab w:val="left" w:pos="567"/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Odstoupením od smlouvy prodávajícím zároveň vznikne prodávajícímu právo na náhradu veškerých nákladů, které mu vznikly v souvislosti s prodejem převáděného majetku. </w:t>
      </w:r>
    </w:p>
    <w:p w:rsidR="00D432B2" w:rsidRDefault="00D432B2" w:rsidP="00114E47">
      <w:pPr>
        <w:tabs>
          <w:tab w:val="left" w:pos="567"/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D432B2">
      <w:pPr>
        <w:numPr>
          <w:ilvl w:val="3"/>
          <w:numId w:val="7"/>
        </w:numPr>
        <w:tabs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kteroukoliv ze smluvních stran se nedotýká povinnosti kupující</w:t>
      </w:r>
      <w:r w:rsidR="005C705C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zaplatit peněžitá plnění (zejm. úroky z prodlení a smluvní pokuty), na jejichž úhradu vznikl prodávajícímu nárok do data účinnosti odstoupení.</w:t>
      </w:r>
    </w:p>
    <w:p w:rsidR="00D432B2" w:rsidRDefault="00D432B2" w:rsidP="00D432B2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D432B2">
      <w:pPr>
        <w:numPr>
          <w:ilvl w:val="3"/>
          <w:numId w:val="7"/>
        </w:numPr>
        <w:tabs>
          <w:tab w:val="num" w:pos="426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smlouvy musí být v písemné formě a nabývá účinnosti dnem doručení druhé straně. Odstoupením se závazky z této smlouvy ruší od počátku a smluvní strany si vrátí vše, co si splnily, kromě peněžitých plnění (např. úroků z prodlení, smluvních pokut), </w:t>
      </w:r>
      <w:r w:rsidR="00114E4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jejichž úhradu vznikl prodávajícímu nárok do data</w:t>
      </w:r>
      <w:r w:rsidR="00871304">
        <w:rPr>
          <w:rFonts w:ascii="Arial" w:hAnsi="Arial" w:cs="Arial"/>
          <w:sz w:val="22"/>
          <w:szCs w:val="22"/>
        </w:rPr>
        <w:t xml:space="preserve"> účinnosti odstoupení</w:t>
      </w:r>
      <w:r>
        <w:rPr>
          <w:rFonts w:ascii="Arial" w:hAnsi="Arial" w:cs="Arial"/>
          <w:sz w:val="22"/>
          <w:szCs w:val="22"/>
        </w:rPr>
        <w:t>.</w:t>
      </w:r>
    </w:p>
    <w:p w:rsidR="00D432B2" w:rsidRDefault="00D432B2" w:rsidP="00D432B2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D432B2">
      <w:pPr>
        <w:tabs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Pokud dojde k odstoupení od smlouvy a kupní cena již byla zaplacena, má prodávající povinnost do 30 dnů od účinků odstoupení vrátit kupní cenu sníženou o:</w:t>
      </w:r>
    </w:p>
    <w:p w:rsidR="00D432B2" w:rsidRDefault="00D432B2" w:rsidP="00D432B2">
      <w:pPr>
        <w:numPr>
          <w:ilvl w:val="0"/>
          <w:numId w:val="8"/>
        </w:numPr>
        <w:tabs>
          <w:tab w:val="left" w:pos="1134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náklady, které vznikly prodávajícímu v souvislosti s prodejem převáděného majetku</w:t>
      </w:r>
    </w:p>
    <w:p w:rsidR="00D432B2" w:rsidRDefault="00D432B2" w:rsidP="00D432B2">
      <w:pPr>
        <w:numPr>
          <w:ilvl w:val="0"/>
          <w:numId w:val="8"/>
        </w:numPr>
        <w:tabs>
          <w:tab w:val="left" w:pos="1134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vyúčtované smluvní pokuty a úroky z prodlení</w:t>
      </w:r>
    </w:p>
    <w:p w:rsidR="00D432B2" w:rsidRDefault="00D432B2" w:rsidP="00D432B2">
      <w:pPr>
        <w:tabs>
          <w:tab w:val="left" w:pos="1134"/>
        </w:tabs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 účet kupující</w:t>
      </w:r>
      <w:r w:rsidR="005C705C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432B2" w:rsidRDefault="00D432B2" w:rsidP="00D432B2">
      <w:pPr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kupní cena ještě nebyla uhrazena (a k odstoupení od smlouvy do</w:t>
      </w:r>
      <w:r w:rsidR="005C705C">
        <w:rPr>
          <w:rFonts w:ascii="Arial" w:hAnsi="Arial" w:cs="Arial"/>
          <w:sz w:val="22"/>
          <w:szCs w:val="22"/>
        </w:rPr>
        <w:t>šlo ze strany prodávajícího), mají</w:t>
      </w:r>
      <w:r>
        <w:rPr>
          <w:rFonts w:ascii="Arial" w:hAnsi="Arial" w:cs="Arial"/>
          <w:sz w:val="22"/>
          <w:szCs w:val="22"/>
        </w:rPr>
        <w:t xml:space="preserve"> kupující povinnost do 30 dnů od doručení výzvy k úhradě vyúčtovaných nákladů, které vznikly v souvislosti s prodejem převáděného majetku na účet prodávajícího. Kupující j</w:t>
      </w:r>
      <w:r w:rsidR="005C705C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povin</w:t>
      </w:r>
      <w:r w:rsidR="005C705C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zaplatit prodávajícímu vyúčtované smluvní pokuty a úroky z prodlení </w:t>
      </w:r>
      <w:r w:rsidR="0087130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úhradu za bezdůvodné obohacení užíváním, pokud vznikly.</w:t>
      </w:r>
      <w:r w:rsidR="005C705C">
        <w:rPr>
          <w:rFonts w:ascii="Arial" w:hAnsi="Arial" w:cs="Arial"/>
          <w:sz w:val="22"/>
          <w:szCs w:val="22"/>
        </w:rPr>
        <w:t xml:space="preserve">                 </w:t>
      </w:r>
    </w:p>
    <w:p w:rsidR="00D432B2" w:rsidRDefault="00D432B2" w:rsidP="00D432B2">
      <w:pPr>
        <w:ind w:left="426" w:hanging="426"/>
        <w:jc w:val="center"/>
      </w:pPr>
    </w:p>
    <w:p w:rsidR="00D432B2" w:rsidRDefault="00D432B2" w:rsidP="00D432B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IX.</w:t>
      </w:r>
    </w:p>
    <w:p w:rsidR="00D432B2" w:rsidRDefault="00D432B2" w:rsidP="00D432B2">
      <w:pPr>
        <w:jc w:val="both"/>
      </w:pPr>
    </w:p>
    <w:p w:rsidR="00D432B2" w:rsidRDefault="00D432B2" w:rsidP="005A7880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nabýv</w:t>
      </w:r>
      <w:r w:rsidR="005C705C">
        <w:rPr>
          <w:rFonts w:ascii="Arial" w:hAnsi="Arial" w:cs="Arial"/>
          <w:sz w:val="22"/>
          <w:szCs w:val="22"/>
        </w:rPr>
        <w:t>ají</w:t>
      </w:r>
      <w:r>
        <w:rPr>
          <w:rFonts w:ascii="Arial" w:hAnsi="Arial" w:cs="Arial"/>
          <w:sz w:val="22"/>
          <w:szCs w:val="22"/>
        </w:rPr>
        <w:t xml:space="preserve"> kupující zápisem do katastru nemovitostí. Právní účinky zápisu nastanou ke dni, kdy byl návrh doručen katastrálnímu</w:t>
      </w:r>
      <w:r w:rsidR="005C705C">
        <w:rPr>
          <w:rFonts w:ascii="Arial" w:hAnsi="Arial" w:cs="Arial"/>
          <w:sz w:val="22"/>
          <w:szCs w:val="22"/>
        </w:rPr>
        <w:t xml:space="preserve"> úřadu. Tímto dnem na kupující</w:t>
      </w:r>
      <w:r>
        <w:rPr>
          <w:rFonts w:ascii="Arial" w:hAnsi="Arial" w:cs="Arial"/>
          <w:sz w:val="22"/>
          <w:szCs w:val="22"/>
        </w:rPr>
        <w:t xml:space="preserve"> přecházejí veškerá práva a povinnosti spojené s vlastnictvím a užíváním nemovitých věcí. Smluvní strany se dohodly, že poplatníkem daně z nabytí převáděného majetku j</w:t>
      </w:r>
      <w:r w:rsidR="005C705C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kupující (nabyvatel</w:t>
      </w:r>
      <w:r w:rsidR="005C70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vlastnického práva k nemovitým věcem).</w:t>
      </w:r>
    </w:p>
    <w:p w:rsidR="00D432B2" w:rsidRDefault="00D432B2" w:rsidP="005A788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5A7880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Návrh na zápis vkladu vlastnického práva do katastru nemovitostí podají prodávající a kupující společně prostřednictvím prodávajícího, a to bez zbytečného odkladu po úplném zaplacení kupní ceny včetně příslušenství a příp. smluvních pokut.  Doklad o zaplacení, resp. prohlášení prodávajícího o tom, že uvedená částka byla uhrazena, bude obsažen v návrhu na zápis vkladu vlastnického práva do katastru nemovitostí. Správní poplatky spojené s touto smlouvou spojené nese kupují</w:t>
      </w:r>
      <w:r w:rsidR="005C705C">
        <w:rPr>
          <w:rFonts w:ascii="Arial" w:hAnsi="Arial" w:cs="Arial"/>
          <w:sz w:val="22"/>
          <w:szCs w:val="22"/>
        </w:rPr>
        <w:t>cí. Návrh na vklad se kupujícím</w:t>
      </w:r>
      <w:r>
        <w:rPr>
          <w:rFonts w:ascii="Arial" w:hAnsi="Arial" w:cs="Arial"/>
          <w:sz w:val="22"/>
          <w:szCs w:val="22"/>
        </w:rPr>
        <w:t xml:space="preserve"> zasílá k podpisu zároveň s výzvou k úhradě kupní ceny a s výzvou k vrácení podepsaného náv</w:t>
      </w:r>
      <w:r w:rsidR="005C705C">
        <w:rPr>
          <w:rFonts w:ascii="Arial" w:hAnsi="Arial" w:cs="Arial"/>
          <w:sz w:val="22"/>
          <w:szCs w:val="22"/>
        </w:rPr>
        <w:t>rhu; katastrální úřad kupující</w:t>
      </w:r>
      <w:r>
        <w:rPr>
          <w:rFonts w:ascii="Arial" w:hAnsi="Arial" w:cs="Arial"/>
          <w:sz w:val="22"/>
          <w:szCs w:val="22"/>
        </w:rPr>
        <w:t xml:space="preserve"> vyzve k úhradě správního poplatku za povolení vkladu vlastnického práva.</w:t>
      </w:r>
    </w:p>
    <w:p w:rsidR="00D432B2" w:rsidRDefault="00D432B2" w:rsidP="005A7880">
      <w:pPr>
        <w:tabs>
          <w:tab w:val="num" w:pos="426"/>
        </w:tabs>
        <w:ind w:left="426" w:hanging="426"/>
        <w:contextualSpacing/>
        <w:rPr>
          <w:rFonts w:ascii="Arial" w:hAnsi="Arial" w:cs="Arial"/>
          <w:sz w:val="22"/>
          <w:szCs w:val="22"/>
        </w:rPr>
      </w:pPr>
    </w:p>
    <w:p w:rsidR="00D432B2" w:rsidRDefault="00D432B2" w:rsidP="005A7880">
      <w:pPr>
        <w:tabs>
          <w:tab w:val="num" w:pos="426"/>
          <w:tab w:val="left" w:pos="709"/>
        </w:tabs>
        <w:ind w:left="426" w:hanging="426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D432B2" w:rsidRDefault="00D432B2" w:rsidP="005A7880">
      <w:pPr>
        <w:numPr>
          <w:ilvl w:val="0"/>
          <w:numId w:val="9"/>
        </w:numPr>
        <w:tabs>
          <w:tab w:val="clear" w:pos="360"/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příslušným katastrálním úřadem byl návrh na zápis vkladu vlastnického práva k prodávanému převáděnému majetku</w:t>
      </w:r>
      <w:r w:rsidR="005C705C">
        <w:rPr>
          <w:rFonts w:ascii="Arial" w:hAnsi="Arial" w:cs="Arial"/>
          <w:sz w:val="22"/>
          <w:szCs w:val="22"/>
        </w:rPr>
        <w:t xml:space="preserve"> dle této smlouvy pro kupující</w:t>
      </w:r>
      <w:r>
        <w:rPr>
          <w:rFonts w:ascii="Arial" w:hAnsi="Arial" w:cs="Arial"/>
          <w:sz w:val="22"/>
          <w:szCs w:val="22"/>
        </w:rPr>
        <w:t xml:space="preserve"> pravomocně zamítnut, účastníci této smlouvy se zavazují k součinnosti směřující k naplnění vůle obou smluvních stran.</w:t>
      </w:r>
    </w:p>
    <w:p w:rsidR="00D432B2" w:rsidRDefault="00D432B2" w:rsidP="005A7880">
      <w:pPr>
        <w:tabs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432B2" w:rsidRDefault="00D432B2" w:rsidP="005A7880">
      <w:pPr>
        <w:numPr>
          <w:ilvl w:val="0"/>
          <w:numId w:val="9"/>
        </w:numPr>
        <w:tabs>
          <w:tab w:val="clear" w:pos="360"/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případ, že vklad vlastnického práva k prodávanému převáděnému majetku p</w:t>
      </w:r>
      <w:r w:rsidR="005C705C">
        <w:rPr>
          <w:rFonts w:ascii="Arial" w:hAnsi="Arial" w:cs="Arial"/>
          <w:sz w:val="22"/>
          <w:szCs w:val="22"/>
        </w:rPr>
        <w:t>odle této smlouvy pro kupující</w:t>
      </w:r>
      <w:r>
        <w:rPr>
          <w:rFonts w:ascii="Arial" w:hAnsi="Arial" w:cs="Arial"/>
          <w:sz w:val="22"/>
          <w:szCs w:val="22"/>
        </w:rPr>
        <w:t xml:space="preserve"> nebude příslušným katastrálním úřadem ani po součinnosti stran podle odstavce 3 povolen, smluvní strany si sjednávají rozvazovací podmínku tak, že se tato kupní smlouva ruší od počátku. Prodávající se zav</w:t>
      </w:r>
      <w:r w:rsidR="005C705C">
        <w:rPr>
          <w:rFonts w:ascii="Arial" w:hAnsi="Arial" w:cs="Arial"/>
          <w:sz w:val="22"/>
          <w:szCs w:val="22"/>
        </w:rPr>
        <w:t>azuje písemně oznámit kupujícím</w:t>
      </w:r>
      <w:r>
        <w:rPr>
          <w:rFonts w:ascii="Arial" w:hAnsi="Arial" w:cs="Arial"/>
          <w:sz w:val="22"/>
          <w:szCs w:val="22"/>
        </w:rPr>
        <w:t xml:space="preserve"> naplnění této rozvazovací podmínky této kupní smlouvy bezodkladně po jejím vzniku.</w:t>
      </w:r>
    </w:p>
    <w:p w:rsidR="00D432B2" w:rsidRDefault="00D432B2" w:rsidP="005A7880">
      <w:pPr>
        <w:tabs>
          <w:tab w:val="num" w:pos="426"/>
          <w:tab w:val="left" w:pos="709"/>
        </w:tabs>
        <w:ind w:left="426" w:hanging="426"/>
        <w:jc w:val="center"/>
        <w:rPr>
          <w:rFonts w:ascii="Arial" w:hAnsi="Arial" w:cs="Arial"/>
          <w:sz w:val="22"/>
          <w:szCs w:val="22"/>
        </w:rPr>
      </w:pP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432B2" w:rsidRDefault="00D432B2" w:rsidP="00D432B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X.</w:t>
      </w:r>
    </w:p>
    <w:p w:rsidR="00D432B2" w:rsidRDefault="00D432B2" w:rsidP="00D432B2"/>
    <w:p w:rsidR="00D432B2" w:rsidRDefault="00D432B2" w:rsidP="005A7880">
      <w:pPr>
        <w:numPr>
          <w:ilvl w:val="3"/>
          <w:numId w:val="10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sz w:val="22"/>
          <w:szCs w:val="22"/>
        </w:rPr>
        <w:t>Tato smlouva nabývá platnosti dnem schválení příslušným ministerstvem podle ustanovení §</w:t>
      </w:r>
      <w:r>
        <w:t> </w:t>
      </w:r>
      <w:r>
        <w:rPr>
          <w:rFonts w:ascii="Arial" w:hAnsi="Arial" w:cs="Arial"/>
          <w:bCs/>
          <w:iCs/>
          <w:sz w:val="22"/>
          <w:szCs w:val="22"/>
        </w:rPr>
        <w:t>22 zákona č. 219/2000 Sb.</w:t>
      </w:r>
    </w:p>
    <w:p w:rsidR="00D432B2" w:rsidRDefault="00D432B2" w:rsidP="005A7880">
      <w:pPr>
        <w:shd w:val="clear" w:color="auto" w:fill="FFFFFF"/>
        <w:tabs>
          <w:tab w:val="center" w:pos="4536"/>
          <w:tab w:val="left" w:pos="5222"/>
          <w:tab w:val="right" w:pos="8931"/>
        </w:tabs>
        <w:ind w:left="426" w:hanging="426"/>
        <w:jc w:val="both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:rsidR="00D432B2" w:rsidRDefault="00D432B2" w:rsidP="005A7880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není-li v této smlouvě stanoveno jinak, řídí se práva a povinnosti smluvních stran zákonem č. 89/2012 Sb. a zákonem č. 219/2000 Sb. </w:t>
      </w:r>
    </w:p>
    <w:p w:rsidR="00D432B2" w:rsidRDefault="00D432B2" w:rsidP="005A7880">
      <w:pPr>
        <w:ind w:left="426" w:hanging="426"/>
        <w:contextualSpacing/>
        <w:rPr>
          <w:rFonts w:ascii="Arial" w:hAnsi="Arial" w:cs="Arial"/>
          <w:sz w:val="22"/>
          <w:szCs w:val="22"/>
        </w:rPr>
      </w:pPr>
    </w:p>
    <w:p w:rsidR="00D432B2" w:rsidRDefault="00D432B2" w:rsidP="005A7880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uzavřených, vzestupně číslovaných dodatků smlouvy.</w:t>
      </w:r>
    </w:p>
    <w:p w:rsidR="00D432B2" w:rsidRDefault="00D432B2" w:rsidP="005A7880">
      <w:pPr>
        <w:tabs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5A7880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 touto smlouvou nes</w:t>
      </w:r>
      <w:r w:rsidR="005C705C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kupující.</w:t>
      </w:r>
    </w:p>
    <w:p w:rsidR="00D432B2" w:rsidRDefault="00D432B2" w:rsidP="005A7880">
      <w:pPr>
        <w:tabs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5A7880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</w:t>
      </w:r>
      <w:r w:rsidR="005C705C">
        <w:rPr>
          <w:rFonts w:ascii="Arial" w:hAnsi="Arial" w:cs="Arial"/>
          <w:sz w:val="22"/>
          <w:szCs w:val="22"/>
        </w:rPr>
        <w:t xml:space="preserve"> pěti </w:t>
      </w:r>
      <w:r>
        <w:rPr>
          <w:rFonts w:ascii="Arial" w:hAnsi="Arial" w:cs="Arial"/>
          <w:sz w:val="22"/>
          <w:szCs w:val="22"/>
        </w:rPr>
        <w:t xml:space="preserve">stejnopisech. Každá ze smluvních stran obdrží po jednom vyhotovení, jedno vyhotovení bude určeno pro příslušné ministerstvo a jedno vyhotovení bude použito k zápisu vlastnického práva vkladem do katastru nemovitostí. </w:t>
      </w:r>
    </w:p>
    <w:p w:rsidR="00D432B2" w:rsidRDefault="00D432B2" w:rsidP="005A788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D432B2" w:rsidRPr="005C705C" w:rsidRDefault="00D432B2" w:rsidP="005A7880">
      <w:pPr>
        <w:pStyle w:val="Odstavecseseznamem"/>
        <w:numPr>
          <w:ilvl w:val="0"/>
          <w:numId w:val="10"/>
        </w:numPr>
        <w:tabs>
          <w:tab w:val="left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5C705C">
        <w:rPr>
          <w:rFonts w:ascii="Arial" w:hAnsi="Arial" w:cs="Arial"/>
          <w:sz w:val="22"/>
          <w:szCs w:val="22"/>
        </w:rPr>
        <w:t>Smluvní strany navzájem prohlašují, že smlouva neobsahuje žádné obchodní tajemství.</w:t>
      </w:r>
    </w:p>
    <w:p w:rsidR="00D432B2" w:rsidRPr="005C705C" w:rsidRDefault="00D432B2" w:rsidP="005A7880">
      <w:pPr>
        <w:tabs>
          <w:tab w:val="left" w:pos="360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D432B2" w:rsidRPr="005C705C" w:rsidRDefault="00D432B2" w:rsidP="005A7880">
      <w:pPr>
        <w:pStyle w:val="Odstavecseseznamem"/>
        <w:numPr>
          <w:ilvl w:val="0"/>
          <w:numId w:val="10"/>
        </w:numPr>
        <w:tabs>
          <w:tab w:val="left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5C705C">
        <w:rPr>
          <w:rFonts w:ascii="Arial" w:hAnsi="Arial" w:cs="Arial"/>
          <w:sz w:val="22"/>
          <w:szCs w:val="22"/>
        </w:rPr>
        <w:t>Tato smlouva bude zveřejněna Úřadem v registru smluv podle zákona č</w:t>
      </w:r>
      <w:r w:rsidR="00871304">
        <w:rPr>
          <w:rFonts w:ascii="Arial" w:hAnsi="Arial" w:cs="Arial"/>
          <w:sz w:val="22"/>
          <w:szCs w:val="22"/>
        </w:rPr>
        <w:t>. 340/2015 Sb.,</w:t>
      </w:r>
      <w:r w:rsidR="00871304">
        <w:rPr>
          <w:rFonts w:ascii="Arial" w:hAnsi="Arial" w:cs="Arial"/>
          <w:sz w:val="22"/>
          <w:szCs w:val="22"/>
        </w:rPr>
        <w:br/>
      </w:r>
      <w:r w:rsidRPr="005C705C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</w:t>
      </w:r>
      <w:r w:rsidR="00114E47">
        <w:rPr>
          <w:rFonts w:ascii="Arial" w:hAnsi="Arial" w:cs="Arial"/>
          <w:sz w:val="22"/>
          <w:szCs w:val="22"/>
        </w:rPr>
        <w:t>.</w:t>
      </w:r>
    </w:p>
    <w:p w:rsidR="00D432B2" w:rsidRPr="005C705C" w:rsidRDefault="00D432B2" w:rsidP="005A788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D432B2" w:rsidRPr="005C705C" w:rsidRDefault="00D432B2" w:rsidP="005A7880">
      <w:pPr>
        <w:pStyle w:val="Odstavecseseznamem"/>
        <w:numPr>
          <w:ilvl w:val="0"/>
          <w:numId w:val="10"/>
        </w:numPr>
        <w:tabs>
          <w:tab w:val="left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5C705C">
        <w:rPr>
          <w:rFonts w:ascii="Arial" w:hAnsi="Arial" w:cs="Arial"/>
          <w:sz w:val="22"/>
          <w:szCs w:val="22"/>
        </w:rPr>
        <w:t>Úřad zašle tu smlouvu správci registru smluv k uveřejnění bez zbytečného odkladu, nejpozději však do 30 dnů od uzavření smlouvy.</w:t>
      </w:r>
    </w:p>
    <w:p w:rsidR="00D432B2" w:rsidRDefault="00D432B2" w:rsidP="005A7880">
      <w:pPr>
        <w:ind w:left="426" w:hanging="426"/>
        <w:contextualSpacing/>
        <w:rPr>
          <w:rFonts w:ascii="Arial" w:hAnsi="Arial" w:cs="Arial"/>
          <w:b/>
          <w:sz w:val="22"/>
          <w:szCs w:val="22"/>
        </w:rPr>
      </w:pPr>
    </w:p>
    <w:p w:rsidR="00D432B2" w:rsidRDefault="00D432B2" w:rsidP="005A7880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je</w:t>
      </w:r>
    </w:p>
    <w:p w:rsidR="00D432B2" w:rsidRDefault="00D432B2" w:rsidP="005A7880">
      <w:pPr>
        <w:ind w:left="426" w:hanging="426"/>
        <w:contextualSpacing/>
        <w:rPr>
          <w:rFonts w:ascii="Arial" w:hAnsi="Arial" w:cs="Arial"/>
          <w:b/>
          <w:sz w:val="22"/>
          <w:szCs w:val="22"/>
        </w:rPr>
      </w:pPr>
    </w:p>
    <w:p w:rsidR="00D432B2" w:rsidRDefault="00D432B2" w:rsidP="00712F4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doložka dle zákona č. </w:t>
      </w:r>
      <w:r w:rsidR="00CF367E">
        <w:rPr>
          <w:rFonts w:ascii="Arial" w:hAnsi="Arial" w:cs="Arial"/>
          <w:sz w:val="22"/>
          <w:szCs w:val="22"/>
        </w:rPr>
        <w:t>219/2000 Sb. v</w:t>
      </w:r>
      <w:r>
        <w:rPr>
          <w:rFonts w:ascii="Arial" w:hAnsi="Arial" w:cs="Arial"/>
          <w:sz w:val="22"/>
          <w:szCs w:val="22"/>
        </w:rPr>
        <w:t>e znění pozdějších předpisů</w:t>
      </w:r>
      <w:r w:rsidR="00114E47">
        <w:rPr>
          <w:rFonts w:ascii="Arial" w:hAnsi="Arial" w:cs="Arial"/>
          <w:sz w:val="22"/>
          <w:szCs w:val="22"/>
        </w:rPr>
        <w:t>.</w:t>
      </w:r>
    </w:p>
    <w:p w:rsidR="00D432B2" w:rsidRDefault="00D432B2" w:rsidP="005A7880">
      <w:pPr>
        <w:tabs>
          <w:tab w:val="left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F367E" w:rsidRDefault="00CF367E" w:rsidP="005A7880">
      <w:pPr>
        <w:tabs>
          <w:tab w:val="left" w:pos="709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CF367E" w:rsidRDefault="00CF367E" w:rsidP="005A7880">
      <w:pPr>
        <w:tabs>
          <w:tab w:val="left" w:pos="709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CF367E" w:rsidRDefault="00CF367E" w:rsidP="005A7880">
      <w:pPr>
        <w:tabs>
          <w:tab w:val="left" w:pos="709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11639F" w:rsidP="005A7880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="00D432B2">
        <w:rPr>
          <w:rFonts w:ascii="Arial" w:hAnsi="Arial" w:cs="Arial"/>
          <w:sz w:val="22"/>
          <w:szCs w:val="22"/>
        </w:rPr>
        <w:t>. Smluvní strany prohlašují, že tuto smlouvu uzavřely svobodně a vážně, nikoliv z přinucení nebo omylu. Na důkaz toho připojují své vlastnoruční podpisy.</w:t>
      </w:r>
    </w:p>
    <w:p w:rsidR="00D432B2" w:rsidRDefault="00D432B2" w:rsidP="005A7880">
      <w:pPr>
        <w:tabs>
          <w:tab w:val="left" w:pos="709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5A7880">
      <w:pPr>
        <w:tabs>
          <w:tab w:val="left" w:pos="709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D432B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D432B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D432B2" w:rsidRDefault="00D432B2" w:rsidP="00D432B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53"/>
        <w:gridCol w:w="4758"/>
        <w:gridCol w:w="84"/>
      </w:tblGrid>
      <w:tr w:rsidR="00D432B2" w:rsidTr="00D432B2">
        <w:trPr>
          <w:gridAfter w:val="1"/>
          <w:wAfter w:w="84" w:type="dxa"/>
        </w:trPr>
        <w:tc>
          <w:tcPr>
            <w:tcW w:w="4605" w:type="dxa"/>
            <w:hideMark/>
          </w:tcPr>
          <w:p w:rsidR="00D432B2" w:rsidRDefault="00D432B2" w:rsidP="00CF367E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F367E">
              <w:rPr>
                <w:rFonts w:ascii="Arial" w:hAnsi="Arial" w:cs="Arial"/>
                <w:sz w:val="22"/>
                <w:szCs w:val="22"/>
              </w:rPr>
              <w:t xml:space="preserve"> Praze   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CF367E"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</w:tc>
        <w:tc>
          <w:tcPr>
            <w:tcW w:w="4605" w:type="dxa"/>
            <w:gridSpan w:val="2"/>
            <w:hideMark/>
          </w:tcPr>
          <w:p w:rsidR="00D432B2" w:rsidRDefault="00D432B2" w:rsidP="00CF367E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CF367E">
              <w:rPr>
                <w:rFonts w:ascii="Arial" w:hAnsi="Arial" w:cs="Arial"/>
                <w:sz w:val="22"/>
                <w:szCs w:val="22"/>
              </w:rPr>
              <w:t xml:space="preserve">Praze   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CF367E">
              <w:rPr>
                <w:rFonts w:ascii="Arial" w:hAnsi="Arial" w:cs="Arial"/>
                <w:sz w:val="22"/>
                <w:szCs w:val="22"/>
              </w:rPr>
              <w:t>……………..</w:t>
            </w:r>
          </w:p>
        </w:tc>
      </w:tr>
      <w:tr w:rsidR="00D432B2" w:rsidTr="00D432B2">
        <w:trPr>
          <w:gridAfter w:val="1"/>
          <w:wAfter w:w="84" w:type="dxa"/>
          <w:trHeight w:val="925"/>
        </w:trPr>
        <w:tc>
          <w:tcPr>
            <w:tcW w:w="4605" w:type="dxa"/>
          </w:tcPr>
          <w:p w:rsidR="00D432B2" w:rsidRDefault="00D432B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B2" w:rsidRDefault="00D432B2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B2" w:rsidRDefault="00D432B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367E" w:rsidRDefault="00CF367E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367E" w:rsidRDefault="00CF367E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367E" w:rsidRDefault="00CF367E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32B2" w:rsidRDefault="00D432B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32B2" w:rsidRDefault="00D432B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gridSpan w:val="2"/>
          </w:tcPr>
          <w:p w:rsidR="00D432B2" w:rsidRDefault="00D432B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2B2" w:rsidTr="00D432B2">
        <w:trPr>
          <w:trHeight w:val="35"/>
        </w:trPr>
        <w:tc>
          <w:tcPr>
            <w:tcW w:w="4647" w:type="dxa"/>
            <w:gridSpan w:val="2"/>
            <w:hideMark/>
          </w:tcPr>
          <w:p w:rsidR="00D432B2" w:rsidRDefault="00D432B2">
            <w:pPr>
              <w:tabs>
                <w:tab w:val="left" w:pos="709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…………………………….………………………..</w:t>
            </w:r>
          </w:p>
        </w:tc>
        <w:tc>
          <w:tcPr>
            <w:tcW w:w="4647" w:type="dxa"/>
            <w:gridSpan w:val="2"/>
            <w:hideMark/>
          </w:tcPr>
          <w:p w:rsidR="00D432B2" w:rsidRDefault="00D432B2">
            <w:pPr>
              <w:tabs>
                <w:tab w:val="left" w:pos="709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…………………………….……………………….</w:t>
            </w:r>
          </w:p>
        </w:tc>
      </w:tr>
      <w:tr w:rsidR="00D432B2" w:rsidRPr="00CF367E" w:rsidTr="00D432B2">
        <w:trPr>
          <w:trHeight w:val="327"/>
        </w:trPr>
        <w:tc>
          <w:tcPr>
            <w:tcW w:w="4647" w:type="dxa"/>
            <w:gridSpan w:val="2"/>
            <w:hideMark/>
          </w:tcPr>
          <w:p w:rsidR="00D432B2" w:rsidRPr="00CF367E" w:rsidRDefault="00D432B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67E">
              <w:rPr>
                <w:rFonts w:ascii="Arial" w:hAnsi="Arial" w:cs="Arial"/>
                <w:b/>
                <w:sz w:val="22"/>
                <w:szCs w:val="22"/>
              </w:rPr>
              <w:t>Ing. Vladimír Hůlka</w:t>
            </w:r>
          </w:p>
          <w:p w:rsidR="00D432B2" w:rsidRPr="00CF367E" w:rsidRDefault="00D432B2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CF367E">
              <w:rPr>
                <w:rFonts w:ascii="Arial" w:hAnsi="Arial" w:cs="Arial"/>
                <w:b/>
                <w:sz w:val="22"/>
                <w:szCs w:val="22"/>
              </w:rPr>
              <w:t>pověřený zastupováním pracovního místa ředitele ÚP v hl.</w:t>
            </w:r>
            <w:r w:rsidR="00CF36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F367E">
              <w:rPr>
                <w:rFonts w:ascii="Arial" w:hAnsi="Arial" w:cs="Arial"/>
                <w:b/>
                <w:sz w:val="22"/>
                <w:szCs w:val="22"/>
              </w:rPr>
              <w:t xml:space="preserve">m. Praze </w:t>
            </w:r>
          </w:p>
        </w:tc>
        <w:tc>
          <w:tcPr>
            <w:tcW w:w="4647" w:type="dxa"/>
            <w:gridSpan w:val="2"/>
          </w:tcPr>
          <w:p w:rsidR="00D432B2" w:rsidRPr="00CF367E" w:rsidRDefault="00CF367E" w:rsidP="00CF367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67E">
              <w:rPr>
                <w:rFonts w:ascii="Arial" w:hAnsi="Arial" w:cs="Arial"/>
                <w:b/>
                <w:sz w:val="22"/>
                <w:szCs w:val="22"/>
              </w:rPr>
              <w:t>Alena Domlátilová</w:t>
            </w:r>
          </w:p>
          <w:p w:rsidR="00CF367E" w:rsidRPr="00CF367E" w:rsidRDefault="00CF367E" w:rsidP="00CF367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367E" w:rsidRPr="00CF367E" w:rsidRDefault="00CF367E" w:rsidP="00CF367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367E" w:rsidRPr="00CF367E" w:rsidRDefault="00CF367E" w:rsidP="00CF367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367E" w:rsidRPr="00CF367E" w:rsidRDefault="00CF367E" w:rsidP="00CF367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367E" w:rsidRPr="00CF367E" w:rsidRDefault="00CF367E" w:rsidP="00DE379E">
            <w:pPr>
              <w:tabs>
                <w:tab w:val="left" w:pos="709"/>
              </w:tabs>
              <w:jc w:val="center"/>
              <w:rPr>
                <w:rFonts w:ascii="Arial" w:hAnsi="Arial" w:cs="Arial"/>
                <w:strike/>
                <w:szCs w:val="22"/>
              </w:rPr>
            </w:pPr>
            <w:r w:rsidRPr="00CF367E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bookmarkStart w:id="0" w:name="_GoBack"/>
            <w:bookmarkEnd w:id="0"/>
          </w:p>
        </w:tc>
      </w:tr>
    </w:tbl>
    <w:p w:rsidR="00D432B2" w:rsidRPr="00CF367E" w:rsidRDefault="00CF367E" w:rsidP="00D432B2">
      <w:pPr>
        <w:tabs>
          <w:tab w:val="left" w:pos="426"/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  <w:r w:rsidRPr="00CF367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Jiří Domlátil</w:t>
      </w:r>
    </w:p>
    <w:p w:rsidR="007E2ACA" w:rsidRDefault="007E2ACA">
      <w:pPr>
        <w:rPr>
          <w:rFonts w:ascii="Arial" w:hAnsi="Arial" w:cs="Arial"/>
          <w:b/>
          <w:sz w:val="22"/>
          <w:szCs w:val="22"/>
          <w:u w:val="single"/>
        </w:rPr>
      </w:pPr>
    </w:p>
    <w:p w:rsidR="00D67046" w:rsidRDefault="00D67046">
      <w:pPr>
        <w:rPr>
          <w:rFonts w:ascii="Arial" w:hAnsi="Arial" w:cs="Arial"/>
          <w:b/>
          <w:sz w:val="22"/>
          <w:szCs w:val="22"/>
          <w:u w:val="single"/>
        </w:rPr>
      </w:pPr>
    </w:p>
    <w:p w:rsidR="00D67046" w:rsidRDefault="00D67046">
      <w:pPr>
        <w:rPr>
          <w:rFonts w:ascii="Arial" w:hAnsi="Arial" w:cs="Arial"/>
          <w:b/>
          <w:sz w:val="22"/>
          <w:szCs w:val="22"/>
          <w:u w:val="single"/>
        </w:rPr>
      </w:pPr>
    </w:p>
    <w:p w:rsidR="00D67046" w:rsidRDefault="00D67046">
      <w:pPr>
        <w:rPr>
          <w:rFonts w:ascii="Arial" w:hAnsi="Arial" w:cs="Arial"/>
          <w:b/>
          <w:sz w:val="22"/>
          <w:szCs w:val="22"/>
          <w:u w:val="single"/>
        </w:rPr>
      </w:pPr>
    </w:p>
    <w:p w:rsidR="00D67046" w:rsidRDefault="00D6704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Přílohy</w:t>
      </w:r>
    </w:p>
    <w:p w:rsidR="00D67046" w:rsidRDefault="00D670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textu</w:t>
      </w:r>
    </w:p>
    <w:p w:rsidR="00D67046" w:rsidRPr="00D67046" w:rsidRDefault="00D670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zákona č. 219/2000 Sb., ve znění pozdějších předpisů.</w:t>
      </w:r>
    </w:p>
    <w:sectPr w:rsidR="00D67046" w:rsidRPr="00D67046" w:rsidSect="0021302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96" w:rsidRDefault="005D1F96">
      <w:r>
        <w:separator/>
      </w:r>
    </w:p>
  </w:endnote>
  <w:endnote w:type="continuationSeparator" w:id="0">
    <w:p w:rsidR="005D1F96" w:rsidRDefault="005D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96" w:rsidRDefault="005D1F96">
      <w:r>
        <w:separator/>
      </w:r>
    </w:p>
  </w:footnote>
  <w:footnote w:type="continuationSeparator" w:id="0">
    <w:p w:rsidR="005D1F96" w:rsidRDefault="005D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13C"/>
    <w:multiLevelType w:val="hybridMultilevel"/>
    <w:tmpl w:val="33B63F7C"/>
    <w:lvl w:ilvl="0" w:tplc="35B0E8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F996790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02528D"/>
    <w:multiLevelType w:val="hybridMultilevel"/>
    <w:tmpl w:val="DEEC93F6"/>
    <w:lvl w:ilvl="0" w:tplc="BA04A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D7650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87537"/>
    <w:multiLevelType w:val="multilevel"/>
    <w:tmpl w:val="2744D67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4">
    <w:nsid w:val="24F214F1"/>
    <w:multiLevelType w:val="hybridMultilevel"/>
    <w:tmpl w:val="11904928"/>
    <w:lvl w:ilvl="0" w:tplc="0A8CF5C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504D82"/>
    <w:multiLevelType w:val="hybridMultilevel"/>
    <w:tmpl w:val="B486FC0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9181B46"/>
    <w:multiLevelType w:val="hybridMultilevel"/>
    <w:tmpl w:val="F6604706"/>
    <w:lvl w:ilvl="0" w:tplc="17765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77ED0"/>
    <w:multiLevelType w:val="hybridMultilevel"/>
    <w:tmpl w:val="6F14DAAE"/>
    <w:lvl w:ilvl="0" w:tplc="CC46153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521118E4"/>
    <w:multiLevelType w:val="hybridMultilevel"/>
    <w:tmpl w:val="63287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02974"/>
    <w:multiLevelType w:val="multilevel"/>
    <w:tmpl w:val="99FE439A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0">
    <w:nsid w:val="5F1E419D"/>
    <w:multiLevelType w:val="hybridMultilevel"/>
    <w:tmpl w:val="E3364322"/>
    <w:lvl w:ilvl="0" w:tplc="35B0E8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D61F9"/>
    <w:multiLevelType w:val="hybridMultilevel"/>
    <w:tmpl w:val="98F21984"/>
    <w:lvl w:ilvl="0" w:tplc="35B0E8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22B6B"/>
    <w:rsid w:val="00084F5C"/>
    <w:rsid w:val="000A39A7"/>
    <w:rsid w:val="000D22D1"/>
    <w:rsid w:val="000F3EF4"/>
    <w:rsid w:val="00110C6C"/>
    <w:rsid w:val="00114E47"/>
    <w:rsid w:val="0011639F"/>
    <w:rsid w:val="0012251A"/>
    <w:rsid w:val="001A1BA8"/>
    <w:rsid w:val="001A4437"/>
    <w:rsid w:val="00201629"/>
    <w:rsid w:val="00213024"/>
    <w:rsid w:val="00243B62"/>
    <w:rsid w:val="002826A9"/>
    <w:rsid w:val="00295D0D"/>
    <w:rsid w:val="002A6D48"/>
    <w:rsid w:val="002B7A34"/>
    <w:rsid w:val="002C7F47"/>
    <w:rsid w:val="002E6D1A"/>
    <w:rsid w:val="00311656"/>
    <w:rsid w:val="0033093C"/>
    <w:rsid w:val="003E6C1B"/>
    <w:rsid w:val="004377D5"/>
    <w:rsid w:val="00440764"/>
    <w:rsid w:val="00492658"/>
    <w:rsid w:val="0056438A"/>
    <w:rsid w:val="00577F3E"/>
    <w:rsid w:val="005A7880"/>
    <w:rsid w:val="005C705C"/>
    <w:rsid w:val="005D1F96"/>
    <w:rsid w:val="005E0AA4"/>
    <w:rsid w:val="005F4B16"/>
    <w:rsid w:val="0061445A"/>
    <w:rsid w:val="006971CA"/>
    <w:rsid w:val="006A5380"/>
    <w:rsid w:val="006B3206"/>
    <w:rsid w:val="006B5683"/>
    <w:rsid w:val="00712F44"/>
    <w:rsid w:val="00740F0E"/>
    <w:rsid w:val="007558B0"/>
    <w:rsid w:val="00760282"/>
    <w:rsid w:val="007C7E67"/>
    <w:rsid w:val="007E2ACA"/>
    <w:rsid w:val="00826896"/>
    <w:rsid w:val="00836791"/>
    <w:rsid w:val="00860B63"/>
    <w:rsid w:val="0086167A"/>
    <w:rsid w:val="00871304"/>
    <w:rsid w:val="008833B8"/>
    <w:rsid w:val="00914D73"/>
    <w:rsid w:val="00976B4A"/>
    <w:rsid w:val="00997EA9"/>
    <w:rsid w:val="009B3623"/>
    <w:rsid w:val="009C1237"/>
    <w:rsid w:val="009F31FA"/>
    <w:rsid w:val="00A35434"/>
    <w:rsid w:val="00A55199"/>
    <w:rsid w:val="00A92E2B"/>
    <w:rsid w:val="00AA16F4"/>
    <w:rsid w:val="00AB5184"/>
    <w:rsid w:val="00B028AA"/>
    <w:rsid w:val="00B16818"/>
    <w:rsid w:val="00B72CD2"/>
    <w:rsid w:val="00B77B13"/>
    <w:rsid w:val="00BA4DA1"/>
    <w:rsid w:val="00BE448A"/>
    <w:rsid w:val="00C47CA2"/>
    <w:rsid w:val="00C50925"/>
    <w:rsid w:val="00C9579F"/>
    <w:rsid w:val="00CC17D2"/>
    <w:rsid w:val="00CF263A"/>
    <w:rsid w:val="00CF367E"/>
    <w:rsid w:val="00D22DF5"/>
    <w:rsid w:val="00D40938"/>
    <w:rsid w:val="00D432B2"/>
    <w:rsid w:val="00D67046"/>
    <w:rsid w:val="00D90B34"/>
    <w:rsid w:val="00D96274"/>
    <w:rsid w:val="00DB70F5"/>
    <w:rsid w:val="00DE379E"/>
    <w:rsid w:val="00DF4459"/>
    <w:rsid w:val="00E20361"/>
    <w:rsid w:val="00E21C56"/>
    <w:rsid w:val="00E928F4"/>
    <w:rsid w:val="00EA27EA"/>
    <w:rsid w:val="00EE1081"/>
    <w:rsid w:val="00EF149B"/>
    <w:rsid w:val="00F20907"/>
    <w:rsid w:val="00F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0B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432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0B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43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1548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bucharovh</dc:creator>
  <cp:lastModifiedBy>bucharovh</cp:lastModifiedBy>
  <cp:revision>4</cp:revision>
  <cp:lastPrinted>2016-09-29T09:17:00Z</cp:lastPrinted>
  <dcterms:created xsi:type="dcterms:W3CDTF">2016-10-17T06:59:00Z</dcterms:created>
  <dcterms:modified xsi:type="dcterms:W3CDTF">2016-10-17T07:03:00Z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83202/A/2016-HMO2</vt:lpwstr>
  </property>
  <property fmtid="{D5CDD505-2E9C-101B-9397-08002B2CF9AE}" pid="4" name="BARCODE_STOP">
    <vt:lpwstr>@œ</vt:lpwstr>
  </property>
  <property fmtid="{D5CDD505-2E9C-101B-9397-08002B2CF9AE}" pid="5" name="OD_Cj">
    <vt:lpwstr>UZSVM/A/48351/2016-HMO2</vt:lpwstr>
  </property>
  <property fmtid="{D5CDD505-2E9C-101B-9397-08002B2CF9AE}" pid="6" name="Vlastnik">
    <vt:lpwstr>Bucharová Helena</vt:lpwstr>
  </property>
  <property fmtid="{D5CDD505-2E9C-101B-9397-08002B2CF9AE}" pid="7" name="Telefon">
    <vt:lpwstr>+420 225 776 466</vt:lpwstr>
  </property>
  <property fmtid="{D5CDD505-2E9C-101B-9397-08002B2CF9AE}" pid="8" name="Fax">
    <vt:lpwstr>9327</vt:lpwstr>
  </property>
  <property fmtid="{D5CDD505-2E9C-101B-9397-08002B2CF9AE}" pid="9" name="Email">
    <vt:lpwstr>Helena.Bucharova@uzsvm.cz</vt:lpwstr>
  </property>
  <property fmtid="{D5CDD505-2E9C-101B-9397-08002B2CF9AE}" pid="10" name="UtvarTxt">
    <vt:lpwstr>oddělení Hospodaření s majetkem v operativní evidenci II.</vt:lpwstr>
  </property>
  <property fmtid="{D5CDD505-2E9C-101B-9397-08002B2CF9AE}" pid="11" name="UtvarKod">
    <vt:lpwstr>9327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Vyrozumění vítězi výběrového řízení č. HMS/29/2016 + návrh kupní smlouvy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/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77552885</vt:lpwstr>
  </property>
  <property fmtid="{D5CDD505-2E9C-101B-9397-08002B2CF9AE}" pid="26" name="NazevUP">
    <vt:lpwstr>Ústředí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Hospodaření s majetkem státu</vt:lpwstr>
  </property>
  <property fmtid="{D5CDD505-2E9C-101B-9397-08002B2CF9AE}" pid="29" name="AdresaOdbor">
    <vt:lpwstr/>
  </property>
  <property fmtid="{D5CDD505-2E9C-101B-9397-08002B2CF9AE}" pid="30" name="VytvorenDne">
    <vt:lpwstr>20.09.2016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µ#83202/A/2016-HMO2@(¸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