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CE" w:rsidRPr="005A2897" w:rsidRDefault="00C21DCE" w:rsidP="00C21DCE">
      <w:pPr>
        <w:spacing w:after="0" w:line="240" w:lineRule="auto"/>
        <w:jc w:val="center"/>
        <w:rPr>
          <w:rFonts w:ascii="RotisSerif" w:hAnsi="RotisSerif"/>
          <w:b/>
          <w:sz w:val="32"/>
          <w:szCs w:val="24"/>
        </w:rPr>
      </w:pPr>
      <w:r w:rsidRPr="005A2897">
        <w:rPr>
          <w:rFonts w:ascii="RotisSerif" w:hAnsi="RotisSerif"/>
          <w:b/>
          <w:sz w:val="32"/>
          <w:szCs w:val="24"/>
        </w:rPr>
        <w:t xml:space="preserve">DODATEK Č. </w:t>
      </w:r>
      <w:r>
        <w:rPr>
          <w:rFonts w:ascii="RotisSerif" w:hAnsi="RotisSerif"/>
          <w:b/>
          <w:sz w:val="32"/>
          <w:szCs w:val="24"/>
        </w:rPr>
        <w:t>1</w:t>
      </w:r>
    </w:p>
    <w:p w:rsidR="00C21DCE" w:rsidRPr="005A2897" w:rsidRDefault="00C21DCE" w:rsidP="00C21DCE">
      <w:pPr>
        <w:spacing w:after="0" w:line="240" w:lineRule="auto"/>
        <w:jc w:val="center"/>
        <w:rPr>
          <w:rFonts w:ascii="RotisSerif" w:hAnsi="RotisSerif"/>
          <w:b/>
          <w:sz w:val="32"/>
          <w:szCs w:val="24"/>
        </w:rPr>
      </w:pPr>
      <w:r>
        <w:rPr>
          <w:rFonts w:ascii="RotisSerif" w:hAnsi="RotisSerif"/>
          <w:b/>
          <w:sz w:val="32"/>
          <w:szCs w:val="24"/>
        </w:rPr>
        <w:t>ke smlouvě o nájmu nebytových prostor (prostor sloužících podnikání) ze dne 26. 11. 2013 (dále jen „Smlouva“)</w:t>
      </w:r>
    </w:p>
    <w:p w:rsidR="00C21DCE" w:rsidRDefault="00C21DCE" w:rsidP="00C21DCE">
      <w:pPr>
        <w:spacing w:after="0" w:line="240" w:lineRule="auto"/>
        <w:rPr>
          <w:rFonts w:ascii="RotisSerif" w:hAnsi="RotisSerif"/>
          <w:sz w:val="24"/>
          <w:szCs w:val="24"/>
        </w:rPr>
      </w:pPr>
    </w:p>
    <w:p w:rsidR="00C21DCE" w:rsidRDefault="00C21DCE" w:rsidP="00C21DCE">
      <w:pPr>
        <w:spacing w:after="0" w:line="240" w:lineRule="auto"/>
        <w:rPr>
          <w:rFonts w:ascii="RotisSerif" w:hAnsi="RotisSerif"/>
          <w:sz w:val="24"/>
          <w:szCs w:val="24"/>
          <w:u w:val="single"/>
        </w:rPr>
      </w:pPr>
      <w:r>
        <w:rPr>
          <w:rFonts w:ascii="RotisSerif" w:hAnsi="RotisSerif"/>
          <w:sz w:val="24"/>
          <w:szCs w:val="24"/>
          <w:u w:val="single"/>
        </w:rPr>
        <w:t>Smluvní strany:</w:t>
      </w:r>
    </w:p>
    <w:p w:rsidR="00C21DCE" w:rsidRDefault="00C21DCE" w:rsidP="00C21DCE">
      <w:pPr>
        <w:spacing w:after="0" w:line="240" w:lineRule="auto"/>
        <w:rPr>
          <w:rFonts w:ascii="RotisSerif" w:hAnsi="RotisSerif"/>
          <w:sz w:val="24"/>
          <w:szCs w:val="24"/>
          <w:u w:val="single"/>
        </w:rPr>
      </w:pPr>
    </w:p>
    <w:p w:rsidR="00C21DCE" w:rsidRPr="000E1570" w:rsidRDefault="00C21DCE" w:rsidP="00C21DCE">
      <w:pPr>
        <w:spacing w:after="0" w:line="240" w:lineRule="auto"/>
        <w:rPr>
          <w:rFonts w:ascii="RotisSerif" w:hAnsi="RotisSerif"/>
          <w:b/>
          <w:sz w:val="24"/>
          <w:szCs w:val="24"/>
        </w:rPr>
      </w:pPr>
      <w:r>
        <w:rPr>
          <w:rFonts w:ascii="RotisSerif" w:hAnsi="RotisSerif"/>
          <w:b/>
          <w:sz w:val="24"/>
          <w:szCs w:val="24"/>
        </w:rPr>
        <w:t>Městská nemocnice s poliklinikou Uh. Brod, s.r.o.</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 xml:space="preserve">se sídlem: </w:t>
      </w:r>
      <w:r>
        <w:rPr>
          <w:rFonts w:ascii="RotisSerif" w:hAnsi="RotisSerif"/>
          <w:sz w:val="24"/>
          <w:szCs w:val="24"/>
        </w:rPr>
        <w:t>Partyzánů 2174, 688 01 Uherský Brod</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 xml:space="preserve">zastoupená: </w:t>
      </w:r>
      <w:r>
        <w:rPr>
          <w:rFonts w:ascii="RotisSerif" w:hAnsi="RotisSerif"/>
          <w:sz w:val="24"/>
          <w:szCs w:val="24"/>
        </w:rPr>
        <w:t>Ing. Ferdinandem Kubáníkem, jednatelem</w:t>
      </w:r>
      <w:r w:rsidRPr="000E1570">
        <w:rPr>
          <w:rFonts w:ascii="RotisSerif" w:hAnsi="RotisSerif"/>
          <w:sz w:val="24"/>
          <w:szCs w:val="24"/>
        </w:rPr>
        <w:t xml:space="preserve"> </w:t>
      </w:r>
    </w:p>
    <w:p w:rsidR="00C21DCE" w:rsidRDefault="00C21DCE" w:rsidP="00C21DCE">
      <w:pPr>
        <w:spacing w:after="0" w:line="240" w:lineRule="auto"/>
        <w:rPr>
          <w:rFonts w:ascii="RotisSerif" w:hAnsi="RotisSerif"/>
          <w:sz w:val="24"/>
          <w:szCs w:val="24"/>
        </w:rPr>
      </w:pPr>
      <w:r w:rsidRPr="000E1570">
        <w:rPr>
          <w:rFonts w:ascii="RotisSerif" w:hAnsi="RotisSerif"/>
          <w:sz w:val="24"/>
          <w:szCs w:val="24"/>
        </w:rPr>
        <w:t xml:space="preserve">IČ: </w:t>
      </w:r>
      <w:r w:rsidRPr="005D2AD3">
        <w:rPr>
          <w:rFonts w:ascii="RotisSerif" w:hAnsi="RotisSerif"/>
          <w:sz w:val="24"/>
          <w:szCs w:val="24"/>
        </w:rPr>
        <w:t>25583905</w:t>
      </w:r>
    </w:p>
    <w:p w:rsidR="00C21DCE" w:rsidRDefault="00C21DCE" w:rsidP="00C21DCE">
      <w:pPr>
        <w:spacing w:after="0" w:line="240" w:lineRule="auto"/>
        <w:rPr>
          <w:rFonts w:ascii="RotisSerif" w:hAnsi="RotisSerif"/>
          <w:sz w:val="24"/>
          <w:szCs w:val="24"/>
        </w:rPr>
      </w:pPr>
      <w:r w:rsidRPr="000E1570">
        <w:rPr>
          <w:rFonts w:ascii="RotisSerif" w:hAnsi="RotisSerif"/>
          <w:sz w:val="24"/>
          <w:szCs w:val="24"/>
        </w:rPr>
        <w:t xml:space="preserve">bankovní spojení: </w:t>
      </w:r>
      <w:r w:rsidRPr="00E707E7">
        <w:rPr>
          <w:rFonts w:ascii="RotisSerif" w:hAnsi="RotisSerif"/>
          <w:sz w:val="24"/>
          <w:szCs w:val="24"/>
        </w:rPr>
        <w:t xml:space="preserve">Komerční banka, a.s., </w:t>
      </w:r>
      <w:r>
        <w:rPr>
          <w:rFonts w:ascii="RotisSerif" w:hAnsi="RotisSerif"/>
          <w:sz w:val="24"/>
          <w:szCs w:val="24"/>
        </w:rPr>
        <w:t xml:space="preserve">č.ú. </w:t>
      </w:r>
      <w:r w:rsidRPr="005D2AD3">
        <w:rPr>
          <w:rFonts w:ascii="RotisSerif" w:hAnsi="RotisSerif"/>
          <w:sz w:val="24"/>
          <w:szCs w:val="24"/>
        </w:rPr>
        <w:t>19-5004440217/0100</w:t>
      </w:r>
    </w:p>
    <w:p w:rsidR="00C21DCE" w:rsidRDefault="00C21DCE" w:rsidP="00C21DCE">
      <w:pPr>
        <w:spacing w:after="0" w:line="240" w:lineRule="auto"/>
        <w:rPr>
          <w:rFonts w:ascii="RotisSerif" w:hAnsi="RotisSerif"/>
          <w:sz w:val="24"/>
          <w:szCs w:val="24"/>
        </w:rPr>
      </w:pPr>
      <w:r w:rsidRPr="000E1570">
        <w:rPr>
          <w:rFonts w:ascii="RotisSerif" w:hAnsi="RotisSerif"/>
          <w:sz w:val="24"/>
          <w:szCs w:val="24"/>
        </w:rPr>
        <w:t xml:space="preserve">zapsaná v obchodním rejstříku vedeném </w:t>
      </w:r>
      <w:r>
        <w:rPr>
          <w:rFonts w:ascii="RotisSerif" w:hAnsi="RotisSerif"/>
          <w:sz w:val="24"/>
          <w:szCs w:val="24"/>
        </w:rPr>
        <w:t>Krajským soudem v Brně,</w:t>
      </w:r>
      <w:r w:rsidRPr="000E1570">
        <w:rPr>
          <w:rFonts w:ascii="RotisSerif" w:hAnsi="RotisSerif"/>
          <w:sz w:val="24"/>
          <w:szCs w:val="24"/>
        </w:rPr>
        <w:t xml:space="preserve"> oddíl C</w:t>
      </w:r>
      <w:r>
        <w:rPr>
          <w:rFonts w:ascii="RotisSerif" w:hAnsi="RotisSerif"/>
          <w:sz w:val="24"/>
          <w:szCs w:val="24"/>
        </w:rPr>
        <w:t>,</w:t>
      </w:r>
      <w:r w:rsidRPr="000E1570">
        <w:rPr>
          <w:rFonts w:ascii="RotisSerif" w:hAnsi="RotisSerif"/>
          <w:sz w:val="24"/>
          <w:szCs w:val="24"/>
        </w:rPr>
        <w:t xml:space="preserve"> vložka </w:t>
      </w:r>
      <w:r>
        <w:rPr>
          <w:rFonts w:ascii="RotisSerif" w:hAnsi="RotisSerif"/>
          <w:sz w:val="24"/>
          <w:szCs w:val="24"/>
        </w:rPr>
        <w:t>35422</w:t>
      </w:r>
    </w:p>
    <w:p w:rsidR="00C21DCE" w:rsidRDefault="00C21DCE" w:rsidP="00C21DCE">
      <w:pPr>
        <w:spacing w:after="0" w:line="240" w:lineRule="auto"/>
        <w:rPr>
          <w:rFonts w:ascii="RotisSerif" w:hAnsi="RotisSerif"/>
          <w:sz w:val="24"/>
          <w:szCs w:val="24"/>
        </w:rPr>
      </w:pPr>
      <w:r>
        <w:rPr>
          <w:rFonts w:ascii="RotisSerif" w:hAnsi="RotisSerif"/>
          <w:sz w:val="24"/>
          <w:szCs w:val="24"/>
        </w:rPr>
        <w:t>(dále jen „</w:t>
      </w:r>
      <w:r w:rsidRPr="00B21269">
        <w:rPr>
          <w:rFonts w:ascii="RotisSerif" w:hAnsi="RotisSerif"/>
          <w:b/>
          <w:sz w:val="24"/>
          <w:szCs w:val="24"/>
        </w:rPr>
        <w:t>Pronajímatel</w:t>
      </w:r>
      <w:r>
        <w:rPr>
          <w:rFonts w:ascii="RotisSerif" w:hAnsi="RotisSerif"/>
          <w:sz w:val="24"/>
          <w:szCs w:val="24"/>
        </w:rPr>
        <w:t>“)</w:t>
      </w:r>
    </w:p>
    <w:p w:rsidR="00C21DCE" w:rsidRDefault="00C21DCE" w:rsidP="00C21DCE">
      <w:pPr>
        <w:spacing w:after="0" w:line="240" w:lineRule="auto"/>
        <w:rPr>
          <w:rFonts w:ascii="RotisSerif" w:hAnsi="RotisSerif"/>
          <w:sz w:val="24"/>
          <w:szCs w:val="24"/>
        </w:rPr>
      </w:pPr>
    </w:p>
    <w:p w:rsidR="00C21DCE" w:rsidRPr="00B21269" w:rsidRDefault="00C21DCE" w:rsidP="00C21DCE">
      <w:pPr>
        <w:spacing w:after="0" w:line="240" w:lineRule="auto"/>
        <w:rPr>
          <w:rFonts w:ascii="RotisSerif" w:hAnsi="RotisSerif"/>
          <w:b/>
          <w:sz w:val="24"/>
          <w:szCs w:val="24"/>
        </w:rPr>
      </w:pPr>
      <w:r w:rsidRPr="00B21269">
        <w:rPr>
          <w:rFonts w:ascii="RotisSerif" w:hAnsi="RotisSerif"/>
          <w:b/>
          <w:sz w:val="24"/>
          <w:szCs w:val="24"/>
        </w:rPr>
        <w:t>a</w:t>
      </w:r>
    </w:p>
    <w:p w:rsidR="00C21DCE" w:rsidRPr="00B21269" w:rsidRDefault="00C21DCE" w:rsidP="00C21DCE">
      <w:pPr>
        <w:spacing w:after="0" w:line="240" w:lineRule="auto"/>
        <w:rPr>
          <w:rFonts w:ascii="RotisSerif" w:hAnsi="RotisSerif"/>
          <w:sz w:val="24"/>
          <w:szCs w:val="24"/>
        </w:rPr>
      </w:pPr>
    </w:p>
    <w:p w:rsidR="00C21DCE" w:rsidRPr="008E2766" w:rsidRDefault="00C21DCE" w:rsidP="00C21DCE">
      <w:pPr>
        <w:spacing w:after="0" w:line="240" w:lineRule="auto"/>
        <w:rPr>
          <w:rFonts w:ascii="RotisSerif" w:hAnsi="RotisSerif"/>
          <w:b/>
          <w:sz w:val="24"/>
          <w:szCs w:val="24"/>
        </w:rPr>
      </w:pPr>
      <w:r w:rsidRPr="008E2766">
        <w:rPr>
          <w:rFonts w:ascii="RotisSerif" w:hAnsi="RotisSerif"/>
          <w:b/>
          <w:sz w:val="24"/>
          <w:szCs w:val="24"/>
        </w:rPr>
        <w:t xml:space="preserve">B. Braun </w:t>
      </w:r>
      <w:r>
        <w:rPr>
          <w:rFonts w:ascii="RotisSerif" w:hAnsi="RotisSerif"/>
          <w:b/>
          <w:sz w:val="24"/>
          <w:szCs w:val="24"/>
        </w:rPr>
        <w:t>Avitum</w:t>
      </w:r>
      <w:r w:rsidRPr="008E2766">
        <w:rPr>
          <w:rFonts w:ascii="RotisSerif" w:hAnsi="RotisSerif"/>
          <w:b/>
          <w:sz w:val="24"/>
          <w:szCs w:val="24"/>
        </w:rPr>
        <w:t xml:space="preserve"> s.r.o.</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se sídlem: V Parku 2335/20, 148 00 Praha</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 xml:space="preserve">zastoupená: </w:t>
      </w:r>
      <w:r>
        <w:rPr>
          <w:rFonts w:ascii="RotisSerif" w:hAnsi="RotisSerif"/>
          <w:sz w:val="24"/>
          <w:szCs w:val="24"/>
        </w:rPr>
        <w:t>MUDr. Martinem Kunckem a Ing. Petrem Macounem, Ph.D., jednateli</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 xml:space="preserve">IČ: </w:t>
      </w:r>
      <w:r>
        <w:rPr>
          <w:rFonts w:ascii="RotisSerif" w:hAnsi="RotisSerif"/>
          <w:sz w:val="24"/>
          <w:szCs w:val="24"/>
        </w:rPr>
        <w:t>61856827</w:t>
      </w:r>
      <w:r w:rsidRPr="000E1570">
        <w:rPr>
          <w:rFonts w:ascii="RotisSerif" w:hAnsi="RotisSerif"/>
          <w:sz w:val="24"/>
          <w:szCs w:val="24"/>
        </w:rPr>
        <w:t xml:space="preserve"> DIČ: CZ</w:t>
      </w:r>
      <w:r>
        <w:rPr>
          <w:rFonts w:ascii="RotisSerif" w:hAnsi="RotisSerif"/>
          <w:sz w:val="24"/>
          <w:szCs w:val="24"/>
        </w:rPr>
        <w:t>61856827</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bankovní spojení: UniCredit Bank Czech Republic and Slovakia, a.s.</w:t>
      </w:r>
    </w:p>
    <w:p w:rsidR="00C21DCE" w:rsidRPr="000E1570" w:rsidRDefault="00C21DCE" w:rsidP="00C21DCE">
      <w:pPr>
        <w:spacing w:after="0" w:line="240" w:lineRule="auto"/>
        <w:rPr>
          <w:rFonts w:ascii="RotisSerif" w:hAnsi="RotisSerif"/>
          <w:sz w:val="24"/>
          <w:szCs w:val="24"/>
        </w:rPr>
      </w:pPr>
      <w:r w:rsidRPr="000E1570">
        <w:rPr>
          <w:rFonts w:ascii="RotisSerif" w:hAnsi="RotisSerif"/>
          <w:sz w:val="24"/>
          <w:szCs w:val="24"/>
        </w:rPr>
        <w:t xml:space="preserve">číslo účtu: </w:t>
      </w:r>
      <w:r w:rsidRPr="00B21269">
        <w:rPr>
          <w:rFonts w:ascii="RotisSerif" w:hAnsi="RotisSerif"/>
          <w:sz w:val="24"/>
          <w:szCs w:val="24"/>
        </w:rPr>
        <w:t>515295004/2700</w:t>
      </w:r>
    </w:p>
    <w:p w:rsidR="00C21DCE" w:rsidRDefault="00C21DCE" w:rsidP="00C21DCE">
      <w:pPr>
        <w:spacing w:after="0" w:line="240" w:lineRule="auto"/>
        <w:rPr>
          <w:rFonts w:ascii="RotisSerif" w:hAnsi="RotisSerif"/>
          <w:sz w:val="24"/>
          <w:szCs w:val="24"/>
        </w:rPr>
      </w:pPr>
      <w:r w:rsidRPr="000E1570">
        <w:rPr>
          <w:rFonts w:ascii="RotisSerif" w:hAnsi="RotisSerif"/>
          <w:sz w:val="24"/>
          <w:szCs w:val="24"/>
        </w:rPr>
        <w:t>zapsaná v obchodním rejstříku vedeném u Městského soudu v</w:t>
      </w:r>
      <w:r>
        <w:rPr>
          <w:rFonts w:ascii="RotisSerif" w:hAnsi="RotisSerif"/>
          <w:sz w:val="24"/>
          <w:szCs w:val="24"/>
        </w:rPr>
        <w:t> </w:t>
      </w:r>
      <w:r w:rsidRPr="000E1570">
        <w:rPr>
          <w:rFonts w:ascii="RotisSerif" w:hAnsi="RotisSerif"/>
          <w:sz w:val="24"/>
          <w:szCs w:val="24"/>
        </w:rPr>
        <w:t>Praze</w:t>
      </w:r>
      <w:r>
        <w:rPr>
          <w:rFonts w:ascii="RotisSerif" w:hAnsi="RotisSerif"/>
          <w:sz w:val="24"/>
          <w:szCs w:val="24"/>
        </w:rPr>
        <w:t>,</w:t>
      </w:r>
      <w:r w:rsidRPr="000E1570">
        <w:rPr>
          <w:rFonts w:ascii="RotisSerif" w:hAnsi="RotisSerif"/>
          <w:sz w:val="24"/>
          <w:szCs w:val="24"/>
        </w:rPr>
        <w:t xml:space="preserve"> oddíl C</w:t>
      </w:r>
      <w:r>
        <w:rPr>
          <w:rFonts w:ascii="RotisSerif" w:hAnsi="RotisSerif"/>
          <w:sz w:val="24"/>
          <w:szCs w:val="24"/>
        </w:rPr>
        <w:t>,</w:t>
      </w:r>
      <w:r w:rsidRPr="000E1570">
        <w:rPr>
          <w:rFonts w:ascii="RotisSerif" w:hAnsi="RotisSerif"/>
          <w:sz w:val="24"/>
          <w:szCs w:val="24"/>
        </w:rPr>
        <w:t xml:space="preserve"> vložka </w:t>
      </w:r>
      <w:r>
        <w:rPr>
          <w:rFonts w:ascii="RotisSerif" w:hAnsi="RotisSerif"/>
          <w:sz w:val="24"/>
          <w:szCs w:val="24"/>
        </w:rPr>
        <w:t>31 711</w:t>
      </w:r>
    </w:p>
    <w:p w:rsidR="00C21DCE" w:rsidRDefault="00C21DCE" w:rsidP="00C21DCE">
      <w:pPr>
        <w:spacing w:after="0" w:line="240" w:lineRule="auto"/>
        <w:rPr>
          <w:rFonts w:ascii="RotisSerif" w:hAnsi="RotisSerif"/>
          <w:sz w:val="24"/>
          <w:szCs w:val="24"/>
        </w:rPr>
      </w:pPr>
      <w:r w:rsidRPr="000E1570">
        <w:rPr>
          <w:rFonts w:ascii="RotisSerif" w:hAnsi="RotisSerif"/>
          <w:sz w:val="24"/>
          <w:szCs w:val="24"/>
        </w:rPr>
        <w:t>(dále jen „</w:t>
      </w:r>
      <w:r>
        <w:rPr>
          <w:rFonts w:ascii="RotisSerif" w:hAnsi="RotisSerif"/>
          <w:b/>
          <w:sz w:val="24"/>
          <w:szCs w:val="24"/>
        </w:rPr>
        <w:t>Nájemce</w:t>
      </w:r>
      <w:r w:rsidRPr="000E1570">
        <w:rPr>
          <w:rFonts w:ascii="RotisSerif" w:hAnsi="RotisSerif"/>
          <w:sz w:val="24"/>
          <w:szCs w:val="24"/>
        </w:rPr>
        <w:t>“)</w:t>
      </w:r>
      <w:r>
        <w:rPr>
          <w:rFonts w:ascii="RotisSerif" w:hAnsi="RotisSerif"/>
          <w:sz w:val="24"/>
          <w:szCs w:val="24"/>
        </w:rPr>
        <w:t xml:space="preserve"> </w:t>
      </w:r>
    </w:p>
    <w:p w:rsidR="00C21DCE" w:rsidRPr="000E1570" w:rsidRDefault="00C21DCE" w:rsidP="00C21DCE">
      <w:pPr>
        <w:spacing w:after="0" w:line="240" w:lineRule="auto"/>
        <w:rPr>
          <w:rFonts w:ascii="RotisSerif" w:hAnsi="RotisSerif"/>
          <w:sz w:val="24"/>
          <w:szCs w:val="24"/>
        </w:rPr>
      </w:pPr>
    </w:p>
    <w:p w:rsidR="00C21DCE" w:rsidRDefault="00C21DCE" w:rsidP="00C21DCE">
      <w:pPr>
        <w:pStyle w:val="LEG1"/>
        <w:numPr>
          <w:ilvl w:val="0"/>
          <w:numId w:val="0"/>
        </w:numPr>
      </w:pPr>
      <w:r w:rsidRPr="00B817E2">
        <w:t>vzhledem k tomu, že dospěly k vzájemné a úplné shodě v níže uvedených skutečnostech, rozhod</w:t>
      </w:r>
      <w:r>
        <w:t>ly se uzavřít tento Dodatek č. 1 ke S</w:t>
      </w:r>
      <w:r w:rsidRPr="00E707E7">
        <w:t xml:space="preserve">mlouvě </w:t>
      </w:r>
      <w:r w:rsidRPr="00B817E2">
        <w:t>(dále jen „</w:t>
      </w:r>
      <w:r>
        <w:rPr>
          <w:b/>
        </w:rPr>
        <w:t>D</w:t>
      </w:r>
      <w:r w:rsidRPr="00B817E2">
        <w:rPr>
          <w:b/>
        </w:rPr>
        <w:t>odatek</w:t>
      </w:r>
      <w:r w:rsidRPr="00B817E2">
        <w:t>“):</w:t>
      </w:r>
    </w:p>
    <w:p w:rsidR="00C21DCE" w:rsidRDefault="00C21DCE" w:rsidP="00C21DCE">
      <w:pPr>
        <w:pStyle w:val="LEG1"/>
        <w:numPr>
          <w:ilvl w:val="0"/>
          <w:numId w:val="0"/>
        </w:numPr>
      </w:pPr>
    </w:p>
    <w:p w:rsidR="00C21DCE" w:rsidRPr="00A6462F" w:rsidRDefault="00C21DCE" w:rsidP="00C21DCE">
      <w:pPr>
        <w:pStyle w:val="NadpisLEG"/>
        <w:ind w:left="0" w:firstLine="284"/>
      </w:pPr>
      <w:r>
        <w:t>Předmět dodatku</w:t>
      </w:r>
    </w:p>
    <w:p w:rsidR="00C21DCE" w:rsidRDefault="00C21DCE" w:rsidP="00C21DCE">
      <w:pPr>
        <w:pStyle w:val="LEG1"/>
        <w:ind w:left="709" w:hanging="709"/>
      </w:pPr>
      <w:r>
        <w:t>Smluvní strany se dohodly na zrušení odst. 2., čl. I. (Předmět smlouvy a předmět nájmu) Smlouvy a jeho nahrazení novým odst. 2. následujícího znění:</w:t>
      </w:r>
    </w:p>
    <w:p w:rsidR="00C21DCE" w:rsidRDefault="00C21DCE" w:rsidP="00C21DCE">
      <w:pPr>
        <w:pStyle w:val="LEG1"/>
        <w:numPr>
          <w:ilvl w:val="0"/>
          <w:numId w:val="0"/>
        </w:numPr>
        <w:ind w:left="1414" w:hanging="705"/>
      </w:pPr>
      <w:r>
        <w:t>„</w:t>
      </w:r>
      <w:r w:rsidRPr="000B6A14">
        <w:rPr>
          <w:i/>
        </w:rPr>
        <w:t>2.</w:t>
      </w:r>
      <w:r w:rsidRPr="000B6A14">
        <w:rPr>
          <w:i/>
        </w:rPr>
        <w:tab/>
        <w:t>Předměte</w:t>
      </w:r>
      <w:r w:rsidR="00E47CC4">
        <w:rPr>
          <w:i/>
        </w:rPr>
        <w:t>m nájmu jsou prostory sloužící</w:t>
      </w:r>
      <w:r w:rsidRPr="000B6A14">
        <w:rPr>
          <w:i/>
        </w:rPr>
        <w:t xml:space="preserve"> podnikání ve  stavbě občanského vybavení bez č.p. na pozemku p.č.st. 4190 (pavilon C v areálu Městské nemocnice s poliklinikou Uh. Brod, s.r.o., ul. Partyzánů 2174, 688 01 Uherský Brod) vedené na listu vlastnictví č. 5540 pro obec a katastrální území Uherský Brod, a to </w:t>
      </w:r>
      <w:r>
        <w:rPr>
          <w:i/>
        </w:rPr>
        <w:t>v</w:t>
      </w:r>
      <w:r w:rsidRPr="000B6A14">
        <w:rPr>
          <w:i/>
        </w:rPr>
        <w:t xml:space="preserve"> V. nadzemním podlaží o celkové výměře </w:t>
      </w:r>
      <w:r>
        <w:rPr>
          <w:i/>
        </w:rPr>
        <w:t>675 </w:t>
      </w:r>
      <w:r w:rsidRPr="000B6A14">
        <w:rPr>
          <w:i/>
        </w:rPr>
        <w:t>m</w:t>
      </w:r>
      <w:r w:rsidRPr="00CC70D8">
        <w:rPr>
          <w:i/>
          <w:vertAlign w:val="superscript"/>
        </w:rPr>
        <w:t>2</w:t>
      </w:r>
      <w:r>
        <w:rPr>
          <w:i/>
        </w:rPr>
        <w:t>, skládající se z prostor dialyzačního střediska a nefrologické ambulance o výměře</w:t>
      </w:r>
      <w:r>
        <w:rPr>
          <w:i/>
          <w:vertAlign w:val="superscript"/>
        </w:rPr>
        <w:t xml:space="preserve"> </w:t>
      </w:r>
      <w:r w:rsidRPr="000B6A14">
        <w:rPr>
          <w:i/>
        </w:rPr>
        <w:t>(dále jen „nebytové prostory“ nebo „předmět nájmu“). Pronajímatel prohlašuje, že je vlastníkem předmětu nájmu a je oprávněn jej pronajmout.</w:t>
      </w:r>
      <w:r>
        <w:t>“</w:t>
      </w:r>
    </w:p>
    <w:p w:rsidR="00C21DCE" w:rsidRDefault="00C21DCE" w:rsidP="00C21DCE">
      <w:pPr>
        <w:pStyle w:val="LEG1"/>
        <w:ind w:left="709" w:hanging="709"/>
      </w:pPr>
      <w:r>
        <w:t>Smluvní strany se dohodly na zrušení odst. 1., čl. III. (Výše nájemného, služby, platební podmínky) Smlouvy a jeho nahrazení novým odst. č. 1 následujícího znění:</w:t>
      </w:r>
    </w:p>
    <w:p w:rsidR="00C21DCE" w:rsidRDefault="00C21DCE" w:rsidP="00C21DCE">
      <w:pPr>
        <w:pStyle w:val="LEG1"/>
        <w:numPr>
          <w:ilvl w:val="0"/>
          <w:numId w:val="0"/>
        </w:numPr>
        <w:ind w:left="1414" w:hanging="705"/>
        <w:rPr>
          <w:i/>
        </w:rPr>
      </w:pPr>
      <w:r>
        <w:t>„</w:t>
      </w:r>
      <w:r w:rsidRPr="009F3828">
        <w:rPr>
          <w:i/>
        </w:rPr>
        <w:t>1.</w:t>
      </w:r>
      <w:r>
        <w:t xml:space="preserve"> </w:t>
      </w:r>
      <w:r>
        <w:tab/>
      </w:r>
      <w:r w:rsidRPr="009F3828">
        <w:rPr>
          <w:i/>
        </w:rPr>
        <w:t>Nájemce se zavazuje zaplatit Pronajímateli za užívání předmětu nájmu smluvní nájemné, které se dohodou sjednává následovně:</w:t>
      </w:r>
    </w:p>
    <w:p w:rsidR="00C21DCE" w:rsidRDefault="00C21DCE" w:rsidP="00C21DCE">
      <w:pPr>
        <w:pStyle w:val="LEG1"/>
        <w:numPr>
          <w:ilvl w:val="0"/>
          <w:numId w:val="0"/>
        </w:numPr>
        <w:ind w:left="1414" w:hanging="705"/>
        <w:rPr>
          <w:i/>
        </w:rPr>
      </w:pPr>
      <w:r>
        <w:rPr>
          <w:i/>
        </w:rPr>
        <w:tab/>
        <w:t>1.800,- Kč/m</w:t>
      </w:r>
      <w:r>
        <w:rPr>
          <w:i/>
          <w:vertAlign w:val="superscript"/>
        </w:rPr>
        <w:t>2</w:t>
      </w:r>
      <w:r>
        <w:rPr>
          <w:i/>
        </w:rPr>
        <w:t xml:space="preserve">/rok za nebytové prostory v V. nadzemním podlaží o celkové </w:t>
      </w:r>
      <w:r>
        <w:rPr>
          <w:i/>
        </w:rPr>
        <w:lastRenderedPageBreak/>
        <w:t>výměře 189 m</w:t>
      </w:r>
      <w:r>
        <w:rPr>
          <w:i/>
          <w:vertAlign w:val="superscript"/>
        </w:rPr>
        <w:t>2</w:t>
      </w:r>
      <w:r>
        <w:rPr>
          <w:i/>
        </w:rPr>
        <w:t>;</w:t>
      </w:r>
    </w:p>
    <w:p w:rsidR="00C21DCE" w:rsidRDefault="00C21DCE" w:rsidP="00C21DCE">
      <w:pPr>
        <w:pStyle w:val="LEG1"/>
        <w:numPr>
          <w:ilvl w:val="0"/>
          <w:numId w:val="0"/>
        </w:numPr>
        <w:ind w:left="1414"/>
        <w:rPr>
          <w:i/>
        </w:rPr>
      </w:pPr>
      <w:r>
        <w:rPr>
          <w:i/>
        </w:rPr>
        <w:t>1.450,- Kč/m</w:t>
      </w:r>
      <w:r>
        <w:rPr>
          <w:i/>
          <w:vertAlign w:val="superscript"/>
        </w:rPr>
        <w:t>2</w:t>
      </w:r>
      <w:r>
        <w:rPr>
          <w:i/>
        </w:rPr>
        <w:t>/rok za nebytové prostory v V. nadzemním podlaží o celkové výměře 406 m</w:t>
      </w:r>
      <w:r>
        <w:rPr>
          <w:i/>
          <w:vertAlign w:val="superscript"/>
        </w:rPr>
        <w:t>2</w:t>
      </w:r>
      <w:r>
        <w:rPr>
          <w:i/>
        </w:rPr>
        <w:t>;</w:t>
      </w:r>
    </w:p>
    <w:p w:rsidR="00C21DCE" w:rsidRDefault="00C21DCE" w:rsidP="00C21DCE">
      <w:pPr>
        <w:pStyle w:val="LEG1"/>
        <w:numPr>
          <w:ilvl w:val="0"/>
          <w:numId w:val="0"/>
        </w:numPr>
        <w:ind w:left="1414" w:hanging="705"/>
        <w:rPr>
          <w:i/>
        </w:rPr>
      </w:pPr>
      <w:r>
        <w:rPr>
          <w:i/>
        </w:rPr>
        <w:tab/>
        <w:t>450,- Kč/m</w:t>
      </w:r>
      <w:r>
        <w:rPr>
          <w:i/>
          <w:vertAlign w:val="superscript"/>
        </w:rPr>
        <w:t>2</w:t>
      </w:r>
      <w:r>
        <w:rPr>
          <w:i/>
        </w:rPr>
        <w:t>/rok za nebytové prostory umístěné v V. nadzemním podlaží o celkové výměře 80 m</w:t>
      </w:r>
      <w:r>
        <w:rPr>
          <w:i/>
          <w:vertAlign w:val="superscript"/>
        </w:rPr>
        <w:t>2</w:t>
      </w:r>
      <w:r>
        <w:rPr>
          <w:i/>
        </w:rPr>
        <w:t>;</w:t>
      </w:r>
    </w:p>
    <w:p w:rsidR="00C21DCE" w:rsidRPr="004E3BC3" w:rsidRDefault="00C21DCE" w:rsidP="00C21DCE">
      <w:pPr>
        <w:pStyle w:val="LEG1"/>
        <w:numPr>
          <w:ilvl w:val="0"/>
          <w:numId w:val="0"/>
        </w:numPr>
        <w:ind w:left="1414" w:hanging="705"/>
        <w:rPr>
          <w:i/>
        </w:rPr>
      </w:pPr>
      <w:r>
        <w:tab/>
      </w:r>
      <w:r w:rsidRPr="004E3BC3">
        <w:rPr>
          <w:i/>
        </w:rPr>
        <w:t>Specifikace nebytových prostor je uvedena ve Výměru nájemného jako přílohy č. 2, která je nedílnou součástí této smlouvy. Dohodnuté celkové roční ná</w:t>
      </w:r>
      <w:r>
        <w:rPr>
          <w:i/>
        </w:rPr>
        <w:t>jemné dle tohoto odstavce činí 964.900,-</w:t>
      </w:r>
      <w:r w:rsidRPr="004E3BC3">
        <w:rPr>
          <w:i/>
        </w:rPr>
        <w:t xml:space="preserve"> Kč.</w:t>
      </w:r>
    </w:p>
    <w:p w:rsidR="00C21DCE" w:rsidRPr="00BC7C34" w:rsidRDefault="00C21DCE" w:rsidP="00C21DCE">
      <w:pPr>
        <w:pStyle w:val="LEG1"/>
        <w:numPr>
          <w:ilvl w:val="0"/>
          <w:numId w:val="0"/>
        </w:numPr>
        <w:ind w:left="1414" w:hanging="705"/>
        <w:rPr>
          <w:i/>
        </w:rPr>
      </w:pPr>
      <w:r w:rsidRPr="004E3BC3">
        <w:rPr>
          <w:i/>
        </w:rPr>
        <w:tab/>
        <w:t>Smluvní strany se do</w:t>
      </w:r>
      <w:r>
        <w:rPr>
          <w:i/>
        </w:rPr>
        <w:t>hodly, že Pronajímatel nebude u </w:t>
      </w:r>
      <w:r w:rsidRPr="004E3BC3">
        <w:rPr>
          <w:i/>
        </w:rPr>
        <w:t>nájemného uplatňovat DPH.</w:t>
      </w:r>
    </w:p>
    <w:p w:rsidR="00C21DCE" w:rsidRDefault="00C21DCE" w:rsidP="00C21DCE">
      <w:pPr>
        <w:pStyle w:val="LEG1"/>
        <w:ind w:left="709" w:hanging="709"/>
      </w:pPr>
      <w:r>
        <w:t>Vzhledem k tom</w:t>
      </w:r>
      <w:r w:rsidR="00695F7A">
        <w:t>u</w:t>
      </w:r>
      <w:r>
        <w:t xml:space="preserve">, že obě smluvní strany mají zájem na zkvalitnění prostředí předmětu nájmu </w:t>
      </w:r>
      <w:r w:rsidR="00735053">
        <w:t>pro poskytování zdravotní péče N</w:t>
      </w:r>
      <w:r>
        <w:t xml:space="preserve">ájemce, vzájemně se dohodly na  provedení rekonstrukce předmětu nájmu a za tím účelem vkládají do Smlouvy článek </w:t>
      </w:r>
      <w:r w:rsidRPr="00D27414">
        <w:rPr>
          <w:i/>
        </w:rPr>
        <w:t>III. A. Rekonstrukce předmětu nájmu</w:t>
      </w:r>
      <w:r>
        <w:t xml:space="preserve">, následujícího znění: </w:t>
      </w:r>
    </w:p>
    <w:p w:rsidR="00C21DCE" w:rsidRDefault="00C21DCE" w:rsidP="00C21DCE">
      <w:pPr>
        <w:pStyle w:val="LEG1"/>
        <w:numPr>
          <w:ilvl w:val="0"/>
          <w:numId w:val="0"/>
        </w:numPr>
        <w:ind w:left="2832"/>
      </w:pPr>
      <w:r>
        <w:t xml:space="preserve">„ </w:t>
      </w:r>
      <w:r w:rsidRPr="00D62B52">
        <w:rPr>
          <w:i/>
        </w:rPr>
        <w:t>III. A. Rekonstrukce předmětu nájmu</w:t>
      </w:r>
    </w:p>
    <w:p w:rsidR="00C21DCE" w:rsidRDefault="00C21DCE" w:rsidP="00C21DCE">
      <w:pPr>
        <w:pStyle w:val="LEG2"/>
        <w:numPr>
          <w:ilvl w:val="0"/>
          <w:numId w:val="0"/>
        </w:numPr>
        <w:ind w:left="1710" w:hanging="859"/>
        <w:rPr>
          <w:i/>
        </w:rPr>
      </w:pPr>
      <w:r>
        <w:rPr>
          <w:i/>
        </w:rPr>
        <w:t>1.</w:t>
      </w:r>
      <w:r>
        <w:rPr>
          <w:i/>
        </w:rPr>
        <w:tab/>
        <w:t>N</w:t>
      </w:r>
      <w:r w:rsidRPr="00D27414">
        <w:rPr>
          <w:i/>
        </w:rPr>
        <w:t>ájemce provede rekonstrukci předmětu nájmu, kterou se rozšíří celkový počet dialyzačních míst a dojde ke změně dispozice místností v předmětu nájmu tak, že do předmětu nájmu bude možné přemístit technologii reverzní osmózy a prostory skladu, kter</w:t>
      </w:r>
      <w:r>
        <w:rPr>
          <w:i/>
        </w:rPr>
        <w:t>é</w:t>
      </w:r>
      <w:r w:rsidRPr="00D27414">
        <w:rPr>
          <w:i/>
        </w:rPr>
        <w:t xml:space="preserve"> má </w:t>
      </w:r>
      <w:r>
        <w:rPr>
          <w:i/>
        </w:rPr>
        <w:t>N</w:t>
      </w:r>
      <w:r w:rsidRPr="00D27414">
        <w:rPr>
          <w:i/>
        </w:rPr>
        <w:t xml:space="preserve">ájemce v současné době umístěné ve </w:t>
      </w:r>
      <w:r w:rsidR="009228C7">
        <w:rPr>
          <w:i/>
        </w:rPr>
        <w:t>I</w:t>
      </w:r>
      <w:r w:rsidRPr="00D27414">
        <w:rPr>
          <w:i/>
        </w:rPr>
        <w:t>V. nadzemním podlaží budovy, ve které se nachází předmět nájmu</w:t>
      </w:r>
      <w:r>
        <w:rPr>
          <w:i/>
        </w:rPr>
        <w:t>.</w:t>
      </w:r>
    </w:p>
    <w:p w:rsidR="00C21DCE" w:rsidRDefault="00C21DCE" w:rsidP="00C21DCE">
      <w:pPr>
        <w:pStyle w:val="LEG2"/>
        <w:numPr>
          <w:ilvl w:val="0"/>
          <w:numId w:val="0"/>
        </w:numPr>
        <w:ind w:left="1710" w:hanging="859"/>
        <w:rPr>
          <w:i/>
        </w:rPr>
      </w:pPr>
      <w:r>
        <w:rPr>
          <w:i/>
        </w:rPr>
        <w:t>2.</w:t>
      </w:r>
      <w:r>
        <w:rPr>
          <w:i/>
        </w:rPr>
        <w:tab/>
        <w:t>Předpokládaná</w:t>
      </w:r>
      <w:r w:rsidRPr="00D27414">
        <w:rPr>
          <w:i/>
        </w:rPr>
        <w:t xml:space="preserve"> výše investice do rekonstrukce předmětu nájmu ze strany </w:t>
      </w:r>
      <w:r>
        <w:rPr>
          <w:i/>
        </w:rPr>
        <w:t>N</w:t>
      </w:r>
      <w:r w:rsidRPr="00D27414">
        <w:rPr>
          <w:i/>
        </w:rPr>
        <w:t xml:space="preserve">ájemce </w:t>
      </w:r>
      <w:r>
        <w:rPr>
          <w:i/>
        </w:rPr>
        <w:t>činí</w:t>
      </w:r>
      <w:r w:rsidRPr="00D27414">
        <w:rPr>
          <w:i/>
        </w:rPr>
        <w:t xml:space="preserve"> 4.000.000,- Kč bez DPH; </w:t>
      </w:r>
      <w:r>
        <w:rPr>
          <w:i/>
        </w:rPr>
        <w:t>předpokládaná</w:t>
      </w:r>
      <w:r w:rsidRPr="00D27414">
        <w:rPr>
          <w:i/>
        </w:rPr>
        <w:t xml:space="preserve"> výše</w:t>
      </w:r>
      <w:r>
        <w:rPr>
          <w:i/>
        </w:rPr>
        <w:t xml:space="preserve"> </w:t>
      </w:r>
      <w:r w:rsidRPr="00D27414">
        <w:rPr>
          <w:i/>
        </w:rPr>
        <w:t xml:space="preserve">investice bude upřesněna po vyhotovení </w:t>
      </w:r>
      <w:r>
        <w:rPr>
          <w:i/>
        </w:rPr>
        <w:t>projektu</w:t>
      </w:r>
      <w:r w:rsidRPr="00D27414">
        <w:rPr>
          <w:i/>
        </w:rPr>
        <w:t> </w:t>
      </w:r>
      <w:r>
        <w:rPr>
          <w:i/>
        </w:rPr>
        <w:t>rekonstrukce</w:t>
      </w:r>
      <w:r w:rsidRPr="00D27414">
        <w:rPr>
          <w:i/>
        </w:rPr>
        <w:t xml:space="preserve"> předmětu nájmu</w:t>
      </w:r>
      <w:r>
        <w:rPr>
          <w:i/>
        </w:rPr>
        <w:t xml:space="preserve"> (dále jen „</w:t>
      </w:r>
      <w:r w:rsidRPr="00D27414">
        <w:rPr>
          <w:b/>
          <w:i/>
        </w:rPr>
        <w:t>projekt rekonstrukce</w:t>
      </w:r>
      <w:r>
        <w:rPr>
          <w:i/>
        </w:rPr>
        <w:t>“), který Nájemce předloží P</w:t>
      </w:r>
      <w:r w:rsidRPr="00D27414">
        <w:rPr>
          <w:i/>
        </w:rPr>
        <w:t>ronajímateli</w:t>
      </w:r>
      <w:r>
        <w:rPr>
          <w:i/>
        </w:rPr>
        <w:t>.</w:t>
      </w:r>
    </w:p>
    <w:p w:rsidR="00C21DCE" w:rsidRPr="00D27414" w:rsidRDefault="00C21DCE" w:rsidP="00C21DCE">
      <w:pPr>
        <w:pStyle w:val="LEG2"/>
        <w:numPr>
          <w:ilvl w:val="0"/>
          <w:numId w:val="0"/>
        </w:numPr>
        <w:ind w:left="1710" w:hanging="859"/>
        <w:rPr>
          <w:i/>
        </w:rPr>
      </w:pPr>
      <w:r>
        <w:rPr>
          <w:i/>
        </w:rPr>
        <w:t>3.</w:t>
      </w:r>
      <w:r>
        <w:rPr>
          <w:i/>
        </w:rPr>
        <w:tab/>
        <w:t xml:space="preserve">Nejpozději 15 dní od předložení projektu rekonstrukce se Pronajímatel zavazuje vydat </w:t>
      </w:r>
      <w:r w:rsidR="00735053">
        <w:rPr>
          <w:i/>
        </w:rPr>
        <w:t>N</w:t>
      </w:r>
      <w:r>
        <w:rPr>
          <w:i/>
        </w:rPr>
        <w:t>ájemci souhlas s provedením stavebních úprav, nezbytný pro získání stavebního povolení; Pronajímatel je oprávněn odmítnout vydání souhlasu s provedením stavebních úprav v případě, že projekt rekonstrukce bude v rozporu se zákonnými předpisy nebo by rekonstrukce znemožnila další užívání předmětu nájmu.</w:t>
      </w:r>
    </w:p>
    <w:p w:rsidR="00C21DCE" w:rsidRDefault="00C21DCE" w:rsidP="00C21DCE">
      <w:pPr>
        <w:pStyle w:val="LEG2"/>
        <w:numPr>
          <w:ilvl w:val="0"/>
          <w:numId w:val="0"/>
        </w:numPr>
        <w:ind w:left="1710" w:hanging="859"/>
        <w:rPr>
          <w:i/>
        </w:rPr>
      </w:pPr>
      <w:r>
        <w:rPr>
          <w:i/>
        </w:rPr>
        <w:t>4.</w:t>
      </w:r>
      <w:r>
        <w:rPr>
          <w:i/>
        </w:rPr>
        <w:tab/>
        <w:t>N</w:t>
      </w:r>
      <w:r w:rsidRPr="009C2DAD">
        <w:rPr>
          <w:i/>
        </w:rPr>
        <w:t>ájemce provede rekonstrukci předmětu nájmu v</w:t>
      </w:r>
      <w:r>
        <w:rPr>
          <w:i/>
        </w:rPr>
        <w:t> </w:t>
      </w:r>
      <w:r w:rsidRPr="009C2DAD">
        <w:rPr>
          <w:i/>
        </w:rPr>
        <w:t>průběhu kalendářního roku 2017</w:t>
      </w:r>
      <w:r>
        <w:rPr>
          <w:i/>
        </w:rPr>
        <w:t>.</w:t>
      </w:r>
    </w:p>
    <w:p w:rsidR="00C21DCE" w:rsidRDefault="00C21DCE" w:rsidP="00C21DCE">
      <w:pPr>
        <w:pStyle w:val="LEG2"/>
        <w:numPr>
          <w:ilvl w:val="0"/>
          <w:numId w:val="0"/>
        </w:numPr>
        <w:ind w:left="1710" w:hanging="859"/>
        <w:rPr>
          <w:i/>
        </w:rPr>
      </w:pPr>
      <w:r>
        <w:rPr>
          <w:i/>
        </w:rPr>
        <w:t>5.</w:t>
      </w:r>
      <w:r>
        <w:rPr>
          <w:i/>
        </w:rPr>
        <w:tab/>
        <w:t>Pronajímatel je povinen poskytnout Nájemci a jeho dodavatelům veškerou nezbytnou součinnost k provedení rekonstrukce.</w:t>
      </w:r>
    </w:p>
    <w:p w:rsidR="00C21DCE" w:rsidRDefault="00C21DCE" w:rsidP="00C21DCE">
      <w:pPr>
        <w:pStyle w:val="LEG2"/>
        <w:numPr>
          <w:ilvl w:val="0"/>
          <w:numId w:val="0"/>
        </w:numPr>
        <w:ind w:left="1710" w:hanging="859"/>
        <w:rPr>
          <w:i/>
        </w:rPr>
      </w:pPr>
      <w:r>
        <w:rPr>
          <w:i/>
        </w:rPr>
        <w:t>6.</w:t>
      </w:r>
      <w:r>
        <w:rPr>
          <w:i/>
        </w:rPr>
        <w:tab/>
      </w:r>
      <w:r w:rsidRPr="00C04D7B">
        <w:rPr>
          <w:i/>
        </w:rPr>
        <w:t xml:space="preserve">Smluvní strany </w:t>
      </w:r>
      <w:r>
        <w:rPr>
          <w:i/>
        </w:rPr>
        <w:t xml:space="preserve">se dohodly, že po nabytí právní moci rozhodnutí o kolaudaci předmětu nájmu po provedené rekonstrukci společně provedou přeměření celkové výměry předmětu nájmu. </w:t>
      </w:r>
    </w:p>
    <w:p w:rsidR="00C21DCE" w:rsidRDefault="00C21DCE" w:rsidP="00C21DCE">
      <w:pPr>
        <w:pStyle w:val="LEG2"/>
        <w:numPr>
          <w:ilvl w:val="0"/>
          <w:numId w:val="0"/>
        </w:numPr>
        <w:ind w:left="1710" w:hanging="859"/>
        <w:rPr>
          <w:i/>
        </w:rPr>
      </w:pPr>
      <w:r>
        <w:rPr>
          <w:i/>
        </w:rPr>
        <w:t>7.</w:t>
      </w:r>
      <w:r>
        <w:rPr>
          <w:i/>
        </w:rPr>
        <w:tab/>
        <w:t>Smluvní strany se dohodly, že nejpozději do 2 měsíců od nabytí právní moci rozhodnutí o kolaudaci předmětu nájmu po provedení rekon</w:t>
      </w:r>
      <w:r w:rsidR="00735053">
        <w:rPr>
          <w:i/>
        </w:rPr>
        <w:t>strukce uzavřou dodatek k této S</w:t>
      </w:r>
      <w:r>
        <w:rPr>
          <w:i/>
        </w:rPr>
        <w:t xml:space="preserve">mlouvě, ve které budou vyčísleny celkové skutečné náklady rekonstrukce, tj. celková investice vložená Nájemcem do předmětu nájmu, aktualizovaná celková výměra předmětu nájmu dle výsledku přeměření, přepočtena celková výše ročního nájmu dle aktualizované celkové výměry předmětu nájmu a zároveň aktualizována příloha č. 1 </w:t>
      </w:r>
      <w:r w:rsidR="00735053">
        <w:rPr>
          <w:i/>
        </w:rPr>
        <w:t>S</w:t>
      </w:r>
      <w:r>
        <w:rPr>
          <w:i/>
        </w:rPr>
        <w:t xml:space="preserve">mlouvy tak, aby odpovídal aktuálnímu stavu předmětu nájmu a příloha č. 2 </w:t>
      </w:r>
      <w:r w:rsidR="00735053">
        <w:rPr>
          <w:i/>
        </w:rPr>
        <w:t>S</w:t>
      </w:r>
      <w:r>
        <w:rPr>
          <w:i/>
        </w:rPr>
        <w:t>mlouvy tak, aby odpovídala aktuální výši nájemného.</w:t>
      </w:r>
    </w:p>
    <w:p w:rsidR="00C21DCE" w:rsidRDefault="00C21DCE" w:rsidP="00C21DCE">
      <w:pPr>
        <w:pStyle w:val="LEG2"/>
        <w:numPr>
          <w:ilvl w:val="0"/>
          <w:numId w:val="0"/>
        </w:numPr>
        <w:ind w:left="1710" w:hanging="859"/>
        <w:rPr>
          <w:i/>
        </w:rPr>
      </w:pPr>
      <w:r>
        <w:rPr>
          <w:i/>
        </w:rPr>
        <w:t>8.</w:t>
      </w:r>
      <w:r>
        <w:rPr>
          <w:i/>
        </w:rPr>
        <w:tab/>
        <w:t>Smluvní strany se dohodly, že celková investice vložená Nájemcem do rekonstrukce předmětu nájmu, která bude technickým zhodnocením předmětu nájmu bude odepisovat Nájemce. Pronajímatel tímto ve smyslu ust. § 28 odst. 3 zákona č. 586/1992 Sb., o daních z příjmu, v účinném znění, udílí Nájemci souhlas, aby tu část úprav předmětu nájmu, která bude v souladu s platnými a obecně závaznými právní předpisy technickým zhodnocením před</w:t>
      </w:r>
      <w:r w:rsidR="00735053">
        <w:rPr>
          <w:i/>
        </w:rPr>
        <w:t>mětu nájmu po dobu trvání této S</w:t>
      </w:r>
      <w:r>
        <w:rPr>
          <w:i/>
        </w:rPr>
        <w:t>mlouvy daňově odepisoval.</w:t>
      </w:r>
    </w:p>
    <w:p w:rsidR="00C21DCE" w:rsidRDefault="00C21DCE" w:rsidP="00C21DCE">
      <w:pPr>
        <w:pStyle w:val="LEG2"/>
        <w:numPr>
          <w:ilvl w:val="0"/>
          <w:numId w:val="0"/>
        </w:numPr>
        <w:ind w:left="1710" w:hanging="859"/>
      </w:pPr>
      <w:r>
        <w:rPr>
          <w:i/>
        </w:rPr>
        <w:t>9.</w:t>
      </w:r>
      <w:r>
        <w:rPr>
          <w:i/>
        </w:rPr>
        <w:tab/>
      </w:r>
      <w:r w:rsidRPr="003E0CFA">
        <w:rPr>
          <w:i/>
        </w:rPr>
        <w:t xml:space="preserve">V </w:t>
      </w:r>
      <w:r>
        <w:rPr>
          <w:i/>
        </w:rPr>
        <w:t xml:space="preserve">případě, že v prvních 5 letech od nabytí právní moci rozhodnutí o kolaudaci předmětu nájmu po provedené rekonstrukci dojde k ukončení </w:t>
      </w:r>
      <w:r w:rsidR="00E96B2C">
        <w:rPr>
          <w:i/>
        </w:rPr>
        <w:t>této S</w:t>
      </w:r>
      <w:r>
        <w:rPr>
          <w:i/>
        </w:rPr>
        <w:t>mlouvy</w:t>
      </w:r>
      <w:r w:rsidR="00E96B2C">
        <w:rPr>
          <w:i/>
        </w:rPr>
        <w:t xml:space="preserve"> </w:t>
      </w:r>
      <w:r>
        <w:rPr>
          <w:i/>
        </w:rPr>
        <w:t>z důvodu uvedeného v čl. V. odst.</w:t>
      </w:r>
      <w:r w:rsidR="00E96B2C">
        <w:rPr>
          <w:i/>
        </w:rPr>
        <w:t xml:space="preserve"> 2 písm. d. této S</w:t>
      </w:r>
      <w:r>
        <w:rPr>
          <w:i/>
        </w:rPr>
        <w:t>mlouvy</w:t>
      </w:r>
      <w:r w:rsidRPr="003E0CFA">
        <w:rPr>
          <w:i/>
        </w:rPr>
        <w:t xml:space="preserve">, je Pronajímatel povinen Nájemci nahradit částku odpovídající </w:t>
      </w:r>
      <w:r>
        <w:rPr>
          <w:i/>
        </w:rPr>
        <w:t xml:space="preserve">50% </w:t>
      </w:r>
      <w:r w:rsidRPr="003E0CFA">
        <w:rPr>
          <w:i/>
        </w:rPr>
        <w:t>daňové zůstatkové cen</w:t>
      </w:r>
      <w:r>
        <w:rPr>
          <w:i/>
        </w:rPr>
        <w:t>y</w:t>
      </w:r>
      <w:r w:rsidRPr="003E0CFA">
        <w:rPr>
          <w:i/>
        </w:rPr>
        <w:t xml:space="preserve"> technického zhodnocení</w:t>
      </w:r>
      <w:r>
        <w:rPr>
          <w:i/>
        </w:rPr>
        <w:t xml:space="preserve"> </w:t>
      </w:r>
      <w:r w:rsidR="00A417FC">
        <w:rPr>
          <w:i/>
        </w:rPr>
        <w:t>stavebního charakteru</w:t>
      </w:r>
      <w:r>
        <w:rPr>
          <w:i/>
        </w:rPr>
        <w:t xml:space="preserve"> dle tohoto článku</w:t>
      </w:r>
      <w:r w:rsidRPr="003E0CFA">
        <w:rPr>
          <w:i/>
        </w:rPr>
        <w:t xml:space="preserve"> na straně Nájemce.</w:t>
      </w:r>
      <w:r w:rsidRPr="008F312A">
        <w:t xml:space="preserve"> </w:t>
      </w:r>
    </w:p>
    <w:p w:rsidR="00C21DCE" w:rsidRDefault="00C21DCE" w:rsidP="00C21DCE">
      <w:pPr>
        <w:pStyle w:val="LEG2"/>
        <w:numPr>
          <w:ilvl w:val="0"/>
          <w:numId w:val="0"/>
        </w:numPr>
        <w:ind w:left="1710" w:hanging="859"/>
      </w:pPr>
    </w:p>
    <w:p w:rsidR="00C21DCE" w:rsidRPr="00695F7A" w:rsidRDefault="00C21DCE" w:rsidP="00695F7A">
      <w:pPr>
        <w:pStyle w:val="LEG2"/>
        <w:numPr>
          <w:ilvl w:val="0"/>
          <w:numId w:val="0"/>
        </w:numPr>
        <w:ind w:left="1710" w:hanging="859"/>
      </w:pPr>
      <w:r w:rsidRPr="00695F7A">
        <w:t xml:space="preserve">10. </w:t>
      </w:r>
      <w:r w:rsidR="00695F7A" w:rsidRPr="00695F7A">
        <w:tab/>
      </w:r>
      <w:r w:rsidRPr="00695F7A">
        <w:t>V</w:t>
      </w:r>
      <w:r w:rsidR="00695F7A" w:rsidRPr="00695F7A">
        <w:t> ostatních případech</w:t>
      </w:r>
      <w:r w:rsidR="00E96B2C">
        <w:t xml:space="preserve"> ukončení této S</w:t>
      </w:r>
      <w:r w:rsidRPr="00695F7A">
        <w:t>mlouvy</w:t>
      </w:r>
      <w:r w:rsidR="003E3F48">
        <w:t>, než je uvedeno v odst. 9 tohoto článku,</w:t>
      </w:r>
      <w:r w:rsidRPr="00695F7A">
        <w:t xml:space="preserve"> nebude zůstatková hodnota neodepsaného te</w:t>
      </w:r>
      <w:r w:rsidR="00E96B2C">
        <w:t>chnického zhodnocení na straně N</w:t>
      </w:r>
      <w:r w:rsidRPr="00695F7A">
        <w:t>ájemce předm</w:t>
      </w:r>
      <w:r w:rsidR="00695F7A" w:rsidRPr="00695F7A">
        <w:t>ětem finančního vyrovnání mezi Pronajímatelem a N</w:t>
      </w:r>
      <w:r w:rsidR="00735053">
        <w:t>ájemcem. Nájemce je povinen P</w:t>
      </w:r>
      <w:r w:rsidRPr="00695F7A">
        <w:t>ronajímateli sdělit zůstatkovou hodnotu technick</w:t>
      </w:r>
      <w:r w:rsidR="00735053">
        <w:t>ého zhodnocení ke dni ukončení S</w:t>
      </w:r>
      <w:r w:rsidRPr="00695F7A">
        <w:t xml:space="preserve">mlouvy a doložit ji příslušným účetním dokladem. </w:t>
      </w:r>
    </w:p>
    <w:p w:rsidR="00C21DCE" w:rsidRDefault="00695F7A" w:rsidP="00C21DCE">
      <w:pPr>
        <w:pStyle w:val="LEG2"/>
        <w:numPr>
          <w:ilvl w:val="0"/>
          <w:numId w:val="0"/>
        </w:numPr>
        <w:ind w:left="1710" w:hanging="859"/>
      </w:pPr>
      <w:r>
        <w:rPr>
          <w:i/>
        </w:rPr>
        <w:t>11</w:t>
      </w:r>
      <w:r w:rsidR="00C21DCE" w:rsidRPr="009E615C">
        <w:rPr>
          <w:i/>
        </w:rPr>
        <w:t>.</w:t>
      </w:r>
      <w:r w:rsidR="00C21DCE" w:rsidRPr="009E615C">
        <w:rPr>
          <w:i/>
        </w:rPr>
        <w:tab/>
      </w:r>
      <w:r w:rsidR="00C21DCE">
        <w:rPr>
          <w:i/>
        </w:rPr>
        <w:t>V</w:t>
      </w:r>
      <w:r w:rsidR="00C21DCE" w:rsidRPr="009E615C">
        <w:rPr>
          <w:i/>
        </w:rPr>
        <w:t xml:space="preserve">zhledem k výši investice Nájemce do rekonstrukce předmětu nájmu, se smluvní strany dohodly, že dnem nabytí právní moci rozhodnutí o kolaudaci předmětu nájmu po provedené rekonstrukci, bude upravena cena nájemného </w:t>
      </w:r>
      <w:r w:rsidR="00C21DCE">
        <w:rPr>
          <w:i/>
        </w:rPr>
        <w:t>na jednotnou částku 1.450,</w:t>
      </w:r>
      <w:r w:rsidR="00C21DCE">
        <w:rPr>
          <w:i/>
        </w:rPr>
        <w:noBreakHyphen/>
        <w:t> </w:t>
      </w:r>
      <w:r w:rsidR="00C21DCE" w:rsidRPr="00C04D7B">
        <w:t>Kč/m</w:t>
      </w:r>
      <w:r w:rsidR="00C21DCE" w:rsidRPr="00C04D7B">
        <w:rPr>
          <w:vertAlign w:val="superscript"/>
        </w:rPr>
        <w:t>2</w:t>
      </w:r>
      <w:r w:rsidR="00C21DCE" w:rsidRPr="00C04D7B">
        <w:t>/rok</w:t>
      </w:r>
      <w:r w:rsidR="00C21DCE">
        <w:t xml:space="preserve">. </w:t>
      </w:r>
    </w:p>
    <w:p w:rsidR="00C21DCE" w:rsidRPr="003E477A" w:rsidRDefault="00695F7A" w:rsidP="00C21DCE">
      <w:pPr>
        <w:pStyle w:val="LEG2"/>
        <w:numPr>
          <w:ilvl w:val="0"/>
          <w:numId w:val="0"/>
        </w:numPr>
        <w:ind w:left="1710" w:hanging="859"/>
        <w:rPr>
          <w:i/>
        </w:rPr>
      </w:pPr>
      <w:r>
        <w:rPr>
          <w:i/>
        </w:rPr>
        <w:t>12</w:t>
      </w:r>
      <w:r w:rsidR="00C21DCE">
        <w:rPr>
          <w:i/>
        </w:rPr>
        <w:t>.</w:t>
      </w:r>
      <w:r w:rsidR="00C21DCE">
        <w:tab/>
      </w:r>
      <w:r w:rsidR="00C21DCE" w:rsidRPr="00691D8E">
        <w:rPr>
          <w:i/>
        </w:rPr>
        <w:t>Smluvní strany se dohodly, že do doby uzavření dodatku dle odst. 7. tohoto článku bude pro účely stanovení nájmu za celkovou výměru předmětu nájmu považována výměra před provedením rekonstrukce, tj. 675 m</w:t>
      </w:r>
      <w:r w:rsidR="00C21DCE" w:rsidRPr="00691D8E">
        <w:rPr>
          <w:i/>
          <w:vertAlign w:val="superscript"/>
        </w:rPr>
        <w:t>2</w:t>
      </w:r>
      <w:r w:rsidR="00C21DCE" w:rsidRPr="00691D8E">
        <w:rPr>
          <w:i/>
        </w:rPr>
        <w:t>, čemuž odpovídá roční nájemné ve výši 978.750,- Kč, DPH nebude u nájemného uplatňováno.</w:t>
      </w:r>
    </w:p>
    <w:p w:rsidR="00C21DCE" w:rsidRDefault="00C21DCE" w:rsidP="00C21DCE">
      <w:pPr>
        <w:pStyle w:val="LEG1"/>
        <w:ind w:left="709" w:hanging="709"/>
      </w:pPr>
      <w:r>
        <w:t>Smluvní strany se dohodly na prodloužení platnosti Smlouvy o 15 let od účinnosti tohoto Dodatku a proto se dohodly na zrušení odst. 1 čl. V. (Doba nájmu) Smlouvy a jeho nahrazení novým odst. č. 1 následujícího znění:</w:t>
      </w:r>
    </w:p>
    <w:p w:rsidR="00C21DCE" w:rsidRDefault="00C21DCE" w:rsidP="00C21DCE">
      <w:pPr>
        <w:pStyle w:val="LEG1"/>
        <w:numPr>
          <w:ilvl w:val="0"/>
          <w:numId w:val="0"/>
        </w:numPr>
        <w:ind w:left="1414" w:hanging="705"/>
        <w:rPr>
          <w:i/>
        </w:rPr>
      </w:pPr>
      <w:r w:rsidRPr="00BC7C34">
        <w:rPr>
          <w:i/>
        </w:rPr>
        <w:t>„1.</w:t>
      </w:r>
      <w:r w:rsidRPr="00BC7C34">
        <w:rPr>
          <w:i/>
        </w:rPr>
        <w:tab/>
        <w:t>Doba nájmu se sjednává na dobu určitou od 1. 1. 2014 do 31. 1</w:t>
      </w:r>
      <w:r>
        <w:rPr>
          <w:i/>
        </w:rPr>
        <w:t>2</w:t>
      </w:r>
      <w:r w:rsidRPr="00BC7C34">
        <w:rPr>
          <w:i/>
        </w:rPr>
        <w:t>. 20</w:t>
      </w:r>
      <w:r>
        <w:rPr>
          <w:i/>
        </w:rPr>
        <w:t>31</w:t>
      </w:r>
      <w:r w:rsidRPr="00BC7C34">
        <w:rPr>
          <w:i/>
        </w:rPr>
        <w:t>.“</w:t>
      </w:r>
    </w:p>
    <w:p w:rsidR="00C21DCE" w:rsidRPr="00F44F83" w:rsidRDefault="00C21DCE" w:rsidP="00C21DCE">
      <w:pPr>
        <w:pStyle w:val="LEG1"/>
        <w:ind w:left="709" w:hanging="709"/>
        <w:rPr>
          <w:i/>
        </w:rPr>
      </w:pPr>
      <w:r>
        <w:t>Smluvní strany se dohodly na zrušení přílohy č. 1 Smlouvy a její nahrazení novou přílohou č. 1, která je nedílnou součástí tohoto Dodatku.</w:t>
      </w:r>
    </w:p>
    <w:p w:rsidR="00C21DCE" w:rsidRDefault="00C21DCE" w:rsidP="00C21DCE">
      <w:pPr>
        <w:pStyle w:val="LEG1"/>
        <w:ind w:left="709" w:hanging="709"/>
        <w:rPr>
          <w:i/>
        </w:rPr>
      </w:pPr>
      <w:r>
        <w:t>Smluvní strany se dohodly na zrušení přílohy č. 2 (Výměr nájemného) Smlouvy a její nahrazení novou přílohou č. 2 (Výměr nájemného), která je nedílnou součástí tohoto Dodatku.</w:t>
      </w:r>
      <w:r w:rsidRPr="00BC7C34">
        <w:rPr>
          <w:i/>
        </w:rPr>
        <w:tab/>
      </w:r>
    </w:p>
    <w:p w:rsidR="00C21DCE" w:rsidRPr="00F44F83" w:rsidRDefault="00C21DCE" w:rsidP="00695F7A">
      <w:pPr>
        <w:pStyle w:val="LEG1"/>
        <w:numPr>
          <w:ilvl w:val="0"/>
          <w:numId w:val="0"/>
        </w:numPr>
        <w:rPr>
          <w:i/>
        </w:rPr>
      </w:pPr>
    </w:p>
    <w:p w:rsidR="00C21DCE" w:rsidRPr="00B817E2" w:rsidRDefault="00C21DCE" w:rsidP="00C21DCE">
      <w:pPr>
        <w:pStyle w:val="NadpisLEG"/>
        <w:rPr>
          <w:rFonts w:eastAsia="Calibri"/>
        </w:rPr>
      </w:pPr>
      <w:r w:rsidRPr="00B817E2">
        <w:rPr>
          <w:rFonts w:eastAsia="Calibri"/>
        </w:rPr>
        <w:t>Závěrečná ustanovení</w:t>
      </w:r>
    </w:p>
    <w:p w:rsidR="00C21DCE" w:rsidRDefault="00C21DCE" w:rsidP="00C21DCE">
      <w:pPr>
        <w:pStyle w:val="LEG1"/>
        <w:ind w:left="709" w:hanging="709"/>
      </w:pPr>
      <w:r>
        <w:t>Tento dodatek nabývá účinnosti dnem 1. 1. 2017.</w:t>
      </w:r>
    </w:p>
    <w:p w:rsidR="00C21DCE" w:rsidRDefault="00C21DCE" w:rsidP="00C21DCE">
      <w:pPr>
        <w:pStyle w:val="LEG1"/>
        <w:ind w:left="709" w:hanging="709"/>
      </w:pPr>
      <w:r w:rsidRPr="00B817E2">
        <w:t>Dodatek nabývá platnosti okamžikem jeho podpisu oběma smluvn</w:t>
      </w:r>
      <w:r>
        <w:t>ími stranami</w:t>
      </w:r>
      <w:r w:rsidRPr="00B817E2">
        <w:t>.</w:t>
      </w:r>
    </w:p>
    <w:p w:rsidR="00C21DCE" w:rsidRPr="00B817E2" w:rsidRDefault="00C21DCE" w:rsidP="00C21DCE">
      <w:pPr>
        <w:pStyle w:val="LEG1"/>
        <w:ind w:left="709" w:hanging="709"/>
      </w:pPr>
      <w:r>
        <w:t>Ostatní ustanovení Smlouvy</w:t>
      </w:r>
      <w:r w:rsidRPr="00E707E7">
        <w:t xml:space="preserve"> </w:t>
      </w:r>
      <w:r>
        <w:t>zůstávají v původním a nezměněném znění.</w:t>
      </w:r>
    </w:p>
    <w:p w:rsidR="00C21DCE" w:rsidRPr="00B817E2" w:rsidRDefault="00C21DCE" w:rsidP="00C21DCE">
      <w:pPr>
        <w:pStyle w:val="LEG1"/>
        <w:ind w:left="709" w:hanging="709"/>
      </w:pPr>
      <w:r w:rsidRPr="00B817E2">
        <w:t>Dodatek je vyhotoven ve dvou stejnopisech s platností originálu, přičemž každá smluvní strana obdrží po jednom vyhotovení.</w:t>
      </w:r>
    </w:p>
    <w:p w:rsidR="00C21DCE" w:rsidRDefault="00C21DCE" w:rsidP="00C21DCE">
      <w:pPr>
        <w:pStyle w:val="LEG1"/>
        <w:ind w:left="709" w:hanging="709"/>
      </w:pPr>
      <w:r w:rsidRPr="00B817E2">
        <w:t xml:space="preserve">Smluvní strany shodně prohlašují, že tento </w:t>
      </w:r>
      <w:r>
        <w:t>d</w:t>
      </w:r>
      <w:r w:rsidRPr="00B817E2">
        <w:t>odatek byl sepsán dle jejich pravé a svobodné vůle a na důkaz toho jej opatřují svými podpisy.</w:t>
      </w:r>
    </w:p>
    <w:p w:rsidR="00C21DCE" w:rsidRDefault="00C21DCE" w:rsidP="00C21DCE">
      <w:pPr>
        <w:pStyle w:val="LEG1"/>
        <w:numPr>
          <w:ilvl w:val="0"/>
          <w:numId w:val="0"/>
        </w:numPr>
        <w:ind w:left="709"/>
      </w:pPr>
    </w:p>
    <w:p w:rsidR="00C21DCE" w:rsidRPr="00B817E2" w:rsidRDefault="00C21DCE" w:rsidP="00C21DCE">
      <w:pPr>
        <w:pStyle w:val="LEG1"/>
        <w:numPr>
          <w:ilvl w:val="0"/>
          <w:numId w:val="0"/>
        </w:numPr>
        <w:ind w:left="709"/>
      </w:pPr>
    </w:p>
    <w:tbl>
      <w:tblPr>
        <w:tblW w:w="0" w:type="auto"/>
        <w:tblLook w:val="04A0"/>
      </w:tblPr>
      <w:tblGrid>
        <w:gridCol w:w="4219"/>
        <w:gridCol w:w="851"/>
        <w:gridCol w:w="4140"/>
      </w:tblGrid>
      <w:tr w:rsidR="00C21DCE" w:rsidRPr="003F5CAD" w:rsidTr="00922AE9">
        <w:tc>
          <w:tcPr>
            <w:tcW w:w="4219" w:type="dxa"/>
          </w:tcPr>
          <w:p w:rsidR="00C21DCE" w:rsidRPr="003F5CAD" w:rsidRDefault="00C21DCE" w:rsidP="00922AE9">
            <w:pPr>
              <w:widowControl w:val="0"/>
              <w:autoSpaceDE w:val="0"/>
              <w:autoSpaceDN w:val="0"/>
              <w:adjustRightInd w:val="0"/>
              <w:spacing w:after="0" w:line="240" w:lineRule="auto"/>
              <w:rPr>
                <w:rFonts w:ascii="RotisSerif" w:eastAsia="Calibri" w:hAnsi="RotisSerif" w:cs="Arial"/>
                <w:sz w:val="24"/>
                <w:szCs w:val="24"/>
              </w:rPr>
            </w:pPr>
            <w:r>
              <w:rPr>
                <w:rFonts w:ascii="RotisSerif" w:eastAsia="Calibri" w:hAnsi="RotisSerif" w:cs="Arial"/>
                <w:sz w:val="24"/>
                <w:szCs w:val="24"/>
              </w:rPr>
              <w:t xml:space="preserve">V Uherském Brodě dne </w:t>
            </w:r>
            <w:r w:rsidR="006D3D57">
              <w:rPr>
                <w:rFonts w:ascii="RotisSerif" w:eastAsia="Calibri" w:hAnsi="RotisSerif" w:cs="Arial"/>
                <w:sz w:val="24"/>
                <w:szCs w:val="24"/>
              </w:rPr>
              <w:t>21. 12. 2016</w:t>
            </w:r>
          </w:p>
        </w:tc>
        <w:tc>
          <w:tcPr>
            <w:tcW w:w="851" w:type="dxa"/>
            <w:vMerge w:val="restart"/>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Pr>
          <w:p w:rsidR="00C21DCE" w:rsidRPr="003F5CAD" w:rsidRDefault="00C21DCE" w:rsidP="00922AE9">
            <w:pPr>
              <w:widowControl w:val="0"/>
              <w:autoSpaceDE w:val="0"/>
              <w:autoSpaceDN w:val="0"/>
              <w:adjustRightInd w:val="0"/>
              <w:spacing w:after="0" w:line="240" w:lineRule="auto"/>
              <w:rPr>
                <w:rFonts w:ascii="RotisSerif" w:eastAsia="Calibri" w:hAnsi="RotisSerif" w:cs="Arial"/>
                <w:sz w:val="24"/>
                <w:szCs w:val="24"/>
              </w:rPr>
            </w:pPr>
            <w:r>
              <w:rPr>
                <w:rFonts w:ascii="RotisSerif" w:eastAsia="Calibri" w:hAnsi="RotisSerif" w:cs="Arial"/>
                <w:sz w:val="24"/>
                <w:szCs w:val="24"/>
              </w:rPr>
              <w:t>V Praze</w:t>
            </w:r>
            <w:r w:rsidRPr="003F5CAD">
              <w:rPr>
                <w:rFonts w:ascii="RotisSerif" w:eastAsia="Calibri" w:hAnsi="RotisSerif" w:cs="Arial"/>
                <w:sz w:val="24"/>
                <w:szCs w:val="24"/>
              </w:rPr>
              <w:t xml:space="preserve"> dne </w:t>
            </w:r>
            <w:r w:rsidR="006D3D57">
              <w:rPr>
                <w:rFonts w:ascii="RotisSerif" w:eastAsia="Calibri" w:hAnsi="RotisSerif" w:cs="Arial"/>
                <w:sz w:val="24"/>
                <w:szCs w:val="24"/>
              </w:rPr>
              <w:t>30. 12. 2016</w:t>
            </w:r>
          </w:p>
        </w:tc>
      </w:tr>
      <w:tr w:rsidR="00C21DCE" w:rsidRPr="003F5CAD" w:rsidTr="00922AE9">
        <w:tc>
          <w:tcPr>
            <w:tcW w:w="4219" w:type="dxa"/>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851" w:type="dxa"/>
            <w:vMerge/>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r>
      <w:tr w:rsidR="00C21DCE" w:rsidRPr="003F5CAD" w:rsidTr="00922AE9">
        <w:tc>
          <w:tcPr>
            <w:tcW w:w="4219" w:type="dxa"/>
          </w:tcPr>
          <w:p w:rsidR="00C21DCE" w:rsidRPr="008A530A" w:rsidRDefault="00C21DCE" w:rsidP="00922AE9">
            <w:pPr>
              <w:widowControl w:val="0"/>
              <w:autoSpaceDE w:val="0"/>
              <w:autoSpaceDN w:val="0"/>
              <w:adjustRightInd w:val="0"/>
              <w:spacing w:after="0" w:line="240" w:lineRule="auto"/>
              <w:rPr>
                <w:rFonts w:ascii="RotisSerif" w:eastAsia="Calibri" w:hAnsi="RotisSerif" w:cs="Arial"/>
                <w:b/>
                <w:sz w:val="24"/>
                <w:szCs w:val="24"/>
              </w:rPr>
            </w:pPr>
            <w:r w:rsidRPr="008A530A">
              <w:rPr>
                <w:rFonts w:ascii="RotisSerif" w:eastAsia="Calibri" w:hAnsi="RotisSerif" w:cs="Arial"/>
                <w:b/>
                <w:sz w:val="24"/>
                <w:szCs w:val="24"/>
              </w:rPr>
              <w:t>Městská nemocnice s poliklinikou</w:t>
            </w:r>
          </w:p>
          <w:p w:rsidR="00C21DCE" w:rsidRPr="00B817E2" w:rsidRDefault="00C21DCE" w:rsidP="00922AE9">
            <w:pPr>
              <w:widowControl w:val="0"/>
              <w:autoSpaceDE w:val="0"/>
              <w:autoSpaceDN w:val="0"/>
              <w:adjustRightInd w:val="0"/>
              <w:spacing w:after="0" w:line="240" w:lineRule="auto"/>
              <w:rPr>
                <w:rFonts w:ascii="RotisSerif" w:eastAsia="Calibri" w:hAnsi="RotisSerif" w:cs="Arial"/>
                <w:b/>
                <w:sz w:val="24"/>
                <w:szCs w:val="24"/>
              </w:rPr>
            </w:pPr>
            <w:r w:rsidRPr="008A530A">
              <w:rPr>
                <w:rFonts w:ascii="RotisSerif" w:eastAsia="Calibri" w:hAnsi="RotisSerif" w:cs="Arial"/>
                <w:b/>
                <w:sz w:val="24"/>
                <w:szCs w:val="24"/>
              </w:rPr>
              <w:t>Uh. Brod, s. r. o.</w:t>
            </w:r>
          </w:p>
        </w:tc>
        <w:tc>
          <w:tcPr>
            <w:tcW w:w="851" w:type="dxa"/>
            <w:vMerge/>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Pr>
          <w:p w:rsidR="00C21DCE" w:rsidRPr="00F25669" w:rsidRDefault="00C21DCE" w:rsidP="00922AE9">
            <w:pPr>
              <w:rPr>
                <w:rFonts w:ascii="RotisSerif" w:hAnsi="RotisSerif"/>
                <w:b/>
                <w:sz w:val="24"/>
                <w:szCs w:val="24"/>
              </w:rPr>
            </w:pPr>
            <w:r w:rsidRPr="00F25669">
              <w:rPr>
                <w:rFonts w:ascii="RotisSerif" w:hAnsi="RotisSerif"/>
                <w:b/>
                <w:sz w:val="24"/>
                <w:szCs w:val="24"/>
              </w:rPr>
              <w:t>B. Braun Avitum s.r.o.</w:t>
            </w:r>
          </w:p>
          <w:p w:rsidR="00C21DCE" w:rsidRPr="003F5CAD" w:rsidRDefault="00C21DCE" w:rsidP="00922AE9">
            <w:pPr>
              <w:spacing w:after="0" w:line="240" w:lineRule="auto"/>
              <w:rPr>
                <w:rFonts w:ascii="RotisSerif" w:eastAsia="Calibri" w:hAnsi="RotisSerif" w:cs="Arial"/>
                <w:b/>
                <w:sz w:val="24"/>
                <w:szCs w:val="24"/>
              </w:rPr>
            </w:pPr>
          </w:p>
        </w:tc>
      </w:tr>
      <w:tr w:rsidR="00C21DCE" w:rsidRPr="003F5CAD" w:rsidTr="00922AE9">
        <w:trPr>
          <w:trHeight w:val="274"/>
        </w:trPr>
        <w:tc>
          <w:tcPr>
            <w:tcW w:w="4219" w:type="dxa"/>
            <w:tcBorders>
              <w:bottom w:val="single" w:sz="4" w:space="0" w:color="auto"/>
            </w:tcBorders>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b/>
                <w:sz w:val="24"/>
                <w:szCs w:val="24"/>
              </w:rPr>
            </w:pPr>
          </w:p>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b/>
                <w:sz w:val="24"/>
                <w:szCs w:val="24"/>
              </w:rPr>
            </w:pPr>
          </w:p>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b/>
                <w:sz w:val="24"/>
                <w:szCs w:val="24"/>
              </w:rPr>
            </w:pPr>
          </w:p>
        </w:tc>
        <w:tc>
          <w:tcPr>
            <w:tcW w:w="851" w:type="dxa"/>
            <w:vMerge/>
            <w:tcBorders>
              <w:bottom w:val="nil"/>
            </w:tcBorders>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Borders>
              <w:bottom w:val="nil"/>
            </w:tcBorders>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b/>
                <w:sz w:val="24"/>
                <w:szCs w:val="24"/>
              </w:rPr>
            </w:pPr>
          </w:p>
        </w:tc>
      </w:tr>
      <w:tr w:rsidR="00C21DCE" w:rsidRPr="003F5CAD" w:rsidTr="00922AE9">
        <w:tc>
          <w:tcPr>
            <w:tcW w:w="4219" w:type="dxa"/>
            <w:tcBorders>
              <w:top w:val="single" w:sz="4" w:space="0" w:color="auto"/>
            </w:tcBorders>
          </w:tcPr>
          <w:p w:rsidR="00C21DCE" w:rsidRPr="00AB51ED" w:rsidRDefault="00C21DCE" w:rsidP="00922AE9">
            <w:pPr>
              <w:widowControl w:val="0"/>
              <w:autoSpaceDE w:val="0"/>
              <w:autoSpaceDN w:val="0"/>
              <w:adjustRightInd w:val="0"/>
              <w:spacing w:after="0" w:line="240" w:lineRule="auto"/>
              <w:rPr>
                <w:rFonts w:ascii="RotisSerif" w:hAnsi="RotisSerif" w:cs="Arial"/>
                <w:sz w:val="24"/>
                <w:szCs w:val="24"/>
              </w:rPr>
            </w:pPr>
            <w:r>
              <w:rPr>
                <w:rFonts w:ascii="RotisSerif" w:eastAsia="Calibri" w:hAnsi="RotisSerif" w:cs="Arial"/>
                <w:sz w:val="24"/>
                <w:szCs w:val="24"/>
              </w:rPr>
              <w:t>Ing. Ferdinand Kubáník, jednatel</w:t>
            </w:r>
          </w:p>
        </w:tc>
        <w:tc>
          <w:tcPr>
            <w:tcW w:w="851" w:type="dxa"/>
            <w:vMerge/>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Borders>
              <w:top w:val="single" w:sz="4" w:space="0" w:color="auto"/>
              <w:bottom w:val="single" w:sz="4" w:space="0" w:color="auto"/>
            </w:tcBorders>
          </w:tcPr>
          <w:p w:rsidR="00C21DCE" w:rsidRDefault="00C21DCE" w:rsidP="00922AE9">
            <w:pPr>
              <w:widowControl w:val="0"/>
              <w:autoSpaceDE w:val="0"/>
              <w:autoSpaceDN w:val="0"/>
              <w:adjustRightInd w:val="0"/>
              <w:spacing w:after="0" w:line="240" w:lineRule="auto"/>
              <w:rPr>
                <w:rFonts w:ascii="RotisSerif" w:hAnsi="RotisSerif"/>
                <w:sz w:val="24"/>
                <w:szCs w:val="24"/>
              </w:rPr>
            </w:pPr>
            <w:r>
              <w:rPr>
                <w:rFonts w:ascii="RotisSerif" w:hAnsi="RotisSerif"/>
                <w:sz w:val="24"/>
                <w:szCs w:val="24"/>
              </w:rPr>
              <w:t>Ing. Petr Macoun, Ph.D., jednatel</w:t>
            </w:r>
          </w:p>
          <w:p w:rsidR="00C21DCE" w:rsidRDefault="00C21DCE" w:rsidP="00922AE9">
            <w:pPr>
              <w:widowControl w:val="0"/>
              <w:autoSpaceDE w:val="0"/>
              <w:autoSpaceDN w:val="0"/>
              <w:adjustRightInd w:val="0"/>
              <w:spacing w:after="0" w:line="240" w:lineRule="auto"/>
              <w:rPr>
                <w:rFonts w:ascii="RotisSerif" w:hAnsi="RotisSerif"/>
                <w:sz w:val="24"/>
                <w:szCs w:val="24"/>
              </w:rPr>
            </w:pPr>
          </w:p>
          <w:p w:rsidR="00C21DCE" w:rsidRDefault="00C21DCE" w:rsidP="00922AE9">
            <w:pPr>
              <w:widowControl w:val="0"/>
              <w:autoSpaceDE w:val="0"/>
              <w:autoSpaceDN w:val="0"/>
              <w:adjustRightInd w:val="0"/>
              <w:spacing w:after="0" w:line="240" w:lineRule="auto"/>
              <w:rPr>
                <w:rFonts w:ascii="RotisSerif" w:hAnsi="RotisSerif"/>
                <w:sz w:val="24"/>
                <w:szCs w:val="24"/>
              </w:rPr>
            </w:pPr>
          </w:p>
          <w:p w:rsidR="00C21DCE" w:rsidRDefault="00C21DCE" w:rsidP="00922AE9">
            <w:pPr>
              <w:widowControl w:val="0"/>
              <w:autoSpaceDE w:val="0"/>
              <w:autoSpaceDN w:val="0"/>
              <w:adjustRightInd w:val="0"/>
              <w:spacing w:after="0" w:line="240" w:lineRule="auto"/>
              <w:rPr>
                <w:rFonts w:ascii="RotisSerif" w:hAnsi="RotisSerif"/>
                <w:sz w:val="24"/>
                <w:szCs w:val="24"/>
              </w:rPr>
            </w:pPr>
          </w:p>
          <w:p w:rsidR="00C21DCE" w:rsidRPr="008A530A" w:rsidRDefault="00C21DCE" w:rsidP="00922AE9">
            <w:pPr>
              <w:widowControl w:val="0"/>
              <w:autoSpaceDE w:val="0"/>
              <w:autoSpaceDN w:val="0"/>
              <w:adjustRightInd w:val="0"/>
              <w:spacing w:after="0" w:line="240" w:lineRule="auto"/>
              <w:rPr>
                <w:rFonts w:ascii="RotisSerif" w:hAnsi="RotisSerif"/>
                <w:sz w:val="24"/>
                <w:szCs w:val="24"/>
              </w:rPr>
            </w:pPr>
          </w:p>
        </w:tc>
      </w:tr>
      <w:tr w:rsidR="00C21DCE" w:rsidRPr="003F5CAD" w:rsidTr="00922AE9">
        <w:tc>
          <w:tcPr>
            <w:tcW w:w="4219" w:type="dxa"/>
          </w:tcPr>
          <w:p w:rsidR="00C21DCE" w:rsidRDefault="00C21DCE" w:rsidP="00922AE9">
            <w:pPr>
              <w:widowControl w:val="0"/>
              <w:autoSpaceDE w:val="0"/>
              <w:autoSpaceDN w:val="0"/>
              <w:adjustRightInd w:val="0"/>
              <w:spacing w:after="0" w:line="240" w:lineRule="auto"/>
              <w:rPr>
                <w:rFonts w:ascii="RotisSerif" w:eastAsia="Calibri" w:hAnsi="RotisSerif" w:cs="Arial"/>
                <w:sz w:val="24"/>
                <w:szCs w:val="24"/>
              </w:rPr>
            </w:pPr>
          </w:p>
        </w:tc>
        <w:tc>
          <w:tcPr>
            <w:tcW w:w="851" w:type="dxa"/>
          </w:tcPr>
          <w:p w:rsidR="00C21DCE" w:rsidRPr="003F5CAD" w:rsidRDefault="00C21DCE" w:rsidP="00922AE9">
            <w:pPr>
              <w:widowControl w:val="0"/>
              <w:autoSpaceDE w:val="0"/>
              <w:autoSpaceDN w:val="0"/>
              <w:adjustRightInd w:val="0"/>
              <w:spacing w:after="0" w:line="240" w:lineRule="auto"/>
              <w:jc w:val="right"/>
              <w:rPr>
                <w:rFonts w:ascii="RotisSerif" w:eastAsia="Calibri" w:hAnsi="RotisSerif" w:cs="Arial"/>
                <w:sz w:val="24"/>
                <w:szCs w:val="24"/>
              </w:rPr>
            </w:pPr>
          </w:p>
        </w:tc>
        <w:tc>
          <w:tcPr>
            <w:tcW w:w="4140" w:type="dxa"/>
            <w:tcBorders>
              <w:top w:val="single" w:sz="4" w:space="0" w:color="auto"/>
            </w:tcBorders>
          </w:tcPr>
          <w:p w:rsidR="00C21DCE" w:rsidRDefault="00C21DCE" w:rsidP="00922AE9">
            <w:pPr>
              <w:widowControl w:val="0"/>
              <w:autoSpaceDE w:val="0"/>
              <w:autoSpaceDN w:val="0"/>
              <w:adjustRightInd w:val="0"/>
              <w:spacing w:after="0" w:line="240" w:lineRule="auto"/>
              <w:rPr>
                <w:rFonts w:ascii="RotisSerif" w:hAnsi="RotisSerif"/>
                <w:sz w:val="24"/>
                <w:szCs w:val="24"/>
              </w:rPr>
            </w:pPr>
            <w:r>
              <w:rPr>
                <w:rFonts w:ascii="RotisSerif" w:hAnsi="RotisSerif"/>
                <w:sz w:val="24"/>
                <w:szCs w:val="24"/>
              </w:rPr>
              <w:t>MUDr. Martin Kuncek, jednatel</w:t>
            </w:r>
          </w:p>
        </w:tc>
      </w:tr>
    </w:tbl>
    <w:p w:rsidR="00C21DCE" w:rsidRPr="00A6462F" w:rsidRDefault="00C21DCE" w:rsidP="00C21DCE">
      <w:pPr>
        <w:spacing w:after="0" w:line="240" w:lineRule="auto"/>
        <w:rPr>
          <w:rFonts w:ascii="RotisSerif" w:hAnsi="RotisSerif"/>
          <w:sz w:val="24"/>
          <w:szCs w:val="24"/>
        </w:rPr>
      </w:pPr>
    </w:p>
    <w:p w:rsidR="007C4769" w:rsidRDefault="007C4769">
      <w:bookmarkStart w:id="0" w:name="_GoBack"/>
      <w:bookmarkEnd w:id="0"/>
    </w:p>
    <w:sectPr w:rsidR="007C4769" w:rsidSect="00BF160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28" w:rsidRDefault="008A1528" w:rsidP="004328B9">
      <w:pPr>
        <w:spacing w:after="0" w:line="240" w:lineRule="auto"/>
      </w:pPr>
      <w:r>
        <w:separator/>
      </w:r>
    </w:p>
  </w:endnote>
  <w:endnote w:type="continuationSeparator" w:id="0">
    <w:p w:rsidR="008A1528" w:rsidRDefault="008A1528" w:rsidP="00432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RotisSerif">
    <w:altName w:val="Times New Roman"/>
    <w:charset w:val="EE"/>
    <w:family w:val="roman"/>
    <w:pitch w:val="variable"/>
    <w:sig w:usb0="00000001"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733075"/>
      <w:docPartObj>
        <w:docPartGallery w:val="Page Numbers (Bottom of Page)"/>
        <w:docPartUnique/>
      </w:docPartObj>
    </w:sdtPr>
    <w:sdtContent>
      <w:sdt>
        <w:sdtPr>
          <w:id w:val="860082579"/>
          <w:docPartObj>
            <w:docPartGallery w:val="Page Numbers (Top of Page)"/>
            <w:docPartUnique/>
          </w:docPartObj>
        </w:sdtPr>
        <w:sdtContent>
          <w:p w:rsidR="004328B9" w:rsidRDefault="004328B9">
            <w:pPr>
              <w:pStyle w:val="Zpat"/>
              <w:jc w:val="right"/>
            </w:pPr>
            <w:r>
              <w:t xml:space="preserve">Stránka </w:t>
            </w:r>
            <w:r w:rsidR="00E642DE">
              <w:rPr>
                <w:b/>
                <w:bCs/>
                <w:sz w:val="24"/>
                <w:szCs w:val="24"/>
              </w:rPr>
              <w:fldChar w:fldCharType="begin"/>
            </w:r>
            <w:r>
              <w:rPr>
                <w:b/>
                <w:bCs/>
              </w:rPr>
              <w:instrText>PAGE</w:instrText>
            </w:r>
            <w:r w:rsidR="00E642DE">
              <w:rPr>
                <w:b/>
                <w:bCs/>
                <w:sz w:val="24"/>
                <w:szCs w:val="24"/>
              </w:rPr>
              <w:fldChar w:fldCharType="separate"/>
            </w:r>
            <w:r w:rsidR="008A1528">
              <w:rPr>
                <w:b/>
                <w:bCs/>
                <w:noProof/>
              </w:rPr>
              <w:t>1</w:t>
            </w:r>
            <w:r w:rsidR="00E642DE">
              <w:rPr>
                <w:b/>
                <w:bCs/>
                <w:sz w:val="24"/>
                <w:szCs w:val="24"/>
              </w:rPr>
              <w:fldChar w:fldCharType="end"/>
            </w:r>
            <w:r>
              <w:t xml:space="preserve"> z </w:t>
            </w:r>
            <w:r w:rsidR="00E642DE">
              <w:rPr>
                <w:b/>
                <w:bCs/>
                <w:sz w:val="24"/>
                <w:szCs w:val="24"/>
              </w:rPr>
              <w:fldChar w:fldCharType="begin"/>
            </w:r>
            <w:r>
              <w:rPr>
                <w:b/>
                <w:bCs/>
              </w:rPr>
              <w:instrText>NUMPAGES</w:instrText>
            </w:r>
            <w:r w:rsidR="00E642DE">
              <w:rPr>
                <w:b/>
                <w:bCs/>
                <w:sz w:val="24"/>
                <w:szCs w:val="24"/>
              </w:rPr>
              <w:fldChar w:fldCharType="separate"/>
            </w:r>
            <w:r w:rsidR="008A1528">
              <w:rPr>
                <w:b/>
                <w:bCs/>
                <w:noProof/>
              </w:rPr>
              <w:t>1</w:t>
            </w:r>
            <w:r w:rsidR="00E642DE">
              <w:rPr>
                <w:b/>
                <w:bCs/>
                <w:sz w:val="24"/>
                <w:szCs w:val="24"/>
              </w:rPr>
              <w:fldChar w:fldCharType="end"/>
            </w:r>
          </w:p>
        </w:sdtContent>
      </w:sdt>
    </w:sdtContent>
  </w:sdt>
  <w:p w:rsidR="004328B9" w:rsidRDefault="004328B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28" w:rsidRDefault="008A1528" w:rsidP="004328B9">
      <w:pPr>
        <w:spacing w:after="0" w:line="240" w:lineRule="auto"/>
      </w:pPr>
      <w:r>
        <w:separator/>
      </w:r>
    </w:p>
  </w:footnote>
  <w:footnote w:type="continuationSeparator" w:id="0">
    <w:p w:rsidR="008A1528" w:rsidRDefault="008A1528" w:rsidP="00432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13042"/>
    <w:multiLevelType w:val="multilevel"/>
    <w:tmpl w:val="CE1479D4"/>
    <w:lvl w:ilvl="0">
      <w:start w:val="1"/>
      <w:numFmt w:val="decimal"/>
      <w:pStyle w:val="NadpisLEG"/>
      <w:lvlText w:val="%1."/>
      <w:lvlJc w:val="left"/>
      <w:pPr>
        <w:ind w:left="360" w:hanging="360"/>
      </w:pPr>
      <w:rPr>
        <w:rFonts w:hint="default"/>
      </w:rPr>
    </w:lvl>
    <w:lvl w:ilvl="1">
      <w:start w:val="1"/>
      <w:numFmt w:val="decimal"/>
      <w:pStyle w:val="LEG1"/>
      <w:lvlText w:val="%1.%2"/>
      <w:lvlJc w:val="left"/>
      <w:pPr>
        <w:ind w:left="792" w:hanging="432"/>
      </w:pPr>
      <w:rPr>
        <w:rFonts w:hint="default"/>
      </w:rPr>
    </w:lvl>
    <w:lvl w:ilvl="2">
      <w:start w:val="1"/>
      <w:numFmt w:val="decimal"/>
      <w:pStyle w:val="LEG2"/>
      <w:lvlText w:val="%1.%2.%3"/>
      <w:lvlJc w:val="left"/>
      <w:pPr>
        <w:ind w:left="1418" w:hanging="698"/>
      </w:pPr>
      <w:rPr>
        <w:rFonts w:hint="default"/>
      </w:rPr>
    </w:lvl>
    <w:lvl w:ilvl="3">
      <w:start w:val="1"/>
      <w:numFmt w:val="lowerLetter"/>
      <w:pStyle w:val="LEG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C21DCE"/>
    <w:rsid w:val="00094CEE"/>
    <w:rsid w:val="001D6455"/>
    <w:rsid w:val="003E3F48"/>
    <w:rsid w:val="004328B9"/>
    <w:rsid w:val="00695F7A"/>
    <w:rsid w:val="006D3D57"/>
    <w:rsid w:val="00735053"/>
    <w:rsid w:val="007C4769"/>
    <w:rsid w:val="008A1528"/>
    <w:rsid w:val="009228C7"/>
    <w:rsid w:val="009A298D"/>
    <w:rsid w:val="00A417FC"/>
    <w:rsid w:val="00C21DCE"/>
    <w:rsid w:val="00D16BBF"/>
    <w:rsid w:val="00E47CC4"/>
    <w:rsid w:val="00E642DE"/>
    <w:rsid w:val="00E96B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1DCE"/>
    <w:pPr>
      <w:spacing w:after="210"/>
    </w:pPr>
  </w:style>
  <w:style w:type="paragraph" w:styleId="Nadpis1">
    <w:name w:val="heading 1"/>
    <w:basedOn w:val="Normln"/>
    <w:next w:val="Normln"/>
    <w:link w:val="Nadpis1Char"/>
    <w:uiPriority w:val="9"/>
    <w:qFormat/>
    <w:rsid w:val="00C21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G1">
    <w:name w:val="LEG 1"/>
    <w:basedOn w:val="Normln"/>
    <w:link w:val="LEG1Char"/>
    <w:qFormat/>
    <w:rsid w:val="00C21DCE"/>
    <w:pPr>
      <w:widowControl w:val="0"/>
      <w:numPr>
        <w:ilvl w:val="1"/>
        <w:numId w:val="1"/>
      </w:numPr>
      <w:autoSpaceDE w:val="0"/>
      <w:autoSpaceDN w:val="0"/>
      <w:adjustRightInd w:val="0"/>
      <w:spacing w:after="180" w:line="240" w:lineRule="auto"/>
      <w:jc w:val="both"/>
    </w:pPr>
    <w:rPr>
      <w:rFonts w:ascii="RotisSerif" w:eastAsia="Times New Roman" w:hAnsi="RotisSerif" w:cs="Arial"/>
      <w:bCs/>
      <w:sz w:val="24"/>
      <w:szCs w:val="24"/>
      <w:lang w:eastAsia="cs-CZ"/>
    </w:rPr>
  </w:style>
  <w:style w:type="character" w:customStyle="1" w:styleId="LEG1Char">
    <w:name w:val="LEG 1 Char"/>
    <w:basedOn w:val="Standardnpsmoodstavce"/>
    <w:link w:val="LEG1"/>
    <w:rsid w:val="00C21DCE"/>
    <w:rPr>
      <w:rFonts w:ascii="RotisSerif" w:eastAsia="Times New Roman" w:hAnsi="RotisSerif" w:cs="Arial"/>
      <w:bCs/>
      <w:sz w:val="24"/>
      <w:szCs w:val="24"/>
      <w:lang w:eastAsia="cs-CZ"/>
    </w:rPr>
  </w:style>
  <w:style w:type="paragraph" w:customStyle="1" w:styleId="NadpisLEG">
    <w:name w:val="Nadpis LEG"/>
    <w:basedOn w:val="Nadpis1"/>
    <w:link w:val="NadpisLEGChar"/>
    <w:qFormat/>
    <w:rsid w:val="00695F7A"/>
    <w:pPr>
      <w:keepLines w:val="0"/>
      <w:widowControl w:val="0"/>
      <w:numPr>
        <w:numId w:val="1"/>
      </w:numPr>
      <w:autoSpaceDE w:val="0"/>
      <w:autoSpaceDN w:val="0"/>
      <w:adjustRightInd w:val="0"/>
      <w:spacing w:before="240" w:after="180" w:line="240" w:lineRule="auto"/>
      <w:jc w:val="center"/>
    </w:pPr>
    <w:rPr>
      <w:rFonts w:ascii="RotisSerif" w:hAnsi="RotisSerif" w:cs="Arial"/>
      <w:color w:val="000000" w:themeColor="text1"/>
      <w:kern w:val="32"/>
      <w:sz w:val="24"/>
      <w:szCs w:val="24"/>
    </w:rPr>
  </w:style>
  <w:style w:type="character" w:customStyle="1" w:styleId="NadpisLEGChar">
    <w:name w:val="Nadpis LEG Char"/>
    <w:basedOn w:val="Nadpis1Char"/>
    <w:link w:val="NadpisLEG"/>
    <w:rsid w:val="00695F7A"/>
    <w:rPr>
      <w:rFonts w:ascii="RotisSerif" w:eastAsiaTheme="majorEastAsia" w:hAnsi="RotisSerif" w:cs="Arial"/>
      <w:b/>
      <w:bCs/>
      <w:color w:val="000000" w:themeColor="text1"/>
      <w:kern w:val="32"/>
      <w:sz w:val="24"/>
      <w:szCs w:val="24"/>
    </w:rPr>
  </w:style>
  <w:style w:type="paragraph" w:customStyle="1" w:styleId="LEG2">
    <w:name w:val="LEG 2"/>
    <w:basedOn w:val="Normln"/>
    <w:link w:val="LEG2Char"/>
    <w:qFormat/>
    <w:rsid w:val="00C21DCE"/>
    <w:pPr>
      <w:widowControl w:val="0"/>
      <w:numPr>
        <w:ilvl w:val="2"/>
        <w:numId w:val="1"/>
      </w:numPr>
      <w:autoSpaceDE w:val="0"/>
      <w:autoSpaceDN w:val="0"/>
      <w:adjustRightInd w:val="0"/>
      <w:spacing w:after="180" w:line="240" w:lineRule="auto"/>
      <w:jc w:val="both"/>
    </w:pPr>
    <w:rPr>
      <w:rFonts w:ascii="RotisSerif" w:eastAsia="Times New Roman" w:hAnsi="RotisSerif" w:cs="Arial"/>
      <w:sz w:val="24"/>
      <w:szCs w:val="24"/>
      <w:lang w:eastAsia="cs-CZ"/>
    </w:rPr>
  </w:style>
  <w:style w:type="character" w:customStyle="1" w:styleId="LEG2Char">
    <w:name w:val="LEG 2 Char"/>
    <w:basedOn w:val="Standardnpsmoodstavce"/>
    <w:link w:val="LEG2"/>
    <w:rsid w:val="00C21DCE"/>
    <w:rPr>
      <w:rFonts w:ascii="RotisSerif" w:eastAsia="Times New Roman" w:hAnsi="RotisSerif" w:cs="Arial"/>
      <w:sz w:val="24"/>
      <w:szCs w:val="24"/>
      <w:lang w:eastAsia="cs-CZ"/>
    </w:rPr>
  </w:style>
  <w:style w:type="paragraph" w:customStyle="1" w:styleId="LEG3">
    <w:name w:val="LEG 3"/>
    <w:basedOn w:val="Normln"/>
    <w:qFormat/>
    <w:rsid w:val="00C21DCE"/>
    <w:pPr>
      <w:widowControl w:val="0"/>
      <w:numPr>
        <w:ilvl w:val="3"/>
        <w:numId w:val="1"/>
      </w:numPr>
      <w:tabs>
        <w:tab w:val="left" w:pos="2268"/>
      </w:tabs>
      <w:autoSpaceDE w:val="0"/>
      <w:autoSpaceDN w:val="0"/>
      <w:adjustRightInd w:val="0"/>
      <w:spacing w:after="180" w:line="240" w:lineRule="auto"/>
      <w:ind w:left="2880" w:hanging="1170"/>
      <w:jc w:val="both"/>
    </w:pPr>
    <w:rPr>
      <w:rFonts w:ascii="RotisSerif" w:eastAsia="Times New Roman" w:hAnsi="RotisSerif" w:cs="Arial"/>
      <w:sz w:val="24"/>
      <w:szCs w:val="24"/>
      <w:lang w:eastAsia="cs-CZ"/>
    </w:rPr>
  </w:style>
  <w:style w:type="character" w:styleId="Odkaznakoment">
    <w:name w:val="annotation reference"/>
    <w:basedOn w:val="Standardnpsmoodstavce"/>
    <w:uiPriority w:val="99"/>
    <w:semiHidden/>
    <w:unhideWhenUsed/>
    <w:rsid w:val="00C21DCE"/>
    <w:rPr>
      <w:sz w:val="16"/>
      <w:szCs w:val="16"/>
    </w:rPr>
  </w:style>
  <w:style w:type="paragraph" w:styleId="Textkomente">
    <w:name w:val="annotation text"/>
    <w:basedOn w:val="Normln"/>
    <w:link w:val="TextkomenteChar"/>
    <w:uiPriority w:val="99"/>
    <w:unhideWhenUsed/>
    <w:rsid w:val="00C21DCE"/>
    <w:pPr>
      <w:spacing w:line="240" w:lineRule="auto"/>
    </w:pPr>
    <w:rPr>
      <w:sz w:val="20"/>
      <w:szCs w:val="20"/>
    </w:rPr>
  </w:style>
  <w:style w:type="character" w:customStyle="1" w:styleId="TextkomenteChar">
    <w:name w:val="Text komentáře Char"/>
    <w:basedOn w:val="Standardnpsmoodstavce"/>
    <w:link w:val="Textkomente"/>
    <w:uiPriority w:val="99"/>
    <w:rsid w:val="00C21DCE"/>
    <w:rPr>
      <w:sz w:val="20"/>
      <w:szCs w:val="20"/>
    </w:rPr>
  </w:style>
  <w:style w:type="character" w:customStyle="1" w:styleId="Nadpis1Char">
    <w:name w:val="Nadpis 1 Char"/>
    <w:basedOn w:val="Standardnpsmoodstavce"/>
    <w:link w:val="Nadpis1"/>
    <w:uiPriority w:val="9"/>
    <w:rsid w:val="00C21DCE"/>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C21D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1DCE"/>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95F7A"/>
    <w:rPr>
      <w:b/>
      <w:bCs/>
    </w:rPr>
  </w:style>
  <w:style w:type="character" w:customStyle="1" w:styleId="PedmtkomenteChar">
    <w:name w:val="Předmět komentáře Char"/>
    <w:basedOn w:val="TextkomenteChar"/>
    <w:link w:val="Pedmtkomente"/>
    <w:uiPriority w:val="99"/>
    <w:semiHidden/>
    <w:rsid w:val="00695F7A"/>
    <w:rPr>
      <w:b/>
      <w:bCs/>
      <w:sz w:val="20"/>
      <w:szCs w:val="20"/>
    </w:rPr>
  </w:style>
  <w:style w:type="paragraph" w:styleId="Zhlav">
    <w:name w:val="header"/>
    <w:basedOn w:val="Normln"/>
    <w:link w:val="ZhlavChar"/>
    <w:uiPriority w:val="99"/>
    <w:unhideWhenUsed/>
    <w:rsid w:val="00432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28B9"/>
  </w:style>
  <w:style w:type="paragraph" w:styleId="Zpat">
    <w:name w:val="footer"/>
    <w:basedOn w:val="Normln"/>
    <w:link w:val="ZpatChar"/>
    <w:uiPriority w:val="99"/>
    <w:unhideWhenUsed/>
    <w:rsid w:val="00432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432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1DCE"/>
    <w:pPr>
      <w:spacing w:after="210"/>
    </w:pPr>
  </w:style>
  <w:style w:type="paragraph" w:styleId="Nadpis1">
    <w:name w:val="heading 1"/>
    <w:basedOn w:val="Normln"/>
    <w:next w:val="Normln"/>
    <w:link w:val="Nadpis1Char"/>
    <w:uiPriority w:val="9"/>
    <w:qFormat/>
    <w:rsid w:val="00C21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G1">
    <w:name w:val="LEG 1"/>
    <w:basedOn w:val="Normln"/>
    <w:link w:val="LEG1Char"/>
    <w:qFormat/>
    <w:rsid w:val="00C21DCE"/>
    <w:pPr>
      <w:widowControl w:val="0"/>
      <w:numPr>
        <w:ilvl w:val="1"/>
        <w:numId w:val="1"/>
      </w:numPr>
      <w:autoSpaceDE w:val="0"/>
      <w:autoSpaceDN w:val="0"/>
      <w:adjustRightInd w:val="0"/>
      <w:spacing w:after="180" w:line="240" w:lineRule="auto"/>
      <w:jc w:val="both"/>
    </w:pPr>
    <w:rPr>
      <w:rFonts w:ascii="RotisSerif" w:eastAsia="Times New Roman" w:hAnsi="RotisSerif" w:cs="Arial"/>
      <w:bCs/>
      <w:sz w:val="24"/>
      <w:szCs w:val="24"/>
      <w:lang w:eastAsia="cs-CZ"/>
    </w:rPr>
  </w:style>
  <w:style w:type="character" w:customStyle="1" w:styleId="LEG1Char">
    <w:name w:val="LEG 1 Char"/>
    <w:basedOn w:val="Standardnpsmoodstavce"/>
    <w:link w:val="LEG1"/>
    <w:rsid w:val="00C21DCE"/>
    <w:rPr>
      <w:rFonts w:ascii="RotisSerif" w:eastAsia="Times New Roman" w:hAnsi="RotisSerif" w:cs="Arial"/>
      <w:bCs/>
      <w:sz w:val="24"/>
      <w:szCs w:val="24"/>
      <w:lang w:eastAsia="cs-CZ"/>
    </w:rPr>
  </w:style>
  <w:style w:type="paragraph" w:customStyle="1" w:styleId="NadpisLEG">
    <w:name w:val="Nadpis LEG"/>
    <w:basedOn w:val="Nadpis1"/>
    <w:link w:val="NadpisLEGChar"/>
    <w:qFormat/>
    <w:rsid w:val="00695F7A"/>
    <w:pPr>
      <w:keepLines w:val="0"/>
      <w:widowControl w:val="0"/>
      <w:numPr>
        <w:numId w:val="1"/>
      </w:numPr>
      <w:autoSpaceDE w:val="0"/>
      <w:autoSpaceDN w:val="0"/>
      <w:adjustRightInd w:val="0"/>
      <w:spacing w:before="240" w:after="180" w:line="240" w:lineRule="auto"/>
      <w:jc w:val="center"/>
    </w:pPr>
    <w:rPr>
      <w:rFonts w:ascii="RotisSerif" w:hAnsi="RotisSerif" w:cs="Arial"/>
      <w:color w:val="000000" w:themeColor="text1"/>
      <w:kern w:val="32"/>
      <w:sz w:val="24"/>
      <w:szCs w:val="24"/>
    </w:rPr>
  </w:style>
  <w:style w:type="character" w:customStyle="1" w:styleId="NadpisLEGChar">
    <w:name w:val="Nadpis LEG Char"/>
    <w:basedOn w:val="Nadpis1Char"/>
    <w:link w:val="NadpisLEG"/>
    <w:rsid w:val="00695F7A"/>
    <w:rPr>
      <w:rFonts w:ascii="RotisSerif" w:eastAsiaTheme="majorEastAsia" w:hAnsi="RotisSerif" w:cs="Arial"/>
      <w:b/>
      <w:bCs/>
      <w:color w:val="000000" w:themeColor="text1"/>
      <w:kern w:val="32"/>
      <w:sz w:val="24"/>
      <w:szCs w:val="24"/>
    </w:rPr>
  </w:style>
  <w:style w:type="paragraph" w:customStyle="1" w:styleId="LEG2">
    <w:name w:val="LEG 2"/>
    <w:basedOn w:val="Normln"/>
    <w:link w:val="LEG2Char"/>
    <w:qFormat/>
    <w:rsid w:val="00C21DCE"/>
    <w:pPr>
      <w:widowControl w:val="0"/>
      <w:numPr>
        <w:ilvl w:val="2"/>
        <w:numId w:val="1"/>
      </w:numPr>
      <w:autoSpaceDE w:val="0"/>
      <w:autoSpaceDN w:val="0"/>
      <w:adjustRightInd w:val="0"/>
      <w:spacing w:after="180" w:line="240" w:lineRule="auto"/>
      <w:jc w:val="both"/>
    </w:pPr>
    <w:rPr>
      <w:rFonts w:ascii="RotisSerif" w:eastAsia="Times New Roman" w:hAnsi="RotisSerif" w:cs="Arial"/>
      <w:sz w:val="24"/>
      <w:szCs w:val="24"/>
      <w:lang w:eastAsia="cs-CZ"/>
    </w:rPr>
  </w:style>
  <w:style w:type="character" w:customStyle="1" w:styleId="LEG2Char">
    <w:name w:val="LEG 2 Char"/>
    <w:basedOn w:val="Standardnpsmoodstavce"/>
    <w:link w:val="LEG2"/>
    <w:rsid w:val="00C21DCE"/>
    <w:rPr>
      <w:rFonts w:ascii="RotisSerif" w:eastAsia="Times New Roman" w:hAnsi="RotisSerif" w:cs="Arial"/>
      <w:sz w:val="24"/>
      <w:szCs w:val="24"/>
      <w:lang w:eastAsia="cs-CZ"/>
    </w:rPr>
  </w:style>
  <w:style w:type="paragraph" w:customStyle="1" w:styleId="LEG3">
    <w:name w:val="LEG 3"/>
    <w:basedOn w:val="Normln"/>
    <w:qFormat/>
    <w:rsid w:val="00C21DCE"/>
    <w:pPr>
      <w:widowControl w:val="0"/>
      <w:numPr>
        <w:ilvl w:val="3"/>
        <w:numId w:val="1"/>
      </w:numPr>
      <w:tabs>
        <w:tab w:val="left" w:pos="2268"/>
      </w:tabs>
      <w:autoSpaceDE w:val="0"/>
      <w:autoSpaceDN w:val="0"/>
      <w:adjustRightInd w:val="0"/>
      <w:spacing w:after="180" w:line="240" w:lineRule="auto"/>
      <w:ind w:left="2880" w:hanging="1170"/>
      <w:jc w:val="both"/>
    </w:pPr>
    <w:rPr>
      <w:rFonts w:ascii="RotisSerif" w:eastAsia="Times New Roman" w:hAnsi="RotisSerif" w:cs="Arial"/>
      <w:sz w:val="24"/>
      <w:szCs w:val="24"/>
      <w:lang w:eastAsia="cs-CZ"/>
    </w:rPr>
  </w:style>
  <w:style w:type="character" w:styleId="Odkaznakoment">
    <w:name w:val="annotation reference"/>
    <w:basedOn w:val="Standardnpsmoodstavce"/>
    <w:uiPriority w:val="99"/>
    <w:semiHidden/>
    <w:unhideWhenUsed/>
    <w:rsid w:val="00C21DCE"/>
    <w:rPr>
      <w:sz w:val="16"/>
      <w:szCs w:val="16"/>
    </w:rPr>
  </w:style>
  <w:style w:type="paragraph" w:styleId="Textkomente">
    <w:name w:val="annotation text"/>
    <w:basedOn w:val="Normln"/>
    <w:link w:val="TextkomenteChar"/>
    <w:uiPriority w:val="99"/>
    <w:unhideWhenUsed/>
    <w:rsid w:val="00C21DCE"/>
    <w:pPr>
      <w:spacing w:line="240" w:lineRule="auto"/>
    </w:pPr>
    <w:rPr>
      <w:sz w:val="20"/>
      <w:szCs w:val="20"/>
    </w:rPr>
  </w:style>
  <w:style w:type="character" w:customStyle="1" w:styleId="TextkomenteChar">
    <w:name w:val="Text komentáře Char"/>
    <w:basedOn w:val="Standardnpsmoodstavce"/>
    <w:link w:val="Textkomente"/>
    <w:uiPriority w:val="99"/>
    <w:rsid w:val="00C21DCE"/>
    <w:rPr>
      <w:sz w:val="20"/>
      <w:szCs w:val="20"/>
    </w:rPr>
  </w:style>
  <w:style w:type="character" w:customStyle="1" w:styleId="Nadpis1Char">
    <w:name w:val="Nadpis 1 Char"/>
    <w:basedOn w:val="Standardnpsmoodstavce"/>
    <w:link w:val="Nadpis1"/>
    <w:uiPriority w:val="9"/>
    <w:rsid w:val="00C21DCE"/>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C21D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1DCE"/>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95F7A"/>
    <w:rPr>
      <w:b/>
      <w:bCs/>
    </w:rPr>
  </w:style>
  <w:style w:type="character" w:customStyle="1" w:styleId="PedmtkomenteChar">
    <w:name w:val="Předmět komentáře Char"/>
    <w:basedOn w:val="TextkomenteChar"/>
    <w:link w:val="Pedmtkomente"/>
    <w:uiPriority w:val="99"/>
    <w:semiHidden/>
    <w:rsid w:val="00695F7A"/>
    <w:rPr>
      <w:b/>
      <w:bCs/>
      <w:sz w:val="20"/>
      <w:szCs w:val="20"/>
    </w:rPr>
  </w:style>
  <w:style w:type="paragraph" w:styleId="Zhlav">
    <w:name w:val="header"/>
    <w:basedOn w:val="Normln"/>
    <w:link w:val="ZhlavChar"/>
    <w:uiPriority w:val="99"/>
    <w:unhideWhenUsed/>
    <w:rsid w:val="00432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28B9"/>
  </w:style>
  <w:style w:type="paragraph" w:styleId="Zpat">
    <w:name w:val="footer"/>
    <w:basedOn w:val="Normln"/>
    <w:link w:val="ZpatChar"/>
    <w:uiPriority w:val="99"/>
    <w:unhideWhenUsed/>
    <w:rsid w:val="00432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4328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Prná</dc:creator>
  <cp:lastModifiedBy>onplecb</cp:lastModifiedBy>
  <cp:revision>2</cp:revision>
  <cp:lastPrinted>2016-12-15T09:18:00Z</cp:lastPrinted>
  <dcterms:created xsi:type="dcterms:W3CDTF">2017-12-15T11:20:00Z</dcterms:created>
  <dcterms:modified xsi:type="dcterms:W3CDTF">2017-12-15T11:20:00Z</dcterms:modified>
</cp:coreProperties>
</file>