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6" w:rsidRPr="002C7FF3" w:rsidRDefault="00BC3076" w:rsidP="00BC3076">
      <w:pPr>
        <w:spacing w:before="360"/>
        <w:jc w:val="center"/>
        <w:rPr>
          <w:rFonts w:asciiTheme="minorHAnsi" w:hAnsiTheme="minorHAnsi" w:cstheme="minorHAnsi"/>
          <w:b/>
          <w:bCs/>
          <w:caps/>
          <w:sz w:val="22"/>
          <w:szCs w:val="22"/>
        </w:rPr>
      </w:pPr>
      <w:proofErr w:type="gramStart"/>
      <w:r w:rsidRPr="002C7FF3">
        <w:rPr>
          <w:rFonts w:asciiTheme="minorHAnsi" w:hAnsiTheme="minorHAnsi" w:cstheme="minorHAnsi"/>
          <w:b/>
          <w:bCs/>
          <w:caps/>
          <w:sz w:val="22"/>
          <w:szCs w:val="22"/>
        </w:rPr>
        <w:t>S m l o u v A   o   D Í L O</w:t>
      </w:r>
      <w:proofErr w:type="gramEnd"/>
    </w:p>
    <w:p w:rsidR="00BC3076" w:rsidRPr="002C7FF3" w:rsidRDefault="00BC3076" w:rsidP="00BC3076">
      <w:pPr>
        <w:pStyle w:val="Zkladntext"/>
        <w:spacing w:after="0"/>
        <w:jc w:val="both"/>
        <w:rPr>
          <w:rFonts w:asciiTheme="minorHAnsi" w:hAnsiTheme="minorHAnsi" w:cstheme="minorHAnsi"/>
          <w:sz w:val="22"/>
          <w:szCs w:val="22"/>
        </w:rPr>
      </w:pPr>
    </w:p>
    <w:p w:rsidR="00BC3076" w:rsidRPr="002C7FF3" w:rsidRDefault="00BC3076" w:rsidP="00BC3076">
      <w:pPr>
        <w:pStyle w:val="Zkladntext"/>
        <w:spacing w:after="0"/>
        <w:jc w:val="both"/>
        <w:rPr>
          <w:rFonts w:asciiTheme="minorHAnsi" w:hAnsiTheme="minorHAnsi" w:cstheme="minorHAnsi"/>
          <w:sz w:val="22"/>
          <w:szCs w:val="22"/>
        </w:rPr>
      </w:pPr>
      <w:r w:rsidRPr="002C7FF3">
        <w:rPr>
          <w:rFonts w:asciiTheme="minorHAnsi" w:hAnsiTheme="minorHAnsi" w:cstheme="minorHAnsi"/>
          <w:sz w:val="22"/>
          <w:szCs w:val="22"/>
        </w:rPr>
        <w:t xml:space="preserve">uzavřená dle ustanovení § 2586 a </w:t>
      </w:r>
      <w:proofErr w:type="gramStart"/>
      <w:r w:rsidRPr="002C7FF3">
        <w:rPr>
          <w:rFonts w:asciiTheme="minorHAnsi" w:hAnsiTheme="minorHAnsi" w:cstheme="minorHAnsi"/>
          <w:sz w:val="22"/>
          <w:szCs w:val="22"/>
        </w:rPr>
        <w:t>násl.  zákona</w:t>
      </w:r>
      <w:proofErr w:type="gramEnd"/>
      <w:r w:rsidRPr="002C7FF3">
        <w:rPr>
          <w:rFonts w:asciiTheme="minorHAnsi" w:hAnsiTheme="minorHAnsi" w:cstheme="minorHAnsi"/>
          <w:sz w:val="22"/>
          <w:szCs w:val="22"/>
        </w:rPr>
        <w:t xml:space="preserve"> č. 89/2012 Sb., občanského zákoníku (dále jen Smlouva)</w:t>
      </w:r>
    </w:p>
    <w:p w:rsidR="00BC3076" w:rsidRPr="002C7FF3" w:rsidRDefault="00BC3076" w:rsidP="00BC3076">
      <w:pPr>
        <w:pStyle w:val="Zkladntext"/>
        <w:spacing w:after="0"/>
        <w:rPr>
          <w:rFonts w:asciiTheme="minorHAnsi" w:hAnsiTheme="minorHAnsi" w:cstheme="minorHAnsi"/>
          <w:b/>
          <w:sz w:val="22"/>
          <w:szCs w:val="22"/>
        </w:rPr>
      </w:pPr>
    </w:p>
    <w:p w:rsidR="00BC3076" w:rsidRPr="002C7FF3" w:rsidRDefault="00BC3076" w:rsidP="00BC3076">
      <w:pPr>
        <w:numPr>
          <w:ilvl w:val="0"/>
          <w:numId w:val="1"/>
        </w:numPr>
        <w:suppressAutoHyphens w:val="0"/>
        <w:jc w:val="center"/>
        <w:rPr>
          <w:rFonts w:asciiTheme="minorHAnsi" w:hAnsiTheme="minorHAnsi" w:cstheme="minorHAnsi"/>
          <w:b/>
          <w:sz w:val="22"/>
          <w:szCs w:val="22"/>
        </w:rPr>
      </w:pPr>
      <w:r w:rsidRPr="002C7FF3">
        <w:rPr>
          <w:rFonts w:asciiTheme="minorHAnsi" w:hAnsiTheme="minorHAnsi" w:cstheme="minorHAnsi"/>
          <w:b/>
          <w:sz w:val="22"/>
          <w:szCs w:val="22"/>
        </w:rPr>
        <w:t>SMLUVNÍ STRANY</w:t>
      </w:r>
    </w:p>
    <w:p w:rsidR="00BC3076" w:rsidRPr="002C7FF3" w:rsidRDefault="00BC3076" w:rsidP="00BC3076">
      <w:pPr>
        <w:suppressAutoHyphens w:val="0"/>
        <w:ind w:left="567"/>
        <w:rPr>
          <w:rFonts w:asciiTheme="minorHAnsi" w:hAnsiTheme="minorHAnsi" w:cstheme="minorHAnsi"/>
          <w:b/>
          <w:sz w:val="22"/>
          <w:szCs w:val="22"/>
        </w:rPr>
      </w:pPr>
    </w:p>
    <w:p w:rsidR="00BC3076" w:rsidRPr="00D325E2" w:rsidRDefault="00BC3076" w:rsidP="00BC3076">
      <w:pPr>
        <w:pStyle w:val="Normln0"/>
        <w:spacing w:after="0"/>
        <w:rPr>
          <w:rFonts w:asciiTheme="minorHAnsi" w:eastAsia="SimSun" w:hAnsiTheme="minorHAnsi" w:cstheme="minorHAnsi"/>
          <w:b/>
          <w:sz w:val="22"/>
          <w:szCs w:val="22"/>
          <w:lang w:eastAsia="zh-CN"/>
        </w:rPr>
      </w:pPr>
      <w:r w:rsidRPr="002C7FF3">
        <w:rPr>
          <w:rFonts w:asciiTheme="minorHAnsi" w:eastAsia="SimSun" w:hAnsiTheme="minorHAnsi" w:cstheme="minorHAnsi"/>
          <w:b/>
          <w:sz w:val="22"/>
          <w:szCs w:val="22"/>
          <w:lang w:eastAsia="zh-CN"/>
        </w:rPr>
        <w:t>Objednatel</w:t>
      </w:r>
      <w:r w:rsidRPr="002C7FF3">
        <w:rPr>
          <w:rFonts w:asciiTheme="minorHAnsi" w:eastAsia="SimSun" w:hAnsiTheme="minorHAnsi" w:cstheme="minorHAnsi"/>
          <w:b/>
          <w:sz w:val="22"/>
          <w:szCs w:val="22"/>
          <w:lang w:eastAsia="zh-CN"/>
        </w:rPr>
        <w:tab/>
        <w:t xml:space="preserve">: </w:t>
      </w:r>
      <w:r w:rsidR="00CC26D0" w:rsidRPr="00DB7CF2">
        <w:rPr>
          <w:rFonts w:asciiTheme="minorHAnsi" w:hAnsiTheme="minorHAnsi"/>
          <w:b/>
          <w:sz w:val="22"/>
          <w:szCs w:val="22"/>
        </w:rPr>
        <w:t>Základní škola Šumperk, Sluneční 38</w:t>
      </w:r>
    </w:p>
    <w:p w:rsidR="00BC3076" w:rsidRPr="00D325E2" w:rsidRDefault="00BC3076" w:rsidP="00BC3076">
      <w:pPr>
        <w:pStyle w:val="Normln0"/>
        <w:spacing w:after="0"/>
        <w:rPr>
          <w:rFonts w:asciiTheme="minorHAnsi" w:eastAsia="SimSun" w:hAnsiTheme="minorHAnsi" w:cstheme="minorHAnsi"/>
          <w:sz w:val="22"/>
          <w:szCs w:val="22"/>
          <w:lang w:eastAsia="zh-CN"/>
        </w:rPr>
      </w:pPr>
      <w:r w:rsidRPr="00D325E2">
        <w:rPr>
          <w:rFonts w:asciiTheme="minorHAnsi" w:eastAsia="SimSun" w:hAnsiTheme="minorHAnsi" w:cstheme="minorHAnsi"/>
          <w:sz w:val="22"/>
          <w:szCs w:val="22"/>
          <w:lang w:eastAsia="zh-CN"/>
        </w:rPr>
        <w:t>se sídlem</w:t>
      </w:r>
      <w:r w:rsidRPr="00D325E2">
        <w:rPr>
          <w:rFonts w:asciiTheme="minorHAnsi" w:eastAsia="SimSun" w:hAnsiTheme="minorHAnsi" w:cstheme="minorHAnsi"/>
          <w:sz w:val="22"/>
          <w:szCs w:val="22"/>
          <w:lang w:eastAsia="zh-CN"/>
        </w:rPr>
        <w:tab/>
        <w:t xml:space="preserve">: </w:t>
      </w:r>
      <w:r w:rsidR="00D325E2" w:rsidRPr="00D325E2">
        <w:rPr>
          <w:rFonts w:asciiTheme="minorHAnsi" w:hAnsiTheme="minorHAnsi"/>
          <w:sz w:val="22"/>
          <w:szCs w:val="22"/>
        </w:rPr>
        <w:t>Sluneční 2692/38, 787 01  Šumperk</w:t>
      </w:r>
    </w:p>
    <w:p w:rsidR="00D325E2" w:rsidRPr="00D325E2" w:rsidRDefault="00BC3076" w:rsidP="00BC3076">
      <w:pPr>
        <w:pStyle w:val="Normln0"/>
        <w:spacing w:after="0"/>
        <w:rPr>
          <w:rFonts w:asciiTheme="minorHAnsi" w:hAnsiTheme="minorHAnsi"/>
          <w:sz w:val="22"/>
          <w:szCs w:val="22"/>
        </w:rPr>
      </w:pPr>
      <w:r w:rsidRPr="00D325E2">
        <w:rPr>
          <w:rFonts w:asciiTheme="minorHAnsi" w:hAnsiTheme="minorHAnsi" w:cstheme="minorHAnsi"/>
          <w:sz w:val="22"/>
          <w:szCs w:val="22"/>
        </w:rPr>
        <w:t>IČ</w:t>
      </w:r>
      <w:r w:rsidRPr="00D325E2">
        <w:rPr>
          <w:rFonts w:asciiTheme="minorHAnsi" w:hAnsiTheme="minorHAnsi" w:cstheme="minorHAnsi"/>
          <w:sz w:val="22"/>
          <w:szCs w:val="22"/>
        </w:rPr>
        <w:tab/>
      </w:r>
      <w:r w:rsidRPr="00D325E2">
        <w:rPr>
          <w:rFonts w:asciiTheme="minorHAnsi" w:hAnsiTheme="minorHAnsi" w:cstheme="minorHAnsi"/>
          <w:sz w:val="22"/>
          <w:szCs w:val="22"/>
        </w:rPr>
        <w:tab/>
        <w:t xml:space="preserve">: </w:t>
      </w:r>
      <w:r w:rsidR="00D325E2" w:rsidRPr="00D325E2">
        <w:rPr>
          <w:rFonts w:asciiTheme="minorHAnsi" w:hAnsiTheme="minorHAnsi"/>
          <w:sz w:val="22"/>
          <w:szCs w:val="22"/>
        </w:rPr>
        <w:t>00852864</w:t>
      </w:r>
    </w:p>
    <w:p w:rsidR="00D325E2" w:rsidRPr="00D325E2" w:rsidRDefault="00D325E2" w:rsidP="00BC3076">
      <w:pPr>
        <w:pStyle w:val="Normln0"/>
        <w:spacing w:after="0"/>
        <w:rPr>
          <w:rFonts w:asciiTheme="minorHAnsi" w:hAnsiTheme="minorHAnsi"/>
          <w:sz w:val="22"/>
          <w:szCs w:val="22"/>
        </w:rPr>
      </w:pPr>
      <w:r w:rsidRPr="00D325E2">
        <w:rPr>
          <w:rFonts w:asciiTheme="minorHAnsi" w:hAnsiTheme="minorHAnsi"/>
          <w:sz w:val="22"/>
          <w:szCs w:val="22"/>
        </w:rPr>
        <w:t>DIČ</w:t>
      </w:r>
      <w:r w:rsidRPr="00D325E2">
        <w:rPr>
          <w:rFonts w:asciiTheme="minorHAnsi" w:hAnsiTheme="minorHAnsi"/>
          <w:sz w:val="22"/>
          <w:szCs w:val="22"/>
        </w:rPr>
        <w:tab/>
      </w:r>
      <w:r w:rsidRPr="00D325E2">
        <w:rPr>
          <w:rFonts w:asciiTheme="minorHAnsi" w:hAnsiTheme="minorHAnsi"/>
          <w:sz w:val="22"/>
          <w:szCs w:val="22"/>
        </w:rPr>
        <w:tab/>
        <w:t xml:space="preserve">: </w:t>
      </w:r>
      <w:r w:rsidRPr="00D325E2">
        <w:rPr>
          <w:rFonts w:asciiTheme="minorHAnsi" w:hAnsiTheme="minorHAnsi"/>
          <w:sz w:val="22"/>
          <w:szCs w:val="22"/>
        </w:rPr>
        <w:t>CZ00852864</w:t>
      </w:r>
    </w:p>
    <w:p w:rsidR="00D325E2" w:rsidRPr="00D325E2" w:rsidRDefault="00D325E2" w:rsidP="00D325E2">
      <w:pPr>
        <w:rPr>
          <w:rFonts w:asciiTheme="minorHAnsi" w:hAnsiTheme="minorHAnsi" w:cstheme="minorHAnsi"/>
          <w:sz w:val="22"/>
          <w:szCs w:val="22"/>
        </w:rPr>
      </w:pPr>
      <w:r w:rsidRPr="00D325E2">
        <w:rPr>
          <w:rFonts w:asciiTheme="minorHAnsi" w:hAnsiTheme="minorHAnsi" w:cstheme="minorHAnsi"/>
          <w:sz w:val="22"/>
          <w:szCs w:val="22"/>
        </w:rPr>
        <w:t xml:space="preserve">bank. </w:t>
      </w:r>
      <w:proofErr w:type="gramStart"/>
      <w:r w:rsidRPr="00D325E2">
        <w:rPr>
          <w:rFonts w:asciiTheme="minorHAnsi" w:hAnsiTheme="minorHAnsi" w:cstheme="minorHAnsi"/>
          <w:sz w:val="22"/>
          <w:szCs w:val="22"/>
        </w:rPr>
        <w:t>spojení</w:t>
      </w:r>
      <w:proofErr w:type="gramEnd"/>
      <w:r w:rsidRPr="00D325E2">
        <w:rPr>
          <w:rFonts w:asciiTheme="minorHAnsi" w:hAnsiTheme="minorHAnsi" w:cstheme="minorHAnsi"/>
          <w:sz w:val="22"/>
          <w:szCs w:val="22"/>
        </w:rPr>
        <w:tab/>
        <w:t xml:space="preserve">: </w:t>
      </w:r>
      <w:r w:rsidRPr="00D325E2">
        <w:rPr>
          <w:rFonts w:asciiTheme="minorHAnsi" w:hAnsiTheme="minorHAnsi"/>
          <w:sz w:val="22"/>
          <w:szCs w:val="22"/>
        </w:rPr>
        <w:t>2575967 / 0300</w:t>
      </w:r>
    </w:p>
    <w:p w:rsidR="00BC3076" w:rsidRPr="00D325E2" w:rsidRDefault="00BC3076" w:rsidP="00BC3076">
      <w:pPr>
        <w:pStyle w:val="Normln0"/>
        <w:spacing w:after="0"/>
        <w:rPr>
          <w:rFonts w:asciiTheme="minorHAnsi" w:hAnsiTheme="minorHAnsi" w:cstheme="minorHAnsi"/>
          <w:sz w:val="22"/>
          <w:szCs w:val="22"/>
        </w:rPr>
      </w:pPr>
      <w:r w:rsidRPr="00D325E2">
        <w:rPr>
          <w:rFonts w:asciiTheme="minorHAnsi" w:hAnsiTheme="minorHAnsi" w:cstheme="minorHAnsi"/>
          <w:sz w:val="22"/>
          <w:szCs w:val="22"/>
        </w:rPr>
        <w:t xml:space="preserve">Zastoupená </w:t>
      </w:r>
      <w:r w:rsidRPr="00D325E2">
        <w:rPr>
          <w:rFonts w:asciiTheme="minorHAnsi" w:hAnsiTheme="minorHAnsi" w:cstheme="minorHAnsi"/>
          <w:sz w:val="22"/>
          <w:szCs w:val="22"/>
        </w:rPr>
        <w:tab/>
        <w:t xml:space="preserve">: </w:t>
      </w:r>
      <w:r w:rsidR="00D325E2" w:rsidRPr="00D325E2">
        <w:rPr>
          <w:rFonts w:asciiTheme="minorHAnsi" w:hAnsiTheme="minorHAnsi"/>
          <w:bCs/>
          <w:sz w:val="22"/>
          <w:szCs w:val="22"/>
        </w:rPr>
        <w:t>Hynek</w:t>
      </w:r>
      <w:r w:rsidR="00DB7CF2">
        <w:rPr>
          <w:rFonts w:asciiTheme="minorHAnsi" w:hAnsiTheme="minorHAnsi"/>
          <w:bCs/>
          <w:sz w:val="22"/>
          <w:szCs w:val="22"/>
        </w:rPr>
        <w:t xml:space="preserve"> </w:t>
      </w:r>
      <w:r w:rsidR="00DB7CF2" w:rsidRPr="00D325E2">
        <w:rPr>
          <w:rFonts w:asciiTheme="minorHAnsi" w:hAnsiTheme="minorHAnsi"/>
          <w:bCs/>
          <w:sz w:val="22"/>
          <w:szCs w:val="22"/>
        </w:rPr>
        <w:t>Pálka</w:t>
      </w:r>
      <w:r w:rsidR="00D325E2" w:rsidRPr="00D325E2">
        <w:rPr>
          <w:rFonts w:asciiTheme="minorHAnsi" w:hAnsiTheme="minorHAnsi"/>
          <w:bCs/>
          <w:sz w:val="22"/>
          <w:szCs w:val="22"/>
        </w:rPr>
        <w:t>, PaedDr.</w:t>
      </w:r>
      <w:r w:rsidR="00D325E2" w:rsidRPr="00D325E2">
        <w:rPr>
          <w:rFonts w:asciiTheme="minorHAnsi" w:hAnsiTheme="minorHAnsi"/>
          <w:sz w:val="22"/>
          <w:szCs w:val="22"/>
        </w:rPr>
        <w:t>,</w:t>
      </w:r>
      <w:r w:rsidR="00D325E2">
        <w:rPr>
          <w:rFonts w:asciiTheme="minorHAnsi" w:hAnsiTheme="minorHAnsi"/>
          <w:sz w:val="22"/>
          <w:szCs w:val="22"/>
        </w:rPr>
        <w:t xml:space="preserve"> ředitel</w:t>
      </w:r>
      <w:r w:rsidR="00D57705" w:rsidRPr="00D325E2">
        <w:rPr>
          <w:rFonts w:asciiTheme="minorHAnsi" w:hAnsiTheme="minorHAnsi"/>
          <w:sz w:val="22"/>
          <w:szCs w:val="22"/>
        </w:rPr>
        <w:t xml:space="preserve"> školy</w:t>
      </w:r>
    </w:p>
    <w:p w:rsidR="00BC3076" w:rsidRPr="00D325E2" w:rsidRDefault="00BC3076" w:rsidP="00BC3076">
      <w:pPr>
        <w:rPr>
          <w:rFonts w:asciiTheme="minorHAnsi" w:hAnsiTheme="minorHAnsi" w:cstheme="minorHAnsi"/>
          <w:sz w:val="22"/>
          <w:szCs w:val="22"/>
        </w:rPr>
      </w:pPr>
      <w:r w:rsidRPr="00D325E2">
        <w:rPr>
          <w:rFonts w:asciiTheme="minorHAnsi" w:hAnsiTheme="minorHAnsi" w:cstheme="minorHAnsi"/>
          <w:sz w:val="22"/>
          <w:szCs w:val="22"/>
        </w:rPr>
        <w:t>dále jen</w:t>
      </w:r>
      <w:r w:rsidRPr="00D325E2">
        <w:rPr>
          <w:rFonts w:asciiTheme="minorHAnsi" w:hAnsiTheme="minorHAnsi" w:cstheme="minorHAnsi"/>
          <w:sz w:val="22"/>
          <w:szCs w:val="22"/>
        </w:rPr>
        <w:tab/>
        <w:t>: „objednatel“</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a</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b/>
          <w:sz w:val="22"/>
          <w:szCs w:val="22"/>
        </w:rPr>
      </w:pPr>
      <w:r w:rsidRPr="002C7FF3">
        <w:rPr>
          <w:rFonts w:asciiTheme="minorHAnsi" w:hAnsiTheme="minorHAnsi" w:cstheme="minorHAnsi"/>
          <w:b/>
          <w:sz w:val="22"/>
          <w:szCs w:val="22"/>
        </w:rPr>
        <w:t xml:space="preserve">Zhotovitel </w:t>
      </w:r>
      <w:r w:rsidRPr="002C7FF3">
        <w:rPr>
          <w:rFonts w:asciiTheme="minorHAnsi" w:hAnsiTheme="minorHAnsi" w:cstheme="minorHAnsi"/>
          <w:b/>
          <w:sz w:val="22"/>
          <w:szCs w:val="22"/>
        </w:rPr>
        <w:tab/>
        <w:t xml:space="preserve">: </w:t>
      </w:r>
      <w:r w:rsidR="00410202">
        <w:rPr>
          <w:rFonts w:asciiTheme="minorHAnsi" w:hAnsiTheme="minorHAnsi" w:cstheme="minorHAnsi"/>
          <w:b/>
          <w:sz w:val="22"/>
          <w:szCs w:val="22"/>
        </w:rPr>
        <w:t>Tomáš Kudláček</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se sídlem</w:t>
      </w:r>
      <w:r w:rsidRPr="002C7FF3">
        <w:rPr>
          <w:rFonts w:asciiTheme="minorHAnsi" w:hAnsiTheme="minorHAnsi" w:cstheme="minorHAnsi"/>
          <w:sz w:val="22"/>
          <w:szCs w:val="22"/>
        </w:rPr>
        <w:tab/>
        <w:t xml:space="preserve">: </w:t>
      </w:r>
      <w:proofErr w:type="spellStart"/>
      <w:proofErr w:type="gramStart"/>
      <w:r w:rsidR="00410202">
        <w:rPr>
          <w:rFonts w:asciiTheme="minorHAnsi" w:hAnsiTheme="minorHAnsi"/>
          <w:sz w:val="22"/>
          <w:szCs w:val="22"/>
        </w:rPr>
        <w:t>St.Manharda</w:t>
      </w:r>
      <w:proofErr w:type="spellEnd"/>
      <w:proofErr w:type="gramEnd"/>
      <w:r w:rsidR="00410202">
        <w:rPr>
          <w:rFonts w:asciiTheme="minorHAnsi" w:hAnsiTheme="minorHAnsi"/>
          <w:sz w:val="22"/>
          <w:szCs w:val="22"/>
        </w:rPr>
        <w:t xml:space="preserve"> 39</w:t>
      </w:r>
      <w:r w:rsidR="00227D91" w:rsidRPr="002C7FF3">
        <w:rPr>
          <w:rFonts w:asciiTheme="minorHAnsi" w:hAnsiTheme="minorHAnsi"/>
          <w:sz w:val="22"/>
          <w:szCs w:val="22"/>
        </w:rPr>
        <w:t>, 796 01 Prostějov</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zastoupený</w:t>
      </w:r>
      <w:r w:rsidRPr="002C7FF3">
        <w:rPr>
          <w:rFonts w:asciiTheme="minorHAnsi" w:hAnsiTheme="minorHAnsi" w:cstheme="minorHAnsi"/>
          <w:sz w:val="22"/>
          <w:szCs w:val="22"/>
        </w:rPr>
        <w:tab/>
        <w:t>: Tomáš Kudláček</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IČ</w:t>
      </w:r>
      <w:r w:rsidRPr="002C7FF3">
        <w:rPr>
          <w:rFonts w:asciiTheme="minorHAnsi" w:hAnsiTheme="minorHAnsi" w:cstheme="minorHAnsi"/>
          <w:sz w:val="22"/>
          <w:szCs w:val="22"/>
        </w:rPr>
        <w:tab/>
      </w:r>
      <w:r w:rsidRPr="002C7FF3">
        <w:rPr>
          <w:rFonts w:asciiTheme="minorHAnsi" w:hAnsiTheme="minorHAnsi" w:cstheme="minorHAnsi"/>
          <w:sz w:val="22"/>
          <w:szCs w:val="22"/>
        </w:rPr>
        <w:tab/>
        <w:t>:</w:t>
      </w:r>
      <w:r w:rsidR="00227D91" w:rsidRPr="002C7FF3">
        <w:rPr>
          <w:b/>
          <w:bCs/>
          <w:sz w:val="22"/>
          <w:szCs w:val="22"/>
        </w:rPr>
        <w:t xml:space="preserve"> </w:t>
      </w:r>
      <w:r w:rsidR="00410202">
        <w:rPr>
          <w:rStyle w:val="nowrap"/>
          <w:rFonts w:asciiTheme="minorHAnsi" w:hAnsiTheme="minorHAnsi"/>
          <w:bCs/>
          <w:sz w:val="22"/>
          <w:szCs w:val="22"/>
        </w:rPr>
        <w:t>49430548</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DIČ</w:t>
      </w:r>
      <w:r w:rsidRPr="002C7FF3">
        <w:rPr>
          <w:rFonts w:asciiTheme="minorHAnsi" w:hAnsiTheme="minorHAnsi" w:cstheme="minorHAnsi"/>
          <w:sz w:val="22"/>
          <w:szCs w:val="22"/>
        </w:rPr>
        <w:tab/>
      </w:r>
      <w:r w:rsidRPr="002C7FF3">
        <w:rPr>
          <w:rFonts w:asciiTheme="minorHAnsi" w:hAnsiTheme="minorHAnsi" w:cstheme="minorHAnsi"/>
          <w:sz w:val="22"/>
          <w:szCs w:val="22"/>
        </w:rPr>
        <w:tab/>
        <w:t xml:space="preserve">: </w:t>
      </w:r>
      <w:r w:rsidR="00410202">
        <w:rPr>
          <w:rFonts w:asciiTheme="minorHAnsi" w:hAnsiTheme="minorHAnsi" w:cstheme="minorHAnsi"/>
          <w:sz w:val="22"/>
          <w:szCs w:val="22"/>
        </w:rPr>
        <w:t>CZ49430548</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bank</w:t>
      </w:r>
      <w:r w:rsidR="001C3724" w:rsidRPr="002C7FF3">
        <w:rPr>
          <w:rFonts w:asciiTheme="minorHAnsi" w:hAnsiTheme="minorHAnsi" w:cstheme="minorHAnsi"/>
          <w:sz w:val="22"/>
          <w:szCs w:val="22"/>
        </w:rPr>
        <w:t>.</w:t>
      </w:r>
      <w:r w:rsidRPr="002C7FF3">
        <w:rPr>
          <w:rFonts w:asciiTheme="minorHAnsi" w:hAnsiTheme="minorHAnsi" w:cstheme="minorHAnsi"/>
          <w:sz w:val="22"/>
          <w:szCs w:val="22"/>
        </w:rPr>
        <w:t xml:space="preserve"> </w:t>
      </w:r>
      <w:proofErr w:type="gramStart"/>
      <w:r w:rsidR="00D325E2">
        <w:rPr>
          <w:rFonts w:asciiTheme="minorHAnsi" w:hAnsiTheme="minorHAnsi" w:cstheme="minorHAnsi"/>
          <w:sz w:val="22"/>
          <w:szCs w:val="22"/>
        </w:rPr>
        <w:t>s</w:t>
      </w:r>
      <w:r w:rsidRPr="002C7FF3">
        <w:rPr>
          <w:rFonts w:asciiTheme="minorHAnsi" w:hAnsiTheme="minorHAnsi" w:cstheme="minorHAnsi"/>
          <w:sz w:val="22"/>
          <w:szCs w:val="22"/>
        </w:rPr>
        <w:t>pojení</w:t>
      </w:r>
      <w:proofErr w:type="gramEnd"/>
      <w:r w:rsidR="001C3724" w:rsidRPr="002C7FF3">
        <w:rPr>
          <w:rFonts w:asciiTheme="minorHAnsi" w:hAnsiTheme="minorHAnsi" w:cstheme="minorHAnsi"/>
          <w:sz w:val="22"/>
          <w:szCs w:val="22"/>
        </w:rPr>
        <w:tab/>
      </w:r>
      <w:r w:rsidRPr="002C7FF3">
        <w:rPr>
          <w:rFonts w:asciiTheme="minorHAnsi" w:hAnsiTheme="minorHAnsi" w:cstheme="minorHAnsi"/>
          <w:sz w:val="22"/>
          <w:szCs w:val="22"/>
        </w:rPr>
        <w:t>:</w:t>
      </w:r>
      <w:r w:rsidR="001C3724" w:rsidRPr="002C7FF3">
        <w:rPr>
          <w:rFonts w:asciiTheme="minorHAnsi" w:hAnsiTheme="minorHAnsi" w:cstheme="minorHAnsi"/>
          <w:sz w:val="22"/>
          <w:szCs w:val="22"/>
        </w:rPr>
        <w:t xml:space="preserve"> </w:t>
      </w:r>
      <w:r w:rsidR="00410202" w:rsidRPr="00410202">
        <w:rPr>
          <w:rFonts w:asciiTheme="minorHAnsi" w:eastAsia="Times New Roman" w:hAnsiTheme="minorHAnsi" w:cstheme="minorHAnsi"/>
          <w:sz w:val="22"/>
          <w:szCs w:val="22"/>
          <w:lang w:eastAsia="cs-CZ"/>
        </w:rPr>
        <w:t>43-9642810217</w:t>
      </w:r>
      <w:r w:rsidRPr="002C7FF3">
        <w:rPr>
          <w:rFonts w:asciiTheme="minorHAnsi" w:eastAsia="Times New Roman" w:hAnsiTheme="minorHAnsi" w:cstheme="minorHAnsi"/>
          <w:sz w:val="22"/>
          <w:szCs w:val="22"/>
          <w:lang w:eastAsia="cs-CZ"/>
        </w:rPr>
        <w:t>/0100</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dále jen</w:t>
      </w:r>
      <w:r w:rsidRPr="002C7FF3">
        <w:rPr>
          <w:rFonts w:asciiTheme="minorHAnsi" w:hAnsiTheme="minorHAnsi" w:cstheme="minorHAnsi"/>
          <w:sz w:val="22"/>
          <w:szCs w:val="22"/>
        </w:rPr>
        <w:tab/>
        <w:t>: „zhotovitel“</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(objednatel a zhotovitel dále jen jako „smluvní strany“)</w:t>
      </w:r>
    </w:p>
    <w:p w:rsidR="00BC3076" w:rsidRPr="002C7FF3" w:rsidRDefault="00BC3076" w:rsidP="00BC3076">
      <w:pPr>
        <w:keepNext/>
        <w:spacing w:before="240"/>
        <w:rPr>
          <w:rFonts w:asciiTheme="minorHAnsi" w:hAnsiTheme="minorHAnsi" w:cstheme="minorHAnsi"/>
          <w:b/>
          <w:sz w:val="22"/>
          <w:szCs w:val="22"/>
        </w:rPr>
      </w:pPr>
      <w:proofErr w:type="gramStart"/>
      <w:r w:rsidRPr="002C7FF3">
        <w:rPr>
          <w:rFonts w:asciiTheme="minorHAnsi" w:hAnsiTheme="minorHAnsi" w:cstheme="minorHAnsi"/>
          <w:b/>
          <w:sz w:val="22"/>
          <w:szCs w:val="22"/>
        </w:rPr>
        <w:t>se dohodly</w:t>
      </w:r>
      <w:proofErr w:type="gramEnd"/>
      <w:r w:rsidRPr="002C7FF3">
        <w:rPr>
          <w:rFonts w:asciiTheme="minorHAnsi" w:hAnsiTheme="minorHAnsi" w:cstheme="minorHAnsi"/>
          <w:b/>
          <w:sz w:val="22"/>
          <w:szCs w:val="22"/>
        </w:rPr>
        <w:t xml:space="preserve"> takto:</w:t>
      </w:r>
    </w:p>
    <w:p w:rsidR="00BC3076" w:rsidRPr="002C7FF3" w:rsidRDefault="00BC3076" w:rsidP="00BC3076">
      <w:pPr>
        <w:rPr>
          <w:rFonts w:asciiTheme="minorHAnsi" w:hAnsiTheme="minorHAnsi" w:cstheme="minorHAnsi"/>
          <w:sz w:val="22"/>
          <w:szCs w:val="22"/>
        </w:rPr>
      </w:pP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PŘEDMĚT SMLOUVY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Zhotovitel se zavazuje, že za podmínek ujednaných v této Smlouvě provede pro objednatele dodávku, instalaci přístupového systému (vč. dodávky přístupových čipů uživatelům), dodávku přístupových čipů po dobu trvání této Smlouvy</w:t>
      </w:r>
      <w:r w:rsidR="0099708C">
        <w:rPr>
          <w:rFonts w:asciiTheme="minorHAnsi" w:hAnsiTheme="minorHAnsi" w:cstheme="minorHAnsi"/>
          <w:sz w:val="22"/>
          <w:szCs w:val="22"/>
        </w:rPr>
        <w:t>,</w:t>
      </w:r>
      <w:r w:rsidRPr="002C7FF3">
        <w:rPr>
          <w:rFonts w:asciiTheme="minorHAnsi" w:hAnsiTheme="minorHAnsi" w:cstheme="minorHAnsi"/>
          <w:sz w:val="22"/>
          <w:szCs w:val="22"/>
        </w:rPr>
        <w:t xml:space="preserve"> minimálně však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w:t>
      </w:r>
      <w:r w:rsidR="0099708C">
        <w:rPr>
          <w:rFonts w:asciiTheme="minorHAnsi" w:hAnsiTheme="minorHAnsi" w:cstheme="minorHAnsi"/>
          <w:sz w:val="22"/>
          <w:szCs w:val="22"/>
        </w:rPr>
        <w:t>,</w:t>
      </w:r>
      <w:r w:rsidRPr="002C7FF3">
        <w:rPr>
          <w:rFonts w:asciiTheme="minorHAnsi" w:hAnsiTheme="minorHAnsi" w:cstheme="minorHAnsi"/>
          <w:sz w:val="22"/>
          <w:szCs w:val="22"/>
        </w:rPr>
        <w:t xml:space="preserve"> a servisní služby v rozsahu dále sjednaném. Objednatel se zavazuje, že poskytne zhotoviteli při plnění závazků z této Smlouvy potřebnou součinnost a zaplatí cenu díla za podmínek v této Smlouvě dále sjednaných. </w:t>
      </w:r>
    </w:p>
    <w:p w:rsidR="00BC3076" w:rsidRPr="002C7FF3" w:rsidRDefault="00BC3076" w:rsidP="00171DFC">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Pokud se týká dodávky a instalace přístupového systému, je sjednaný rozsah díla vymezen v „</w:t>
      </w:r>
      <w:r w:rsidR="006F5308">
        <w:rPr>
          <w:rFonts w:asciiTheme="minorHAnsi" w:hAnsiTheme="minorHAnsi" w:cstheme="minorHAnsi"/>
          <w:sz w:val="22"/>
          <w:szCs w:val="22"/>
        </w:rPr>
        <w:t>položkovém rozpočtu</w:t>
      </w:r>
      <w:r w:rsidRPr="002C7FF3">
        <w:rPr>
          <w:rFonts w:asciiTheme="minorHAnsi" w:hAnsiTheme="minorHAnsi" w:cstheme="minorHAnsi"/>
          <w:sz w:val="22"/>
          <w:szCs w:val="22"/>
        </w:rPr>
        <w:t>“, kter</w:t>
      </w:r>
      <w:r w:rsidR="006F5308">
        <w:rPr>
          <w:rFonts w:asciiTheme="minorHAnsi" w:hAnsiTheme="minorHAnsi" w:cstheme="minorHAnsi"/>
          <w:sz w:val="22"/>
          <w:szCs w:val="22"/>
        </w:rPr>
        <w:t>ý</w:t>
      </w:r>
      <w:r w:rsidRPr="002C7FF3">
        <w:rPr>
          <w:rFonts w:asciiTheme="minorHAnsi" w:hAnsiTheme="minorHAnsi" w:cstheme="minorHAnsi"/>
          <w:sz w:val="22"/>
          <w:szCs w:val="22"/>
        </w:rPr>
        <w:t xml:space="preserve"> je Přílohou č. 1 a </w:t>
      </w:r>
      <w:r w:rsidR="00FD74BF" w:rsidRPr="002C7FF3">
        <w:rPr>
          <w:rFonts w:asciiTheme="minorHAnsi" w:hAnsiTheme="minorHAnsi" w:cstheme="minorHAnsi"/>
          <w:sz w:val="22"/>
          <w:szCs w:val="22"/>
        </w:rPr>
        <w:t xml:space="preserve">je </w:t>
      </w:r>
      <w:r w:rsidRPr="002C7FF3">
        <w:rPr>
          <w:rFonts w:asciiTheme="minorHAnsi" w:hAnsiTheme="minorHAnsi" w:cstheme="minorHAnsi"/>
          <w:sz w:val="22"/>
          <w:szCs w:val="22"/>
        </w:rPr>
        <w:t xml:space="preserve">nedílnou součástí této Smlouvy. Pokud se týká času plnění tohoto závazku, bylo mezi Smluvními stranami dojednáno, že objednatel umožní zhotoviteli přístup do budovy/budov, kde bude přístupový systém instalován od dne </w:t>
      </w:r>
      <w:proofErr w:type="gramStart"/>
      <w:r w:rsidR="00D325E2">
        <w:rPr>
          <w:rFonts w:asciiTheme="minorHAnsi" w:hAnsiTheme="minorHAnsi" w:cstheme="minorHAnsi"/>
          <w:sz w:val="22"/>
          <w:szCs w:val="22"/>
        </w:rPr>
        <w:t>10.12.</w:t>
      </w:r>
      <w:r w:rsidR="002A7FDF" w:rsidRPr="00F45FEC">
        <w:rPr>
          <w:rFonts w:asciiTheme="minorHAnsi" w:hAnsiTheme="minorHAnsi" w:cstheme="minorHAnsi"/>
          <w:sz w:val="22"/>
          <w:szCs w:val="22"/>
        </w:rPr>
        <w:t>2017</w:t>
      </w:r>
      <w:proofErr w:type="gramEnd"/>
      <w:r w:rsidRPr="00F45FEC">
        <w:rPr>
          <w:rFonts w:asciiTheme="minorHAnsi" w:hAnsiTheme="minorHAnsi" w:cstheme="minorHAnsi"/>
          <w:sz w:val="22"/>
          <w:szCs w:val="22"/>
        </w:rPr>
        <w:t xml:space="preserve"> a zhotovitel se zavazuje, že instalaci přístupového systému ukončí a systém předá objednateli nejpozději dne </w:t>
      </w:r>
      <w:r w:rsidR="00D325E2">
        <w:rPr>
          <w:rFonts w:asciiTheme="minorHAnsi" w:hAnsiTheme="minorHAnsi" w:cstheme="minorHAnsi"/>
          <w:sz w:val="22"/>
          <w:szCs w:val="22"/>
        </w:rPr>
        <w:t>2</w:t>
      </w:r>
      <w:r w:rsidR="00DB7CF2">
        <w:rPr>
          <w:rFonts w:asciiTheme="minorHAnsi" w:hAnsiTheme="minorHAnsi" w:cstheme="minorHAnsi"/>
          <w:sz w:val="22"/>
          <w:szCs w:val="22"/>
        </w:rPr>
        <w:t>2</w:t>
      </w:r>
      <w:r w:rsidR="00D325E2">
        <w:rPr>
          <w:rFonts w:asciiTheme="minorHAnsi" w:hAnsiTheme="minorHAnsi" w:cstheme="minorHAnsi"/>
          <w:sz w:val="22"/>
          <w:szCs w:val="22"/>
        </w:rPr>
        <w:t>.12</w:t>
      </w:r>
      <w:r w:rsidR="002A7FDF" w:rsidRPr="00F45FEC">
        <w:rPr>
          <w:rFonts w:asciiTheme="minorHAnsi" w:hAnsiTheme="minorHAnsi" w:cstheme="minorHAnsi"/>
          <w:sz w:val="22"/>
          <w:szCs w:val="22"/>
        </w:rPr>
        <w:t>.2017</w:t>
      </w:r>
      <w:r w:rsidR="00BA7212">
        <w:rPr>
          <w:rFonts w:asciiTheme="minorHAnsi" w:hAnsiTheme="minorHAnsi" w:cstheme="minorHAnsi"/>
          <w:sz w:val="22"/>
          <w:szCs w:val="22"/>
        </w:rPr>
        <w:t>.</w:t>
      </w:r>
      <w:r w:rsidRPr="002C7FF3">
        <w:rPr>
          <w:rFonts w:asciiTheme="minorHAnsi" w:hAnsiTheme="minorHAnsi" w:cstheme="minorHAnsi"/>
          <w:sz w:val="22"/>
          <w:szCs w:val="22"/>
        </w:rPr>
        <w:t xml:space="preserve"> </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Pokud se týká dodávky přístupových čipů, zavazuje se objednatel tyto přístupové čipy odebírat minimálně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 od uzavření této Smlouvy od zhotovitele</w:t>
      </w:r>
      <w:r w:rsidR="0099708C">
        <w:rPr>
          <w:rFonts w:asciiTheme="minorHAnsi" w:hAnsiTheme="minorHAnsi" w:cstheme="minorHAnsi"/>
          <w:sz w:val="22"/>
          <w:szCs w:val="22"/>
        </w:rPr>
        <w:t>, a to v případě potřeby, zejména pro nově příchozí žáky</w:t>
      </w:r>
      <w:r w:rsidRPr="002C7FF3">
        <w:rPr>
          <w:rFonts w:asciiTheme="minorHAnsi" w:hAnsiTheme="minorHAnsi" w:cstheme="minorHAnsi"/>
          <w:sz w:val="22"/>
          <w:szCs w:val="22"/>
        </w:rPr>
        <w:t xml:space="preserve">. Pokud se týká dodávky čipů v následujících obdobích po dobu platnosti této Smlouvy, minimálně však po </w:t>
      </w:r>
      <w:proofErr w:type="gramStart"/>
      <w:r w:rsidRPr="002C7FF3">
        <w:rPr>
          <w:rFonts w:asciiTheme="minorHAnsi" w:hAnsiTheme="minorHAnsi" w:cstheme="minorHAnsi"/>
          <w:sz w:val="22"/>
          <w:szCs w:val="22"/>
        </w:rPr>
        <w:t xml:space="preserve">dobu </w:t>
      </w:r>
      <w:r w:rsidR="00D325E2">
        <w:rPr>
          <w:rFonts w:asciiTheme="minorHAnsi" w:hAnsiTheme="minorHAnsi" w:cstheme="minorHAnsi"/>
          <w:sz w:val="22"/>
          <w:szCs w:val="22"/>
        </w:rPr>
        <w:t>5</w:t>
      </w:r>
      <w:r w:rsidRPr="002C7FF3">
        <w:rPr>
          <w:rFonts w:asciiTheme="minorHAnsi" w:hAnsiTheme="minorHAnsi" w:cstheme="minorHAnsi"/>
          <w:sz w:val="22"/>
          <w:szCs w:val="22"/>
        </w:rPr>
        <w:t>-ti</w:t>
      </w:r>
      <w:proofErr w:type="gramEnd"/>
      <w:r w:rsidRPr="002C7FF3">
        <w:rPr>
          <w:rFonts w:asciiTheme="minorHAnsi" w:hAnsiTheme="minorHAnsi" w:cstheme="minorHAnsi"/>
          <w:sz w:val="22"/>
          <w:szCs w:val="22"/>
        </w:rPr>
        <w:t xml:space="preserve"> let</w:t>
      </w:r>
      <w:r w:rsidR="00FD74BF" w:rsidRPr="002C7FF3">
        <w:rPr>
          <w:rFonts w:asciiTheme="minorHAnsi" w:hAnsiTheme="minorHAnsi" w:cstheme="minorHAnsi"/>
          <w:sz w:val="22"/>
          <w:szCs w:val="22"/>
        </w:rPr>
        <w:t xml:space="preserve">, </w:t>
      </w:r>
      <w:r w:rsidRPr="002C7FF3">
        <w:rPr>
          <w:rFonts w:asciiTheme="minorHAnsi" w:hAnsiTheme="minorHAnsi" w:cstheme="minorHAnsi"/>
          <w:sz w:val="22"/>
          <w:szCs w:val="22"/>
        </w:rPr>
        <w:t>bylo dojednáno následující. Objednatel se zavazuje, že nejpozději do 31.</w:t>
      </w:r>
      <w:r w:rsidR="00BA7212">
        <w:rPr>
          <w:rFonts w:asciiTheme="minorHAnsi" w:hAnsiTheme="minorHAnsi" w:cstheme="minorHAnsi"/>
          <w:sz w:val="22"/>
          <w:szCs w:val="22"/>
        </w:rPr>
        <w:t xml:space="preserve"> </w:t>
      </w:r>
      <w:r w:rsidRPr="002C7FF3">
        <w:rPr>
          <w:rFonts w:asciiTheme="minorHAnsi" w:hAnsiTheme="minorHAnsi" w:cstheme="minorHAnsi"/>
          <w:sz w:val="22"/>
          <w:szCs w:val="22"/>
        </w:rPr>
        <w:t xml:space="preserve">srpna roku sdělí zhotoviteli formou e-mailové komunikace na adresu: </w:t>
      </w:r>
      <w:r w:rsidR="000171B3" w:rsidRPr="000171B3">
        <w:rPr>
          <w:rFonts w:asciiTheme="minorHAnsi" w:hAnsiTheme="minorHAnsi" w:cstheme="minorHAnsi"/>
          <w:i/>
          <w:sz w:val="22"/>
          <w:szCs w:val="22"/>
        </w:rPr>
        <w:t>tomas</w:t>
      </w:r>
      <w:r w:rsidR="000171B3">
        <w:rPr>
          <w:rFonts w:asciiTheme="minorHAnsi" w:hAnsiTheme="minorHAnsi" w:cstheme="minorHAnsi"/>
          <w:sz w:val="22"/>
          <w:szCs w:val="22"/>
        </w:rPr>
        <w:t>.</w:t>
      </w:r>
      <w:r w:rsidR="00D907C8">
        <w:rPr>
          <w:rFonts w:asciiTheme="minorHAnsi" w:hAnsiTheme="minorHAnsi" w:cstheme="minorHAnsi"/>
          <w:i/>
          <w:sz w:val="22"/>
          <w:szCs w:val="22"/>
        </w:rPr>
        <w:t>kudlacek@</w:t>
      </w:r>
      <w:r w:rsidR="000171B3">
        <w:rPr>
          <w:rFonts w:asciiTheme="minorHAnsi" w:hAnsiTheme="minorHAnsi" w:cstheme="minorHAnsi"/>
          <w:i/>
          <w:sz w:val="22"/>
          <w:szCs w:val="22"/>
        </w:rPr>
        <w:t>quick</w:t>
      </w:r>
      <w:r w:rsidR="00FD74BF" w:rsidRPr="002C7FF3">
        <w:rPr>
          <w:rFonts w:asciiTheme="minorHAnsi" w:hAnsiTheme="minorHAnsi" w:cstheme="minorHAnsi"/>
          <w:i/>
          <w:sz w:val="22"/>
          <w:szCs w:val="22"/>
        </w:rPr>
        <w:t>.cz</w:t>
      </w:r>
      <w:r w:rsidRPr="002C7FF3">
        <w:rPr>
          <w:rFonts w:asciiTheme="minorHAnsi" w:hAnsiTheme="minorHAnsi" w:cstheme="minorHAnsi"/>
          <w:sz w:val="22"/>
          <w:szCs w:val="22"/>
        </w:rPr>
        <w:t xml:space="preserve"> přesný počet </w:t>
      </w:r>
      <w:r w:rsidRPr="002C7FF3">
        <w:rPr>
          <w:rFonts w:asciiTheme="minorHAnsi" w:hAnsiTheme="minorHAnsi" w:cstheme="minorHAnsi"/>
          <w:sz w:val="22"/>
          <w:szCs w:val="22"/>
          <w:u w:val="single"/>
        </w:rPr>
        <w:t>nově příchozích uživatelů</w:t>
      </w:r>
      <w:r w:rsidR="00BA7212">
        <w:rPr>
          <w:rFonts w:asciiTheme="minorHAnsi" w:hAnsiTheme="minorHAnsi" w:cstheme="minorHAnsi"/>
          <w:sz w:val="22"/>
          <w:szCs w:val="22"/>
          <w:u w:val="single"/>
        </w:rPr>
        <w:t xml:space="preserve"> (studentů)</w:t>
      </w:r>
      <w:r w:rsidRPr="002C7FF3">
        <w:rPr>
          <w:rFonts w:asciiTheme="minorHAnsi" w:hAnsiTheme="minorHAnsi" w:cstheme="minorHAnsi"/>
          <w:sz w:val="22"/>
          <w:szCs w:val="22"/>
        </w:rPr>
        <w:t xml:space="preserve">, jimž budou objednatelem vydány přístupové čipy. Zhotovitel se zavazuje, že příslušný počet přístupových čipů dodá objednateli nejpozději do </w:t>
      </w:r>
      <w:r w:rsidR="00FD74BF" w:rsidRPr="002C7FF3">
        <w:rPr>
          <w:rFonts w:asciiTheme="minorHAnsi" w:hAnsiTheme="minorHAnsi" w:cstheme="minorHAnsi"/>
          <w:sz w:val="22"/>
          <w:szCs w:val="22"/>
        </w:rPr>
        <w:t>5 pracovních dnů.</w:t>
      </w:r>
      <w:r w:rsidRPr="002C7FF3">
        <w:rPr>
          <w:rFonts w:asciiTheme="minorHAnsi" w:hAnsiTheme="minorHAnsi" w:cstheme="minorHAnsi"/>
          <w:sz w:val="22"/>
          <w:szCs w:val="22"/>
        </w:rPr>
        <w:t xml:space="preserve"> Distribuci čipů koncovým uživatelům zajišťuje objednatel. </w:t>
      </w:r>
    </w:p>
    <w:p w:rsidR="00BC3076" w:rsidRPr="009D4C1B"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Místem plnění je </w:t>
      </w:r>
      <w:r w:rsidR="005F3CE1">
        <w:rPr>
          <w:rFonts w:asciiTheme="minorHAnsi" w:hAnsiTheme="minorHAnsi" w:cstheme="minorHAnsi"/>
          <w:sz w:val="22"/>
          <w:szCs w:val="22"/>
        </w:rPr>
        <w:t>sídlo objednatele</w:t>
      </w:r>
      <w:r w:rsidRPr="002C7FF3">
        <w:rPr>
          <w:rFonts w:asciiTheme="minorHAnsi" w:hAnsiTheme="minorHAnsi" w:cstheme="minorHAnsi"/>
          <w:sz w:val="22"/>
          <w:szCs w:val="22"/>
        </w:rPr>
        <w:t xml:space="preserve"> (dále jen „Místo plnění“).</w:t>
      </w:r>
    </w:p>
    <w:p w:rsidR="009D4C1B" w:rsidRDefault="009D4C1B" w:rsidP="009D4C1B">
      <w:pPr>
        <w:suppressAutoHyphens w:val="0"/>
        <w:spacing w:after="120"/>
        <w:ind w:left="567"/>
        <w:jc w:val="both"/>
        <w:rPr>
          <w:rFonts w:asciiTheme="minorHAnsi" w:hAnsiTheme="minorHAnsi" w:cstheme="minorHAnsi"/>
          <w:b/>
          <w:sz w:val="22"/>
          <w:szCs w:val="22"/>
        </w:rPr>
      </w:pPr>
    </w:p>
    <w:p w:rsidR="005F3CE1" w:rsidRDefault="005F3CE1" w:rsidP="009D4C1B">
      <w:pPr>
        <w:suppressAutoHyphens w:val="0"/>
        <w:spacing w:after="120"/>
        <w:ind w:left="567"/>
        <w:jc w:val="both"/>
        <w:rPr>
          <w:rFonts w:asciiTheme="minorHAnsi" w:hAnsiTheme="minorHAnsi" w:cstheme="minorHAnsi"/>
          <w:b/>
          <w:sz w:val="22"/>
          <w:szCs w:val="22"/>
        </w:rPr>
      </w:pPr>
    </w:p>
    <w:p w:rsidR="005F3CE1" w:rsidRPr="000171B3" w:rsidRDefault="005F3CE1" w:rsidP="009D4C1B">
      <w:pPr>
        <w:suppressAutoHyphens w:val="0"/>
        <w:spacing w:after="120"/>
        <w:ind w:left="567"/>
        <w:jc w:val="both"/>
        <w:rPr>
          <w:rFonts w:asciiTheme="minorHAnsi" w:hAnsiTheme="minorHAnsi" w:cstheme="minorHAnsi"/>
          <w:b/>
          <w:sz w:val="22"/>
          <w:szCs w:val="22"/>
        </w:rPr>
      </w:pPr>
    </w:p>
    <w:p w:rsidR="000171B3" w:rsidRPr="002C7FF3" w:rsidRDefault="000171B3" w:rsidP="000171B3">
      <w:pPr>
        <w:suppressAutoHyphens w:val="0"/>
        <w:spacing w:after="120"/>
        <w:ind w:left="567"/>
        <w:jc w:val="both"/>
        <w:rPr>
          <w:rFonts w:asciiTheme="minorHAnsi" w:hAnsiTheme="minorHAnsi" w:cstheme="minorHAnsi"/>
          <w:b/>
          <w:sz w:val="22"/>
          <w:szCs w:val="22"/>
        </w:rPr>
      </w:pPr>
    </w:p>
    <w:p w:rsidR="00FE3B45" w:rsidRPr="002C7FF3" w:rsidRDefault="00FE3B45" w:rsidP="00FE3B45">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ODPOVĚDNOST ZA VADY, ZÁRUKA</w:t>
      </w:r>
    </w:p>
    <w:p w:rsidR="00FE3B45" w:rsidRPr="002C7FF3"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Zhotovitel poskytuje na plnění záruku </w:t>
      </w:r>
      <w:r w:rsidR="00D325E2">
        <w:rPr>
          <w:rFonts w:asciiTheme="minorHAnsi" w:hAnsiTheme="minorHAnsi" w:cstheme="minorHAnsi"/>
          <w:sz w:val="22"/>
          <w:szCs w:val="22"/>
        </w:rPr>
        <w:t>24 měsíců</w:t>
      </w:r>
      <w:r w:rsidRPr="002C7FF3">
        <w:rPr>
          <w:rFonts w:asciiTheme="minorHAnsi" w:hAnsiTheme="minorHAnsi" w:cstheme="minorHAnsi"/>
          <w:sz w:val="22"/>
          <w:szCs w:val="22"/>
        </w:rPr>
        <w:t xml:space="preserve">, která běží ode dne předání a převzetí věci, plně funkční, bez vad a nedodělku, způsobilé provozu. Záruka se vztahuje na kompletní systém včetně dodaných bezkontaktních čipů. </w:t>
      </w:r>
      <w:r w:rsidRPr="00931CB9">
        <w:rPr>
          <w:rFonts w:asciiTheme="minorHAnsi" w:hAnsiTheme="minorHAnsi" w:cstheme="minorHAnsi"/>
          <w:sz w:val="22"/>
          <w:szCs w:val="22"/>
        </w:rPr>
        <w:t xml:space="preserve">V případě vložení jiného typu čipů nebo čipů od jiného dodavatele zhotovitel negarantuje </w:t>
      </w:r>
      <w:r w:rsidR="009D4C1B" w:rsidRPr="00931CB9">
        <w:rPr>
          <w:rFonts w:asciiTheme="minorHAnsi" w:hAnsiTheme="minorHAnsi" w:cstheme="minorHAnsi"/>
          <w:sz w:val="22"/>
          <w:szCs w:val="22"/>
        </w:rPr>
        <w:t xml:space="preserve">plnou </w:t>
      </w:r>
      <w:r w:rsidR="00D325E2">
        <w:rPr>
          <w:rFonts w:asciiTheme="minorHAnsi" w:hAnsiTheme="minorHAnsi" w:cstheme="minorHAnsi"/>
          <w:sz w:val="22"/>
          <w:szCs w:val="22"/>
        </w:rPr>
        <w:t xml:space="preserve">funkčnost systému </w:t>
      </w:r>
      <w:r w:rsidR="009D4C1B" w:rsidRPr="00931CB9">
        <w:rPr>
          <w:rFonts w:asciiTheme="minorHAnsi" w:hAnsiTheme="minorHAnsi" w:cstheme="minorHAnsi"/>
          <w:sz w:val="22"/>
          <w:szCs w:val="22"/>
        </w:rPr>
        <w:t xml:space="preserve">a </w:t>
      </w:r>
      <w:r w:rsidRPr="00931CB9">
        <w:rPr>
          <w:rFonts w:asciiTheme="minorHAnsi" w:hAnsiTheme="minorHAnsi" w:cstheme="minorHAnsi"/>
          <w:sz w:val="22"/>
          <w:szCs w:val="22"/>
        </w:rPr>
        <w:t>tuto skutečnost b</w:t>
      </w:r>
      <w:r w:rsidR="002A7FDF" w:rsidRPr="00931CB9">
        <w:rPr>
          <w:rFonts w:asciiTheme="minorHAnsi" w:hAnsiTheme="minorHAnsi" w:cstheme="minorHAnsi"/>
          <w:sz w:val="22"/>
          <w:szCs w:val="22"/>
        </w:rPr>
        <w:t>ere</w:t>
      </w:r>
      <w:r w:rsidRPr="00931CB9">
        <w:rPr>
          <w:rFonts w:asciiTheme="minorHAnsi" w:hAnsiTheme="minorHAnsi" w:cstheme="minorHAnsi"/>
          <w:sz w:val="22"/>
          <w:szCs w:val="22"/>
        </w:rPr>
        <w:t xml:space="preserve"> objednatel na vědomí.</w:t>
      </w:r>
      <w:r w:rsidRPr="002C7FF3">
        <w:rPr>
          <w:rFonts w:asciiTheme="minorHAnsi" w:hAnsiTheme="minorHAnsi" w:cstheme="minorHAnsi"/>
          <w:sz w:val="22"/>
          <w:szCs w:val="22"/>
        </w:rPr>
        <w:t xml:space="preserve"> </w:t>
      </w:r>
    </w:p>
    <w:p w:rsidR="00FE3B45" w:rsidRPr="002C7FF3"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Nefunkční bezkontaktní čipy budou bezodkladně vyměněny za nové.</w:t>
      </w:r>
    </w:p>
    <w:p w:rsidR="00FE3B45"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Vady musí objednatel uplatnit u zhotovitele bez zbytečného odkladu poté, co se o nich dozví. </w:t>
      </w: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CENA A PLATEBNÍ PODMÍNKY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Objednatel se zavazuje zaplatit zhotoviteli za plnění z této Smlouvy cenu takto:</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Cena za dodávku a instalaci přístupového systému – čl. 2.2. této Smlouvy – byla sjednána na částku </w:t>
      </w:r>
      <w:r w:rsidR="002C7FF3">
        <w:rPr>
          <w:rFonts w:asciiTheme="minorHAnsi" w:hAnsiTheme="minorHAnsi" w:cstheme="minorHAnsi"/>
          <w:sz w:val="22"/>
          <w:szCs w:val="22"/>
        </w:rPr>
        <w:t xml:space="preserve">uvedenou v Příloze </w:t>
      </w:r>
      <w:proofErr w:type="gramStart"/>
      <w:r w:rsidR="002C7FF3">
        <w:rPr>
          <w:rFonts w:asciiTheme="minorHAnsi" w:hAnsiTheme="minorHAnsi" w:cstheme="minorHAnsi"/>
          <w:sz w:val="22"/>
          <w:szCs w:val="22"/>
        </w:rPr>
        <w:t>č.1 této</w:t>
      </w:r>
      <w:proofErr w:type="gramEnd"/>
      <w:r w:rsidR="002C7FF3">
        <w:rPr>
          <w:rFonts w:asciiTheme="minorHAnsi" w:hAnsiTheme="minorHAnsi" w:cstheme="minorHAnsi"/>
          <w:sz w:val="22"/>
          <w:szCs w:val="22"/>
        </w:rPr>
        <w:t xml:space="preserve"> Smlouvy</w:t>
      </w:r>
      <w:r w:rsidRPr="002C7FF3">
        <w:rPr>
          <w:rFonts w:asciiTheme="minorHAnsi" w:hAnsiTheme="minorHAnsi" w:cstheme="minorHAnsi"/>
          <w:sz w:val="22"/>
          <w:szCs w:val="22"/>
        </w:rPr>
        <w:t xml:space="preserve">. Mezi objednatelem a zhotovitelem bylo dále dojednáno, že zhotovitelem bude poskytnut objednateli </w:t>
      </w:r>
      <w:r w:rsidR="00A8584E" w:rsidRPr="002C7FF3">
        <w:rPr>
          <w:rFonts w:asciiTheme="minorHAnsi" w:hAnsiTheme="minorHAnsi" w:cstheme="minorHAnsi"/>
          <w:sz w:val="22"/>
          <w:szCs w:val="22"/>
        </w:rPr>
        <w:t>B</w:t>
      </w:r>
      <w:r w:rsidRPr="002C7FF3">
        <w:rPr>
          <w:rFonts w:asciiTheme="minorHAnsi" w:hAnsiTheme="minorHAnsi" w:cstheme="minorHAnsi"/>
          <w:sz w:val="22"/>
          <w:szCs w:val="22"/>
        </w:rPr>
        <w:t xml:space="preserve">onus tak, jak je uveden v Příloze </w:t>
      </w:r>
      <w:proofErr w:type="gramStart"/>
      <w:r w:rsidRPr="002C7FF3">
        <w:rPr>
          <w:rFonts w:asciiTheme="minorHAnsi" w:hAnsiTheme="minorHAnsi" w:cstheme="minorHAnsi"/>
          <w:sz w:val="22"/>
          <w:szCs w:val="22"/>
        </w:rPr>
        <w:t>č.1 této</w:t>
      </w:r>
      <w:proofErr w:type="gramEnd"/>
      <w:r w:rsidRPr="002C7FF3">
        <w:rPr>
          <w:rFonts w:asciiTheme="minorHAnsi" w:hAnsiTheme="minorHAnsi" w:cstheme="minorHAnsi"/>
          <w:sz w:val="22"/>
          <w:szCs w:val="22"/>
        </w:rPr>
        <w:t xml:space="preserve"> Smlouvy.   </w:t>
      </w:r>
      <w:r w:rsidRPr="002C7FF3">
        <w:rPr>
          <w:rFonts w:asciiTheme="minorHAnsi" w:hAnsiTheme="minorHAnsi" w:cstheme="minorHAnsi"/>
          <w:b/>
          <w:sz w:val="22"/>
          <w:szCs w:val="22"/>
        </w:rPr>
        <w:t xml:space="preserve"> </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Cena za dodávku </w:t>
      </w:r>
      <w:r w:rsidR="0099708C">
        <w:rPr>
          <w:rFonts w:asciiTheme="minorHAnsi" w:hAnsiTheme="minorHAnsi" w:cstheme="minorHAnsi"/>
          <w:sz w:val="22"/>
          <w:szCs w:val="22"/>
        </w:rPr>
        <w:t xml:space="preserve">nových </w:t>
      </w:r>
      <w:r w:rsidRPr="002C7FF3">
        <w:rPr>
          <w:rFonts w:asciiTheme="minorHAnsi" w:hAnsiTheme="minorHAnsi" w:cstheme="minorHAnsi"/>
          <w:sz w:val="22"/>
          <w:szCs w:val="22"/>
        </w:rPr>
        <w:t xml:space="preserve">přístupových čipů na rok (po dobu platnosti této Smlouvy, minimálně však </w:t>
      </w:r>
      <w:r w:rsidR="00EE437F">
        <w:rPr>
          <w:rFonts w:asciiTheme="minorHAnsi" w:hAnsiTheme="minorHAnsi" w:cstheme="minorHAnsi"/>
          <w:sz w:val="22"/>
          <w:szCs w:val="22"/>
        </w:rPr>
        <w:t>p</w:t>
      </w:r>
      <w:r w:rsidRPr="002C7FF3">
        <w:rPr>
          <w:rFonts w:asciiTheme="minorHAnsi" w:hAnsiTheme="minorHAnsi" w:cstheme="minorHAnsi"/>
          <w:sz w:val="22"/>
          <w:szCs w:val="22"/>
        </w:rPr>
        <w:t xml:space="preserve">o dobu </w:t>
      </w:r>
      <w:r w:rsidR="00D325E2">
        <w:rPr>
          <w:rFonts w:asciiTheme="minorHAnsi" w:hAnsiTheme="minorHAnsi" w:cstheme="minorHAnsi"/>
          <w:sz w:val="22"/>
          <w:szCs w:val="22"/>
        </w:rPr>
        <w:t>5</w:t>
      </w:r>
      <w:r w:rsidRPr="002C7FF3">
        <w:rPr>
          <w:rFonts w:asciiTheme="minorHAnsi" w:hAnsiTheme="minorHAnsi" w:cstheme="minorHAnsi"/>
          <w:sz w:val="22"/>
          <w:szCs w:val="22"/>
        </w:rPr>
        <w:t xml:space="preserve">-ti let) bude stanovena jako součin počtu nově příchozích uživatelů </w:t>
      </w:r>
      <w:r w:rsidR="008804C3">
        <w:rPr>
          <w:rFonts w:asciiTheme="minorHAnsi" w:hAnsiTheme="minorHAnsi" w:cstheme="minorHAnsi"/>
          <w:sz w:val="22"/>
          <w:szCs w:val="22"/>
        </w:rPr>
        <w:t xml:space="preserve">– žáků </w:t>
      </w:r>
      <w:r w:rsidRPr="002C7FF3">
        <w:rPr>
          <w:rFonts w:asciiTheme="minorHAnsi" w:hAnsiTheme="minorHAnsi" w:cstheme="minorHAnsi"/>
          <w:sz w:val="22"/>
          <w:szCs w:val="22"/>
        </w:rPr>
        <w:t xml:space="preserve">dle </w:t>
      </w:r>
      <w:r w:rsidR="00D57705">
        <w:rPr>
          <w:rFonts w:asciiTheme="minorHAnsi" w:hAnsiTheme="minorHAnsi" w:cstheme="minorHAnsi"/>
          <w:sz w:val="22"/>
          <w:szCs w:val="22"/>
        </w:rPr>
        <w:t xml:space="preserve">čl. </w:t>
      </w:r>
      <w:proofErr w:type="gramStart"/>
      <w:r w:rsidR="00D57705">
        <w:rPr>
          <w:rFonts w:asciiTheme="minorHAnsi" w:hAnsiTheme="minorHAnsi" w:cstheme="minorHAnsi"/>
          <w:sz w:val="22"/>
          <w:szCs w:val="22"/>
        </w:rPr>
        <w:t>2.3. této</w:t>
      </w:r>
      <w:proofErr w:type="gramEnd"/>
      <w:r w:rsidR="00D57705">
        <w:rPr>
          <w:rFonts w:asciiTheme="minorHAnsi" w:hAnsiTheme="minorHAnsi" w:cstheme="minorHAnsi"/>
          <w:sz w:val="22"/>
          <w:szCs w:val="22"/>
        </w:rPr>
        <w:t xml:space="preserve"> Smlouvy a částky </w:t>
      </w:r>
      <w:r w:rsidR="00D325E2">
        <w:rPr>
          <w:rFonts w:asciiTheme="minorHAnsi" w:hAnsiTheme="minorHAnsi" w:cstheme="minorHAnsi"/>
          <w:sz w:val="22"/>
          <w:szCs w:val="22"/>
        </w:rPr>
        <w:t>20</w:t>
      </w:r>
      <w:r w:rsidR="0099708C">
        <w:rPr>
          <w:rFonts w:asciiTheme="minorHAnsi" w:hAnsiTheme="minorHAnsi" w:cstheme="minorHAnsi"/>
          <w:sz w:val="22"/>
          <w:szCs w:val="22"/>
        </w:rPr>
        <w:t>0</w:t>
      </w:r>
      <w:r w:rsidRPr="002C7FF3">
        <w:rPr>
          <w:rFonts w:asciiTheme="minorHAnsi" w:hAnsiTheme="minorHAnsi" w:cstheme="minorHAnsi"/>
          <w:sz w:val="22"/>
          <w:szCs w:val="22"/>
        </w:rPr>
        <w:t xml:space="preserve">,- Kč. </w:t>
      </w:r>
    </w:p>
    <w:p w:rsidR="00BC3076" w:rsidRPr="00931CB9"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931CB9">
        <w:rPr>
          <w:rFonts w:asciiTheme="minorHAnsi" w:hAnsiTheme="minorHAnsi" w:cstheme="minorHAnsi"/>
          <w:sz w:val="22"/>
          <w:szCs w:val="22"/>
        </w:rPr>
        <w:t xml:space="preserve">Stran bonusu uvedeného v čl. </w:t>
      </w:r>
      <w:proofErr w:type="gramStart"/>
      <w:r w:rsidRPr="00931CB9">
        <w:rPr>
          <w:rFonts w:asciiTheme="minorHAnsi" w:hAnsiTheme="minorHAnsi" w:cstheme="minorHAnsi"/>
          <w:sz w:val="22"/>
          <w:szCs w:val="22"/>
        </w:rPr>
        <w:t>3.1. a) této</w:t>
      </w:r>
      <w:proofErr w:type="gramEnd"/>
      <w:r w:rsidRPr="00931CB9">
        <w:rPr>
          <w:rFonts w:asciiTheme="minorHAnsi" w:hAnsiTheme="minorHAnsi" w:cstheme="minorHAnsi"/>
          <w:sz w:val="22"/>
          <w:szCs w:val="22"/>
        </w:rPr>
        <w:t xml:space="preserve"> Smlouvy bylo mezi objednatelem a zhotovitelem ujednáno, že v případě, že objednatel nesplní řádně a včas své závazky z této Smlouvy (zejm. nebude po dobu </w:t>
      </w:r>
      <w:r w:rsidR="008804C3">
        <w:rPr>
          <w:rFonts w:asciiTheme="minorHAnsi" w:hAnsiTheme="minorHAnsi" w:cstheme="minorHAnsi"/>
          <w:sz w:val="22"/>
          <w:szCs w:val="22"/>
        </w:rPr>
        <w:t>pěti</w:t>
      </w:r>
      <w:r w:rsidRPr="00931CB9">
        <w:rPr>
          <w:rFonts w:asciiTheme="minorHAnsi" w:hAnsiTheme="minorHAnsi" w:cstheme="minorHAnsi"/>
          <w:sz w:val="22"/>
          <w:szCs w:val="22"/>
        </w:rPr>
        <w:t xml:space="preserve"> let od </w:t>
      </w:r>
      <w:r w:rsidR="009D4C1B" w:rsidRPr="00931CB9">
        <w:rPr>
          <w:rFonts w:asciiTheme="minorHAnsi" w:hAnsiTheme="minorHAnsi" w:cstheme="minorHAnsi"/>
          <w:sz w:val="22"/>
          <w:szCs w:val="22"/>
        </w:rPr>
        <w:t>školního roku 2018/2019</w:t>
      </w:r>
      <w:r w:rsidRPr="00931CB9">
        <w:rPr>
          <w:rFonts w:asciiTheme="minorHAnsi" w:hAnsiTheme="minorHAnsi" w:cstheme="minorHAnsi"/>
          <w:sz w:val="22"/>
          <w:szCs w:val="22"/>
        </w:rPr>
        <w:t xml:space="preserve"> odebírat a používat výhradně přístupové činy dodané zhotovitelem a nebude plnit své závazky z čl. 2.3. této Smlouvy) zavazuje se objednatel doplatit zhotoviteli na ceně díla </w:t>
      </w:r>
      <w:r w:rsidR="00A8584E" w:rsidRPr="00931CB9">
        <w:rPr>
          <w:rFonts w:asciiTheme="minorHAnsi" w:hAnsiTheme="minorHAnsi" w:cstheme="minorHAnsi"/>
          <w:sz w:val="22"/>
          <w:szCs w:val="22"/>
        </w:rPr>
        <w:t xml:space="preserve">částku </w:t>
      </w:r>
      <w:r w:rsidRPr="00931CB9">
        <w:rPr>
          <w:rFonts w:asciiTheme="minorHAnsi" w:hAnsiTheme="minorHAnsi" w:cstheme="minorHAnsi"/>
          <w:sz w:val="22"/>
          <w:szCs w:val="22"/>
        </w:rPr>
        <w:t xml:space="preserve">odpovídající poskytnutému </w:t>
      </w:r>
      <w:r w:rsidR="00A8584E" w:rsidRPr="00931CB9">
        <w:rPr>
          <w:rFonts w:asciiTheme="minorHAnsi" w:hAnsiTheme="minorHAnsi" w:cstheme="minorHAnsi"/>
          <w:sz w:val="22"/>
          <w:szCs w:val="22"/>
        </w:rPr>
        <w:t>B</w:t>
      </w:r>
      <w:r w:rsidRPr="00931CB9">
        <w:rPr>
          <w:rFonts w:asciiTheme="minorHAnsi" w:hAnsiTheme="minorHAnsi" w:cstheme="minorHAnsi"/>
          <w:sz w:val="22"/>
          <w:szCs w:val="22"/>
        </w:rPr>
        <w:t>onusu tak, jak je uveden v </w:t>
      </w:r>
      <w:r w:rsidR="005F3CE1">
        <w:rPr>
          <w:rFonts w:asciiTheme="minorHAnsi" w:hAnsiTheme="minorHAnsi" w:cstheme="minorHAnsi"/>
          <w:sz w:val="22"/>
          <w:szCs w:val="22"/>
        </w:rPr>
        <w:t>P</w:t>
      </w:r>
      <w:r w:rsidRPr="00931CB9">
        <w:rPr>
          <w:rFonts w:asciiTheme="minorHAnsi" w:hAnsiTheme="minorHAnsi" w:cstheme="minorHAnsi"/>
          <w:sz w:val="22"/>
          <w:szCs w:val="22"/>
        </w:rPr>
        <w:t xml:space="preserve">říloze č. 1 této Smlouvy. </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Cena je sjednána jako nejvýše přípustná a nepřekročitelná a zahrnuje veškeré nutné náklady spojené s dodávkou, instalací. Cena může být zvýšena pouze v případě zvýšení daně z přidané hodnoty, a to o tuto výši. V případě snížení daně z přidané hodnoty se cena snižuje, a to o toto snížení. Z jakýchkoli jiných důvodů, než jsou uvedeny v tomto bodě Smlouvy, nesmí být cena díla navyšována.</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Cenu za plnění dle této Smlouvy zaplatí objednatel zhotoviteli bankovním převodem na bankovní účet zhotovitele uvedený v článku 1 této Smlouvy na základě daňového dokladu vystaveného zhotovitelem ke dni uskutečnění zdanitelného plnění. U plnění sjednaného v čl. </w:t>
      </w:r>
      <w:proofErr w:type="gramStart"/>
      <w:r w:rsidRPr="002C7FF3">
        <w:rPr>
          <w:rFonts w:asciiTheme="minorHAnsi" w:hAnsiTheme="minorHAnsi" w:cstheme="minorHAnsi"/>
          <w:sz w:val="22"/>
          <w:szCs w:val="22"/>
        </w:rPr>
        <w:t>2.2. této</w:t>
      </w:r>
      <w:proofErr w:type="gramEnd"/>
      <w:r w:rsidRPr="002C7FF3">
        <w:rPr>
          <w:rFonts w:asciiTheme="minorHAnsi" w:hAnsiTheme="minorHAnsi" w:cstheme="minorHAnsi"/>
          <w:sz w:val="22"/>
          <w:szCs w:val="22"/>
        </w:rPr>
        <w:t xml:space="preserve"> Smlouvy (dodávka a instalace přístupového systému) je dnem zdanitelného plnění   den podepsání předávacího protokolu. Splatnost daňových dokladů je 14 dnů. </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Daňové doklady budou obsahovat náležitosti daňového a účetního dokladu podle zákona č. 563/1991 Sb., o účetnictví, ve znění pozdějších předpisů, zákona č. 235/2004 Sb., o dani z přidané hodnoty, ve znění pozdějších předpisů a bude mít náležitosti obchodní listiny dle § 435 odst. 1 zákona č. 89/2012 Sb., občanský zákoník. V případě, že daňový doklad takové náležitosti nebude splňovat, může být faktura objednatelem vrácena zhotoviteli do dne splatnosti daňového dokladu k opravení bez jeho proplacení. V takovém případě lhůta splatnosti počíná běžet znovu ode dne doručení opraveného či nově vyhotoveného daňového dokladu.</w:t>
      </w:r>
    </w:p>
    <w:p w:rsidR="00BC3076" w:rsidRPr="002C7FF3" w:rsidRDefault="00BC3076" w:rsidP="00BC3076">
      <w:pPr>
        <w:suppressAutoHyphens w:val="0"/>
        <w:spacing w:after="120"/>
        <w:ind w:left="567"/>
        <w:jc w:val="both"/>
        <w:rPr>
          <w:rFonts w:asciiTheme="minorHAnsi" w:hAnsiTheme="minorHAnsi" w:cstheme="minorHAnsi"/>
          <w:b/>
          <w:sz w:val="22"/>
          <w:szCs w:val="22"/>
        </w:rPr>
      </w:pP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PŘECHOD VLASTNICTVÍ A NEBEZPEČÍ ŠKODY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Zhotovitel se zavazuje předat věci plně funkční a řádně zprovozněné objednateli v místě plnění a v čase plnění v této Smlouvě sjednaném. Nebude-li plnění předáno objednateli včas, je objednatel oprávněn účtovat zhotoviteli Smluvní pokutu ve výši 0,05 % z výše ceny nedodané věci či její části za každý i započatý kalendářní den prodlení. Tímto není dotčeno právo na náhradu škody, a to škody v plném rozsahu.</w:t>
      </w:r>
    </w:p>
    <w:p w:rsidR="00BC3076" w:rsidRPr="002C7FF3" w:rsidRDefault="00BC3076" w:rsidP="00BC3076">
      <w:pPr>
        <w:spacing w:after="120"/>
        <w:ind w:left="567"/>
        <w:jc w:val="both"/>
        <w:rPr>
          <w:rFonts w:asciiTheme="minorHAnsi" w:hAnsiTheme="minorHAnsi" w:cstheme="minorHAnsi"/>
          <w:sz w:val="22"/>
          <w:szCs w:val="22"/>
        </w:rPr>
      </w:pPr>
      <w:r w:rsidRPr="002C7FF3">
        <w:rPr>
          <w:rFonts w:asciiTheme="minorHAnsi" w:hAnsiTheme="minorHAnsi" w:cstheme="minorHAnsi"/>
          <w:sz w:val="22"/>
          <w:szCs w:val="22"/>
        </w:rPr>
        <w:t>Vlastnické právo k věci přechází na objednatele v okamžiku jeho předání a převzetí potvrzeném na</w:t>
      </w:r>
      <w:r w:rsidR="007D058B">
        <w:rPr>
          <w:rFonts w:asciiTheme="minorHAnsi" w:hAnsiTheme="minorHAnsi" w:cstheme="minorHAnsi"/>
          <w:sz w:val="22"/>
          <w:szCs w:val="22"/>
        </w:rPr>
        <w:t xml:space="preserve"> předávacím protokolu. Nebezpeč</w:t>
      </w:r>
      <w:r w:rsidRPr="002C7FF3">
        <w:rPr>
          <w:rFonts w:asciiTheme="minorHAnsi" w:hAnsiTheme="minorHAnsi" w:cstheme="minorHAnsi"/>
          <w:sz w:val="22"/>
          <w:szCs w:val="22"/>
        </w:rPr>
        <w:t>í nahodilé zkázy a nahodilého zhoršení věci včetně užitků přechází na objednatele současně s nabytím vlastnictví.</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Náklady spojené s předáním díla, zejména dopravu, montáž a zprovoznění, nese zhotovitel a náklady spojené s převzetím věci nese objednatel. </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O předání a převzetí díla a souvisejících dokladů u plnění dle čl. 2.2 této Smlouvy bude sepsán předávací protokol podepsaný oběma Smluvními stranami. Objednatel není povinen plnění převzít, pokud budou zjištěny jakékoli vady bránící řádnému užívání věci pro sjednaný účel. Zhotovitel je povinen zajistit nápravu zjištěných vad v termínu stanoveném dohodou Smluvních stran nejpozději však do 10 dnů ode dne zjištění takové vady při převzetí a předání díla.</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Smluvní strany jsou si povinny poskytnout veškerou nezbytnou součinnost k předání a převzetí díla dle této Smlouvy.</w:t>
      </w:r>
    </w:p>
    <w:p w:rsidR="002C7FF3" w:rsidRPr="002C7FF3" w:rsidRDefault="00BC3076" w:rsidP="002C7FF3">
      <w:pPr>
        <w:suppressAutoHyphens w:val="0"/>
        <w:spacing w:after="120"/>
        <w:ind w:left="567"/>
        <w:jc w:val="both"/>
        <w:rPr>
          <w:rFonts w:asciiTheme="minorHAnsi" w:hAnsiTheme="minorHAnsi" w:cstheme="minorHAnsi"/>
          <w:sz w:val="22"/>
          <w:szCs w:val="22"/>
        </w:rPr>
      </w:pPr>
      <w:r w:rsidRPr="002C7FF3">
        <w:rPr>
          <w:rFonts w:asciiTheme="minorHAnsi" w:hAnsiTheme="minorHAnsi" w:cstheme="minorHAnsi"/>
          <w:sz w:val="22"/>
          <w:szCs w:val="22"/>
        </w:rPr>
        <w:t xml:space="preserve"> </w:t>
      </w: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ZÁVĚREČNÁ USTANOVENÍ</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Pokud tato Smlouva nestanoví jinak, řídí se práva a povinnosti smluvních stran příslušnými ustanoveními zákona č. 89/2012 Sb., občanský zákoník.</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Smlouva je sepsána ve dvou vyhotoveních, z nichž si každá smluvní strana ponechá jedno vyhotovení. </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Veškeré změny této Smlouvy musí být provedeny v písemné formě. Písemnou formou se pro účely této Smlouvy rozumí pouze písemnost v listinné podobě opatřená za podmínek uvedených v § 561 zákona č. 89/2012 Sb., občanský zákoník, podpisy osob zastupujících smluvní strany. Možnost změny či doplnění Smlouvy formou dle </w:t>
      </w:r>
      <w:r w:rsidR="002F0C90">
        <w:rPr>
          <w:rFonts w:asciiTheme="minorHAnsi" w:hAnsiTheme="minorHAnsi" w:cstheme="minorHAnsi"/>
          <w:sz w:val="22"/>
          <w:szCs w:val="22"/>
        </w:rPr>
        <w:br/>
      </w:r>
      <w:r w:rsidRPr="002C7FF3">
        <w:rPr>
          <w:rFonts w:asciiTheme="minorHAnsi" w:hAnsiTheme="minorHAnsi" w:cstheme="minorHAnsi"/>
          <w:sz w:val="22"/>
          <w:szCs w:val="22"/>
        </w:rPr>
        <w:t>§ 562 zákona č. 89/2012 Sb., občanský zákoník, se vylučuje.</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Smluvní strany prohlašují, že tato Smlouva vyjadřuje jejich svobodnou, vážnou, určitou a srozumitelnou vůli prostou omylu. Smluvní strany Smlouvu přečetly, s jejím obsahem souhlasí, což stvrzují vlastnoručními podpisy.</w:t>
      </w:r>
    </w:p>
    <w:p w:rsidR="00BC3076"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Tato Smlouva nabývá platnosti a účinnosti dnem podpisu oprávněných zástupců obou smluvních stran.</w:t>
      </w:r>
    </w:p>
    <w:p w:rsidR="002F0C90" w:rsidRPr="009D4C1B" w:rsidRDefault="002F0C90" w:rsidP="002F0C90">
      <w:pPr>
        <w:autoSpaceDE w:val="0"/>
        <w:autoSpaceDN w:val="0"/>
        <w:adjustRightInd w:val="0"/>
        <w:spacing w:after="120"/>
        <w:ind w:left="567" w:hanging="567"/>
        <w:jc w:val="both"/>
        <w:rPr>
          <w:rFonts w:asciiTheme="minorHAnsi" w:hAnsiTheme="minorHAnsi" w:cs="Arial"/>
          <w:iCs/>
          <w:sz w:val="22"/>
          <w:szCs w:val="22"/>
        </w:rPr>
      </w:pPr>
      <w:proofErr w:type="gramStart"/>
      <w:r w:rsidRPr="009D4C1B">
        <w:rPr>
          <w:rFonts w:asciiTheme="minorHAnsi" w:hAnsiTheme="minorHAnsi" w:cs="Arial"/>
          <w:iCs/>
          <w:sz w:val="22"/>
          <w:szCs w:val="22"/>
        </w:rPr>
        <w:t>6.6</w:t>
      </w:r>
      <w:proofErr w:type="gramEnd"/>
      <w:r w:rsidRPr="009D4C1B">
        <w:rPr>
          <w:rFonts w:asciiTheme="minorHAnsi" w:hAnsiTheme="minorHAnsi" w:cs="Arial"/>
          <w:iCs/>
          <w:sz w:val="22"/>
          <w:szCs w:val="22"/>
        </w:rPr>
        <w:t>.</w:t>
      </w:r>
      <w:r w:rsidRPr="009D4C1B">
        <w:rPr>
          <w:rFonts w:asciiTheme="minorHAnsi" w:hAnsiTheme="minorHAnsi" w:cs="Arial"/>
          <w:iCs/>
          <w:sz w:val="22"/>
          <w:szCs w:val="22"/>
        </w:rPr>
        <w:tab/>
        <w:t>Smluvní strany souhlasí s tím, že obsah smlouvy není obchodním tajemstvím a smluvní strany mohou smlouvu zveřejnit v rozsahu a za podmínek, jež vyplývají z obecně závazných právních předpisů.</w:t>
      </w:r>
    </w:p>
    <w:p w:rsidR="002F0C90" w:rsidRPr="009D4C1B" w:rsidRDefault="002F0C90" w:rsidP="002F0C90">
      <w:pPr>
        <w:autoSpaceDE w:val="0"/>
        <w:autoSpaceDN w:val="0"/>
        <w:adjustRightInd w:val="0"/>
        <w:spacing w:after="120"/>
        <w:ind w:left="567" w:hanging="567"/>
        <w:jc w:val="both"/>
        <w:rPr>
          <w:rFonts w:asciiTheme="minorHAnsi" w:hAnsiTheme="minorHAnsi" w:cs="Arial"/>
          <w:iCs/>
          <w:sz w:val="22"/>
          <w:szCs w:val="22"/>
        </w:rPr>
      </w:pPr>
      <w:proofErr w:type="gramStart"/>
      <w:r w:rsidRPr="009D4C1B">
        <w:rPr>
          <w:rFonts w:asciiTheme="minorHAnsi" w:hAnsiTheme="minorHAnsi" w:cs="Arial"/>
          <w:iCs/>
          <w:sz w:val="22"/>
          <w:szCs w:val="22"/>
        </w:rPr>
        <w:t>6.7</w:t>
      </w:r>
      <w:proofErr w:type="gramEnd"/>
      <w:r w:rsidRPr="009D4C1B">
        <w:rPr>
          <w:rFonts w:asciiTheme="minorHAnsi" w:hAnsiTheme="minorHAnsi" w:cs="Arial"/>
          <w:iCs/>
          <w:sz w:val="22"/>
          <w:szCs w:val="22"/>
        </w:rPr>
        <w:t>.</w:t>
      </w:r>
      <w:r w:rsidRPr="009D4C1B">
        <w:rPr>
          <w:rFonts w:asciiTheme="minorHAnsi" w:hAnsiTheme="minorHAnsi" w:cs="Arial"/>
          <w:iCs/>
          <w:sz w:val="22"/>
          <w:szCs w:val="22"/>
        </w:rPr>
        <w:tab/>
        <w:t>Smluvní strany souhlasí s tím, že smlouva bude zveřejněna v</w:t>
      </w:r>
      <w:r w:rsidRPr="009D4C1B">
        <w:rPr>
          <w:rFonts w:asciiTheme="minorHAnsi" w:hAnsiTheme="minorHAnsi" w:cs="Arial"/>
          <w:sz w:val="22"/>
          <w:szCs w:val="22"/>
        </w:rPr>
        <w:t xml:space="preserve"> </w:t>
      </w:r>
      <w:r w:rsidRPr="009D4C1B">
        <w:rPr>
          <w:rFonts w:asciiTheme="minorHAnsi" w:hAnsiTheme="minorHAnsi" w:cs="Arial"/>
          <w:iCs/>
          <w:sz w:val="22"/>
          <w:szCs w:val="22"/>
        </w:rPr>
        <w:t xml:space="preserve">registru smluv dle příslušných ustanovení zákona </w:t>
      </w:r>
      <w:r w:rsidRPr="009D4C1B">
        <w:rPr>
          <w:rFonts w:asciiTheme="minorHAnsi" w:hAnsiTheme="minorHAnsi" w:cs="Arial"/>
          <w:iCs/>
          <w:sz w:val="22"/>
          <w:szCs w:val="22"/>
        </w:rPr>
        <w:br/>
        <w:t xml:space="preserve">č. 340/2015 Sb., o zvláštních podmínkách účinnosti některých smluv, uveřejňování těchto smluv a o registru smluv (zákon o registru smluv). </w:t>
      </w:r>
    </w:p>
    <w:p w:rsidR="00AF62BA" w:rsidRPr="009D4C1B" w:rsidRDefault="002F0C90" w:rsidP="00AF62BA">
      <w:pPr>
        <w:spacing w:after="120"/>
        <w:ind w:left="567" w:hanging="567"/>
        <w:rPr>
          <w:rFonts w:asciiTheme="minorHAnsi" w:hAnsiTheme="minorHAnsi" w:cs="Arial"/>
          <w:iCs/>
          <w:sz w:val="22"/>
          <w:szCs w:val="22"/>
        </w:rPr>
      </w:pPr>
      <w:proofErr w:type="gramStart"/>
      <w:r w:rsidRPr="009D4C1B">
        <w:rPr>
          <w:rFonts w:asciiTheme="minorHAnsi" w:hAnsiTheme="minorHAnsi" w:cs="Arial"/>
          <w:iCs/>
          <w:sz w:val="22"/>
          <w:szCs w:val="22"/>
        </w:rPr>
        <w:t>6.8</w:t>
      </w:r>
      <w:proofErr w:type="gramEnd"/>
      <w:r w:rsidRPr="009D4C1B">
        <w:rPr>
          <w:rFonts w:asciiTheme="minorHAnsi" w:hAnsiTheme="minorHAnsi" w:cs="Arial"/>
          <w:iCs/>
          <w:sz w:val="22"/>
          <w:szCs w:val="22"/>
        </w:rPr>
        <w:t>.</w:t>
      </w:r>
      <w:r w:rsidRPr="009D4C1B">
        <w:rPr>
          <w:rFonts w:asciiTheme="minorHAnsi" w:hAnsiTheme="minorHAnsi" w:cs="Arial"/>
          <w:iCs/>
          <w:sz w:val="22"/>
          <w:szCs w:val="22"/>
        </w:rPr>
        <w:tab/>
        <w:t xml:space="preserve">Smluvní strany se dohodly, že zákonnou povinnost dle § 5 odst. 2 zákona o registru smluv splní </w:t>
      </w:r>
      <w:r w:rsidR="00AD20CE" w:rsidRPr="009D4C1B">
        <w:rPr>
          <w:rFonts w:asciiTheme="minorHAnsi" w:hAnsiTheme="minorHAnsi" w:cs="Arial"/>
          <w:iCs/>
          <w:sz w:val="22"/>
          <w:szCs w:val="22"/>
        </w:rPr>
        <w:t xml:space="preserve">objednatel </w:t>
      </w:r>
      <w:r w:rsidR="008804C3" w:rsidRPr="00D325E2">
        <w:rPr>
          <w:rFonts w:asciiTheme="minorHAnsi" w:hAnsiTheme="minorHAnsi"/>
          <w:sz w:val="22"/>
          <w:szCs w:val="22"/>
        </w:rPr>
        <w:t>Základní škola Šumperk, Sluneční 38</w:t>
      </w:r>
      <w:r w:rsidR="008804C3">
        <w:rPr>
          <w:rFonts w:asciiTheme="minorHAnsi" w:hAnsiTheme="minorHAnsi"/>
          <w:sz w:val="22"/>
          <w:szCs w:val="22"/>
        </w:rPr>
        <w:t>, Šumperk</w:t>
      </w:r>
      <w:r w:rsidR="00AD20CE" w:rsidRPr="009D4C1B">
        <w:rPr>
          <w:rFonts w:asciiTheme="minorHAnsi" w:hAnsiTheme="minorHAnsi" w:cs="Arial"/>
          <w:iCs/>
          <w:sz w:val="22"/>
          <w:szCs w:val="22"/>
        </w:rPr>
        <w:t>.</w:t>
      </w:r>
      <w:r w:rsidRPr="009D4C1B">
        <w:rPr>
          <w:rFonts w:asciiTheme="minorHAnsi" w:hAnsiTheme="minorHAnsi" w:cs="Arial"/>
          <w:iCs/>
          <w:sz w:val="22"/>
          <w:szCs w:val="22"/>
        </w:rPr>
        <w:t xml:space="preserve"> </w:t>
      </w:r>
    </w:p>
    <w:p w:rsidR="00BC3076" w:rsidRPr="002C7FF3" w:rsidRDefault="002F0C90" w:rsidP="002F0C90">
      <w:pPr>
        <w:suppressAutoHyphens w:val="0"/>
        <w:spacing w:after="120"/>
        <w:jc w:val="both"/>
        <w:rPr>
          <w:rFonts w:asciiTheme="minorHAnsi" w:hAnsiTheme="minorHAnsi" w:cstheme="minorHAnsi"/>
          <w:sz w:val="22"/>
          <w:szCs w:val="22"/>
        </w:rPr>
      </w:pPr>
      <w:r>
        <w:rPr>
          <w:rFonts w:asciiTheme="minorHAnsi" w:hAnsiTheme="minorHAnsi" w:cstheme="minorHAnsi"/>
          <w:sz w:val="22"/>
          <w:szCs w:val="22"/>
        </w:rPr>
        <w:t xml:space="preserve">6.9.    </w:t>
      </w:r>
      <w:r w:rsidR="00BC3076" w:rsidRPr="002C7FF3">
        <w:rPr>
          <w:rFonts w:asciiTheme="minorHAnsi" w:hAnsiTheme="minorHAnsi" w:cstheme="minorHAnsi"/>
          <w:sz w:val="22"/>
          <w:szCs w:val="22"/>
        </w:rPr>
        <w:t>Nedílnou součástí této Smlouvy jsou následující přílohy:</w:t>
      </w:r>
    </w:p>
    <w:p w:rsidR="00BC3076" w:rsidRPr="002C7FF3" w:rsidRDefault="00BC3076" w:rsidP="00BC3076">
      <w:pPr>
        <w:spacing w:before="60" w:after="120"/>
        <w:ind w:left="703" w:hanging="136"/>
        <w:rPr>
          <w:rFonts w:asciiTheme="minorHAnsi" w:hAnsiTheme="minorHAnsi" w:cstheme="minorHAnsi"/>
          <w:sz w:val="22"/>
          <w:szCs w:val="22"/>
        </w:rPr>
      </w:pPr>
      <w:r w:rsidRPr="002C7FF3">
        <w:rPr>
          <w:rFonts w:asciiTheme="minorHAnsi" w:hAnsiTheme="minorHAnsi" w:cstheme="minorHAnsi"/>
          <w:sz w:val="22"/>
          <w:szCs w:val="22"/>
        </w:rPr>
        <w:t>Příloha č. 1 – Položkový rozpočet</w:t>
      </w:r>
    </w:p>
    <w:p w:rsidR="00BC3076" w:rsidRPr="002C7FF3" w:rsidRDefault="00BC3076" w:rsidP="00BC3076">
      <w:pPr>
        <w:spacing w:before="60"/>
        <w:ind w:left="703" w:hanging="703"/>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 xml:space="preserve">V ……………………………. </w:t>
      </w:r>
      <w:proofErr w:type="gramStart"/>
      <w:r w:rsidRPr="002C7FF3">
        <w:rPr>
          <w:rFonts w:asciiTheme="minorHAnsi" w:hAnsiTheme="minorHAnsi" w:cstheme="minorHAnsi"/>
          <w:sz w:val="22"/>
          <w:szCs w:val="22"/>
        </w:rPr>
        <w:t>dne</w:t>
      </w:r>
      <w:proofErr w:type="gramEnd"/>
      <w:r w:rsidRPr="002C7FF3">
        <w:rPr>
          <w:rFonts w:asciiTheme="minorHAnsi" w:hAnsiTheme="minorHAnsi" w:cstheme="minorHAnsi"/>
          <w:sz w:val="22"/>
          <w:szCs w:val="22"/>
        </w:rPr>
        <w:t xml:space="preserve"> …………</w:t>
      </w:r>
      <w:r w:rsidRPr="002C7FF3">
        <w:rPr>
          <w:rFonts w:asciiTheme="minorHAnsi" w:hAnsiTheme="minorHAnsi" w:cstheme="minorHAnsi"/>
          <w:sz w:val="22"/>
          <w:szCs w:val="22"/>
        </w:rPr>
        <w:tab/>
        <w:t xml:space="preserve">         </w:t>
      </w:r>
      <w:r w:rsid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ab/>
        <w:t xml:space="preserve">            V ……………………………. dne …………</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w:t>
      </w:r>
      <w:r w:rsidRPr="002C7FF3">
        <w:rPr>
          <w:rFonts w:asciiTheme="minorHAnsi" w:hAnsiTheme="minorHAnsi" w:cstheme="minorHAnsi"/>
          <w:sz w:val="22"/>
          <w:szCs w:val="22"/>
        </w:rPr>
        <w:tab/>
      </w:r>
      <w:r w:rsidRPr="002C7FF3">
        <w:rPr>
          <w:rFonts w:asciiTheme="minorHAnsi" w:hAnsiTheme="minorHAnsi" w:cstheme="minorHAnsi"/>
          <w:sz w:val="22"/>
          <w:szCs w:val="22"/>
        </w:rPr>
        <w:tab/>
      </w:r>
      <w:r w:rsidR="002C7FF3">
        <w:rPr>
          <w:rFonts w:asciiTheme="minorHAnsi" w:hAnsiTheme="minorHAnsi" w:cstheme="minorHAnsi"/>
          <w:sz w:val="22"/>
          <w:szCs w:val="22"/>
        </w:rPr>
        <w:tab/>
      </w:r>
      <w:r w:rsid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w:t>
      </w:r>
    </w:p>
    <w:p w:rsidR="00BC3076" w:rsidRPr="002C7FF3" w:rsidRDefault="008804C3" w:rsidP="00720FCB">
      <w:pPr>
        <w:ind w:firstLine="708"/>
        <w:rPr>
          <w:rFonts w:asciiTheme="minorHAnsi" w:hAnsiTheme="minorHAnsi" w:cstheme="minorHAnsi"/>
          <w:sz w:val="22"/>
          <w:szCs w:val="22"/>
        </w:rPr>
      </w:pPr>
      <w:r w:rsidRPr="00D325E2">
        <w:rPr>
          <w:rFonts w:asciiTheme="minorHAnsi" w:hAnsiTheme="minorHAnsi"/>
          <w:bCs/>
          <w:sz w:val="22"/>
          <w:szCs w:val="22"/>
        </w:rPr>
        <w:t>Hynek</w:t>
      </w:r>
      <w:r w:rsidRPr="008804C3">
        <w:rPr>
          <w:rFonts w:asciiTheme="minorHAnsi" w:hAnsiTheme="minorHAnsi"/>
          <w:bCs/>
          <w:sz w:val="22"/>
          <w:szCs w:val="22"/>
        </w:rPr>
        <w:t xml:space="preserve"> </w:t>
      </w:r>
      <w:r w:rsidRPr="00D325E2">
        <w:rPr>
          <w:rFonts w:asciiTheme="minorHAnsi" w:hAnsiTheme="minorHAnsi"/>
          <w:bCs/>
          <w:sz w:val="22"/>
          <w:szCs w:val="22"/>
        </w:rPr>
        <w:t>Pálka, PaedDr.</w:t>
      </w:r>
      <w:r w:rsid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720FCB">
        <w:rPr>
          <w:rFonts w:asciiTheme="minorHAnsi" w:hAnsiTheme="minorHAnsi" w:cstheme="minorHAnsi"/>
          <w:sz w:val="22"/>
          <w:szCs w:val="22"/>
        </w:rPr>
        <w:tab/>
      </w:r>
      <w:r w:rsidR="00720FCB">
        <w:rPr>
          <w:rFonts w:asciiTheme="minorHAnsi" w:hAnsiTheme="minorHAnsi" w:cstheme="minorHAnsi"/>
          <w:sz w:val="22"/>
          <w:szCs w:val="22"/>
        </w:rPr>
        <w:tab/>
      </w:r>
      <w:r w:rsidR="00720FCB">
        <w:rPr>
          <w:rFonts w:asciiTheme="minorHAnsi" w:hAnsiTheme="minorHAnsi" w:cstheme="minorHAnsi"/>
          <w:sz w:val="22"/>
          <w:szCs w:val="22"/>
        </w:rPr>
        <w:tab/>
      </w:r>
      <w:r w:rsidR="00BC3076" w:rsidRPr="002C7FF3">
        <w:rPr>
          <w:rFonts w:asciiTheme="minorHAnsi" w:hAnsiTheme="minorHAnsi" w:cstheme="minorHAnsi"/>
          <w:sz w:val="22"/>
          <w:szCs w:val="22"/>
        </w:rPr>
        <w:t xml:space="preserve">Tomáš Kudláček </w:t>
      </w:r>
    </w:p>
    <w:p w:rsidR="00BC3076" w:rsidRPr="002C7FF3" w:rsidRDefault="00720FCB" w:rsidP="00BC3076">
      <w:pPr>
        <w:ind w:firstLine="708"/>
        <w:rPr>
          <w:rFonts w:asciiTheme="minorHAnsi" w:hAnsiTheme="minorHAnsi" w:cstheme="minorHAnsi"/>
          <w:sz w:val="22"/>
          <w:szCs w:val="22"/>
        </w:rPr>
      </w:pPr>
      <w:r>
        <w:rPr>
          <w:rFonts w:asciiTheme="minorHAnsi" w:hAnsiTheme="minorHAnsi" w:cstheme="minorHAnsi"/>
          <w:sz w:val="22"/>
          <w:szCs w:val="22"/>
        </w:rPr>
        <w:t>Ředitel školy</w:t>
      </w:r>
      <w:r w:rsidR="00BC3076" w:rsidRP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BC3076" w:rsidRPr="002C7FF3">
        <w:rPr>
          <w:rFonts w:asciiTheme="minorHAnsi" w:hAnsiTheme="minorHAnsi" w:cstheme="minorHAnsi"/>
          <w:sz w:val="22"/>
          <w:szCs w:val="22"/>
        </w:rPr>
        <w:tab/>
      </w:r>
      <w:r w:rsidR="002C7FF3">
        <w:rPr>
          <w:rFonts w:asciiTheme="minorHAnsi" w:hAnsiTheme="minorHAnsi" w:cstheme="minorHAnsi"/>
          <w:sz w:val="22"/>
          <w:szCs w:val="22"/>
        </w:rPr>
        <w:tab/>
      </w:r>
      <w:r w:rsidR="00BC3076" w:rsidRPr="002C7FF3">
        <w:rPr>
          <w:rFonts w:asciiTheme="minorHAnsi" w:hAnsiTheme="minorHAnsi" w:cstheme="minorHAnsi"/>
          <w:sz w:val="22"/>
          <w:szCs w:val="22"/>
        </w:rPr>
        <w:tab/>
      </w:r>
      <w:r>
        <w:rPr>
          <w:rFonts w:asciiTheme="minorHAnsi" w:hAnsiTheme="minorHAnsi" w:cstheme="minorHAnsi"/>
          <w:sz w:val="22"/>
          <w:szCs w:val="22"/>
        </w:rPr>
        <w:tab/>
      </w:r>
    </w:p>
    <w:p w:rsidR="00D21DD4" w:rsidRPr="002C7FF3" w:rsidRDefault="00BC3076" w:rsidP="000171B3">
      <w:pPr>
        <w:ind w:firstLine="708"/>
        <w:rPr>
          <w:rFonts w:asciiTheme="minorHAnsi" w:hAnsiTheme="minorHAnsi" w:cstheme="minorHAnsi"/>
          <w:sz w:val="22"/>
          <w:szCs w:val="22"/>
        </w:rPr>
      </w:pP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ab/>
      </w:r>
      <w:r w:rsidR="00720FCB">
        <w:rPr>
          <w:rFonts w:asciiTheme="minorHAnsi" w:hAnsiTheme="minorHAnsi" w:cstheme="minorHAnsi"/>
          <w:sz w:val="22"/>
          <w:szCs w:val="22"/>
        </w:rPr>
        <w:tab/>
      </w:r>
      <w:r w:rsidR="000171B3">
        <w:rPr>
          <w:rFonts w:asciiTheme="minorHAnsi" w:hAnsiTheme="minorHAnsi" w:cstheme="minorHAnsi"/>
          <w:noProof/>
          <w:sz w:val="22"/>
          <w:szCs w:val="22"/>
          <w:lang w:eastAsia="cs-CZ"/>
        </w:rPr>
        <w:drawing>
          <wp:inline distT="0" distB="0" distL="0" distR="0">
            <wp:extent cx="1164771" cy="413563"/>
            <wp:effectExtent l="0" t="0" r="0" b="5715"/>
            <wp:docPr id="2" name="Obrázek 2" descr="C:\Users\BARRYCOM sro\Desktop\Tomáš\BARRYCOM_LOGO_tomá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COM sro\Desktop\Tomáš\BARRYCOM_LOGO_tomáš.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67" cy="414627"/>
                    </a:xfrm>
                    <a:prstGeom prst="rect">
                      <a:avLst/>
                    </a:prstGeom>
                    <a:noFill/>
                    <a:ln>
                      <a:noFill/>
                    </a:ln>
                  </pic:spPr>
                </pic:pic>
              </a:graphicData>
            </a:graphic>
          </wp:inline>
        </w:drawing>
      </w:r>
    </w:p>
    <w:p w:rsidR="00D21DD4" w:rsidRPr="002C7FF3" w:rsidRDefault="00D21DD4" w:rsidP="00BC3076">
      <w:pPr>
        <w:ind w:firstLine="708"/>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6F5308" w:rsidRDefault="006F5308" w:rsidP="00D21DD4">
      <w:pPr>
        <w:jc w:val="center"/>
        <w:rPr>
          <w:rFonts w:asciiTheme="minorHAnsi" w:hAnsiTheme="minorHAnsi" w:cstheme="minorHAnsi"/>
          <w:sz w:val="22"/>
          <w:szCs w:val="22"/>
        </w:rPr>
      </w:pPr>
    </w:p>
    <w:p w:rsidR="006F5308" w:rsidRDefault="006F5308" w:rsidP="00D21DD4">
      <w:pPr>
        <w:jc w:val="center"/>
        <w:rPr>
          <w:rFonts w:asciiTheme="minorHAnsi" w:hAnsiTheme="minorHAnsi" w:cstheme="minorHAnsi"/>
          <w:sz w:val="22"/>
          <w:szCs w:val="22"/>
        </w:rPr>
      </w:pPr>
    </w:p>
    <w:p w:rsidR="006F5308" w:rsidRDefault="006F5308" w:rsidP="00D21DD4">
      <w:pPr>
        <w:jc w:val="center"/>
        <w:rPr>
          <w:rFonts w:asciiTheme="minorHAnsi" w:hAnsiTheme="minorHAnsi" w:cstheme="minorHAnsi"/>
          <w:sz w:val="22"/>
          <w:szCs w:val="22"/>
        </w:rPr>
      </w:pPr>
    </w:p>
    <w:p w:rsidR="006F5308" w:rsidRDefault="006F5308" w:rsidP="00D21DD4">
      <w:pPr>
        <w:jc w:val="center"/>
        <w:rPr>
          <w:rFonts w:asciiTheme="minorHAnsi" w:hAnsiTheme="minorHAnsi" w:cstheme="minorHAnsi"/>
          <w:sz w:val="22"/>
          <w:szCs w:val="22"/>
        </w:rPr>
      </w:pPr>
    </w:p>
    <w:p w:rsidR="006676B4" w:rsidRDefault="006676B4" w:rsidP="006676B4">
      <w:pPr>
        <w:pStyle w:val="Bezmezer"/>
        <w:jc w:val="center"/>
        <w:rPr>
          <w:rFonts w:cstheme="minorHAnsi"/>
          <w:sz w:val="28"/>
          <w:szCs w:val="28"/>
        </w:rPr>
      </w:pPr>
      <w:r w:rsidRPr="006676B4">
        <w:rPr>
          <w:rFonts w:cstheme="minorHAnsi"/>
          <w:sz w:val="28"/>
          <w:szCs w:val="28"/>
        </w:rPr>
        <w:t xml:space="preserve">Příloha </w:t>
      </w:r>
      <w:proofErr w:type="gramStart"/>
      <w:r w:rsidRPr="006676B4">
        <w:rPr>
          <w:rFonts w:cstheme="minorHAnsi"/>
          <w:sz w:val="28"/>
          <w:szCs w:val="28"/>
        </w:rPr>
        <w:t>č.1 – Položkový</w:t>
      </w:r>
      <w:proofErr w:type="gramEnd"/>
      <w:r w:rsidRPr="006676B4">
        <w:rPr>
          <w:rFonts w:cstheme="minorHAnsi"/>
          <w:sz w:val="28"/>
          <w:szCs w:val="28"/>
        </w:rPr>
        <w:t xml:space="preserve"> rozpočet</w:t>
      </w:r>
    </w:p>
    <w:p w:rsidR="006676B4" w:rsidRPr="006676B4" w:rsidRDefault="006676B4" w:rsidP="00D21DD4">
      <w:pPr>
        <w:jc w:val="center"/>
        <w:rPr>
          <w:rFonts w:asciiTheme="minorHAnsi" w:hAnsiTheme="minorHAnsi" w:cstheme="minorHAnsi"/>
          <w:sz w:val="28"/>
          <w:szCs w:val="28"/>
        </w:rPr>
      </w:pPr>
    </w:p>
    <w:tbl>
      <w:tblPr>
        <w:tblW w:w="10132" w:type="dxa"/>
        <w:jc w:val="center"/>
        <w:tblCellMar>
          <w:left w:w="70" w:type="dxa"/>
          <w:right w:w="70" w:type="dxa"/>
        </w:tblCellMar>
        <w:tblLook w:val="04A0" w:firstRow="1" w:lastRow="0" w:firstColumn="1" w:lastColumn="0" w:noHBand="0" w:noVBand="1"/>
      </w:tblPr>
      <w:tblGrid>
        <w:gridCol w:w="280"/>
        <w:gridCol w:w="575"/>
        <w:gridCol w:w="574"/>
        <w:gridCol w:w="575"/>
        <w:gridCol w:w="206"/>
        <w:gridCol w:w="283"/>
        <w:gridCol w:w="761"/>
        <w:gridCol w:w="738"/>
        <w:gridCol w:w="227"/>
        <w:gridCol w:w="742"/>
        <w:gridCol w:w="206"/>
        <w:gridCol w:w="373"/>
        <w:gridCol w:w="374"/>
        <w:gridCol w:w="206"/>
        <w:gridCol w:w="206"/>
        <w:gridCol w:w="42"/>
        <w:gridCol w:w="164"/>
        <w:gridCol w:w="432"/>
        <w:gridCol w:w="206"/>
        <w:gridCol w:w="206"/>
        <w:gridCol w:w="224"/>
        <w:gridCol w:w="362"/>
        <w:gridCol w:w="206"/>
        <w:gridCol w:w="207"/>
        <w:gridCol w:w="236"/>
        <w:gridCol w:w="206"/>
        <w:gridCol w:w="1316"/>
      </w:tblGrid>
      <w:tr w:rsidR="006676B4" w:rsidTr="006676B4">
        <w:trPr>
          <w:trHeight w:val="191"/>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1723" w:type="dxa"/>
            <w:gridSpan w:val="3"/>
            <w:tcBorders>
              <w:top w:val="single" w:sz="4" w:space="0" w:color="auto"/>
              <w:left w:val="single" w:sz="4" w:space="0" w:color="auto"/>
              <w:bottom w:val="single" w:sz="4" w:space="0" w:color="auto"/>
              <w:right w:val="nil"/>
            </w:tcBorders>
            <w:shd w:val="clear" w:color="auto" w:fill="auto"/>
            <w:noWrap/>
            <w:hideMark/>
          </w:tcPr>
          <w:p w:rsidR="006676B4" w:rsidRPr="00337C04" w:rsidRDefault="006676B4" w:rsidP="001F1959">
            <w:pPr>
              <w:pStyle w:val="Bezmezer"/>
            </w:pPr>
            <w:r w:rsidRPr="00337C04">
              <w:t>Označení dodávky</w:t>
            </w:r>
          </w:p>
        </w:tc>
        <w:tc>
          <w:tcPr>
            <w:tcW w:w="206"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83"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761"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738"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27"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742"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1159" w:type="dxa"/>
            <w:gridSpan w:val="4"/>
            <w:tcBorders>
              <w:top w:val="single" w:sz="4" w:space="0" w:color="auto"/>
              <w:left w:val="nil"/>
              <w:bottom w:val="single" w:sz="4" w:space="0" w:color="auto"/>
              <w:right w:val="nil"/>
            </w:tcBorders>
            <w:shd w:val="clear" w:color="auto" w:fill="auto"/>
            <w:noWrap/>
            <w:hideMark/>
          </w:tcPr>
          <w:p w:rsidR="006676B4" w:rsidRPr="00337C04" w:rsidRDefault="006676B4" w:rsidP="001F1959">
            <w:pPr>
              <w:pStyle w:val="Bezmezer"/>
            </w:pPr>
            <w:r>
              <w:t xml:space="preserve">  Mn</w:t>
            </w:r>
            <w:r w:rsidRPr="00337C04">
              <w:t>ožství</w:t>
            </w:r>
          </w:p>
        </w:tc>
        <w:tc>
          <w:tcPr>
            <w:tcW w:w="206" w:type="dxa"/>
            <w:gridSpan w:val="2"/>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432"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223" w:type="dxa"/>
            <w:tcBorders>
              <w:top w:val="single" w:sz="4" w:space="0" w:color="auto"/>
              <w:left w:val="nil"/>
              <w:bottom w:val="single" w:sz="4" w:space="0" w:color="auto"/>
              <w:right w:val="nil"/>
            </w:tcBorders>
            <w:shd w:val="clear" w:color="auto" w:fill="auto"/>
            <w:noWrap/>
            <w:vAlign w:val="bottom"/>
            <w:hideMark/>
          </w:tcPr>
          <w:p w:rsidR="006676B4" w:rsidRPr="00337C04" w:rsidRDefault="006676B4" w:rsidP="001F1959">
            <w:pPr>
              <w:pStyle w:val="Bezmezer"/>
            </w:pPr>
          </w:p>
        </w:tc>
        <w:tc>
          <w:tcPr>
            <w:tcW w:w="775" w:type="dxa"/>
            <w:gridSpan w:val="3"/>
            <w:tcBorders>
              <w:top w:val="single" w:sz="4" w:space="0" w:color="auto"/>
              <w:left w:val="nil"/>
              <w:bottom w:val="single" w:sz="4" w:space="0" w:color="auto"/>
              <w:right w:val="nil"/>
            </w:tcBorders>
            <w:shd w:val="clear" w:color="auto" w:fill="auto"/>
            <w:noWrap/>
            <w:hideMark/>
          </w:tcPr>
          <w:p w:rsidR="006676B4" w:rsidRPr="00337C04" w:rsidRDefault="006676B4" w:rsidP="001F1959">
            <w:pPr>
              <w:pStyle w:val="Bezmezer"/>
            </w:pPr>
            <w:proofErr w:type="spellStart"/>
            <w:proofErr w:type="gramStart"/>
            <w:r w:rsidRPr="00337C04">
              <w:t>J.cena</w:t>
            </w:r>
            <w:proofErr w:type="spellEnd"/>
            <w:proofErr w:type="gramEnd"/>
          </w:p>
        </w:tc>
        <w:tc>
          <w:tcPr>
            <w:tcW w:w="1757" w:type="dxa"/>
            <w:gridSpan w:val="3"/>
            <w:tcBorders>
              <w:top w:val="single" w:sz="4" w:space="0" w:color="auto"/>
              <w:left w:val="nil"/>
              <w:bottom w:val="single" w:sz="4" w:space="0" w:color="auto"/>
              <w:right w:val="single" w:sz="4" w:space="0" w:color="auto"/>
            </w:tcBorders>
            <w:shd w:val="clear" w:color="auto" w:fill="auto"/>
            <w:noWrap/>
            <w:hideMark/>
          </w:tcPr>
          <w:p w:rsidR="006676B4" w:rsidRPr="00337C04" w:rsidRDefault="006676B4" w:rsidP="001F1959">
            <w:pPr>
              <w:pStyle w:val="Bezmezer"/>
            </w:pPr>
            <w:r w:rsidRPr="00337C04">
              <w:t>Kč Celkem</w:t>
            </w:r>
          </w:p>
        </w:tc>
      </w:tr>
      <w:tr w:rsidR="006676B4" w:rsidTr="006676B4">
        <w:trPr>
          <w:trHeight w:val="191"/>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75" w:type="dxa"/>
            <w:tcBorders>
              <w:top w:val="single" w:sz="4" w:space="0" w:color="auto"/>
              <w:left w:val="single" w:sz="4" w:space="0" w:color="auto"/>
              <w:bottom w:val="nil"/>
              <w:right w:val="nil"/>
            </w:tcBorders>
            <w:shd w:val="clear" w:color="auto" w:fill="auto"/>
            <w:noWrap/>
            <w:vAlign w:val="bottom"/>
            <w:hideMark/>
          </w:tcPr>
          <w:p w:rsidR="006676B4" w:rsidRPr="00337C04" w:rsidRDefault="006676B4" w:rsidP="001F1959">
            <w:pPr>
              <w:pStyle w:val="Bezmezer"/>
            </w:pPr>
          </w:p>
        </w:tc>
        <w:tc>
          <w:tcPr>
            <w:tcW w:w="574" w:type="dxa"/>
            <w:tcBorders>
              <w:left w:val="nil"/>
              <w:bottom w:val="nil"/>
            </w:tcBorders>
            <w:shd w:val="clear" w:color="auto" w:fill="auto"/>
            <w:noWrap/>
            <w:vAlign w:val="bottom"/>
            <w:hideMark/>
          </w:tcPr>
          <w:p w:rsidR="006676B4" w:rsidRPr="00337C04" w:rsidRDefault="006676B4" w:rsidP="001F1959">
            <w:pPr>
              <w:pStyle w:val="Bezmezer"/>
            </w:pPr>
          </w:p>
        </w:tc>
        <w:tc>
          <w:tcPr>
            <w:tcW w:w="575"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83"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761"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738"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27"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742"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373"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373"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gridSpan w:val="2"/>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432"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23"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362"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3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Pr="00337C04" w:rsidRDefault="006676B4" w:rsidP="001F1959">
            <w:pPr>
              <w:pStyle w:val="Bezmezer"/>
            </w:pPr>
          </w:p>
        </w:tc>
        <w:tc>
          <w:tcPr>
            <w:tcW w:w="1315" w:type="dxa"/>
            <w:tcBorders>
              <w:top w:val="single" w:sz="4" w:space="0" w:color="auto"/>
              <w:left w:val="nil"/>
              <w:bottom w:val="nil"/>
              <w:right w:val="single" w:sz="4" w:space="0" w:color="auto"/>
            </w:tcBorders>
            <w:shd w:val="clear" w:color="auto" w:fill="auto"/>
            <w:noWrap/>
            <w:vAlign w:val="bottom"/>
            <w:hideMark/>
          </w:tcPr>
          <w:p w:rsidR="006676B4" w:rsidRPr="00337C04" w:rsidRDefault="006676B4" w:rsidP="001F1959">
            <w:pPr>
              <w:pStyle w:val="Bezmezer"/>
            </w:pPr>
          </w:p>
        </w:tc>
      </w:tr>
      <w:tr w:rsidR="006676B4" w:rsidTr="006676B4">
        <w:trPr>
          <w:trHeight w:val="239"/>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9852" w:type="dxa"/>
            <w:gridSpan w:val="26"/>
            <w:tcBorders>
              <w:top w:val="nil"/>
              <w:left w:val="single" w:sz="4" w:space="0" w:color="auto"/>
              <w:bottom w:val="nil"/>
              <w:right w:val="single" w:sz="4" w:space="0" w:color="auto"/>
            </w:tcBorders>
            <w:shd w:val="clear" w:color="auto" w:fill="auto"/>
            <w:hideMark/>
          </w:tcPr>
          <w:p w:rsidR="006676B4" w:rsidRPr="00337C04" w:rsidRDefault="006676B4" w:rsidP="001F1959">
            <w:pPr>
              <w:pStyle w:val="Bezmezer"/>
            </w:pPr>
            <w:r w:rsidRPr="00337C04">
              <w:t>Hlavní vstup</w:t>
            </w:r>
          </w:p>
        </w:tc>
      </w:tr>
      <w:tr w:rsidR="006676B4" w:rsidTr="006676B4">
        <w:trPr>
          <w:trHeight w:val="336"/>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Čtečka bezkontaktních čipů</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6 630,80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6 630,80</w:t>
            </w:r>
          </w:p>
        </w:tc>
      </w:tr>
      <w:tr w:rsidR="006676B4" w:rsidTr="006676B4">
        <w:trPr>
          <w:trHeight w:val="283"/>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Rozhraní RS485/LAN, + řídící jednotka</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5 299,80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5 299,80</w:t>
            </w:r>
          </w:p>
        </w:tc>
      </w:tr>
      <w:tr w:rsidR="006676B4" w:rsidTr="006676B4">
        <w:trPr>
          <w:trHeight w:val="287"/>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USB čtečka bezkontaktních čipů</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5 767,00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5 767,00</w:t>
            </w:r>
          </w:p>
        </w:tc>
      </w:tr>
      <w:tr w:rsidR="006676B4" w:rsidTr="006676B4">
        <w:trPr>
          <w:trHeight w:val="290"/>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Ovládací software, neomezená licence</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14 399,00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14 399,00</w:t>
            </w:r>
          </w:p>
        </w:tc>
      </w:tr>
      <w:tr w:rsidR="006676B4" w:rsidTr="006676B4">
        <w:trPr>
          <w:trHeight w:val="267"/>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Napájecí zdroj</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1 248,70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1 248,70</w:t>
            </w:r>
          </w:p>
        </w:tc>
      </w:tr>
      <w:tr w:rsidR="006676B4" w:rsidTr="006676B4">
        <w:trPr>
          <w:trHeight w:val="284"/>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 xml:space="preserve">Dveřní </w:t>
            </w:r>
            <w:proofErr w:type="spellStart"/>
            <w:r w:rsidRPr="00337C04">
              <w:t>elektrozámek</w:t>
            </w:r>
            <w:proofErr w:type="spellEnd"/>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2 323,00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2 323,00</w:t>
            </w:r>
          </w:p>
        </w:tc>
      </w:tr>
      <w:tr w:rsidR="006676B4" w:rsidTr="006676B4">
        <w:trPr>
          <w:trHeight w:val="289"/>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Instalace SW- zaškolení správce systému</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3 500,00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3 500,00</w:t>
            </w:r>
          </w:p>
        </w:tc>
      </w:tr>
      <w:tr w:rsidR="006676B4" w:rsidTr="006676B4">
        <w:trPr>
          <w:trHeight w:val="279"/>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Instalace přístupového systému, zprovoznění</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9 680,00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9 680,00</w:t>
            </w:r>
          </w:p>
        </w:tc>
      </w:tr>
      <w:tr w:rsidR="006676B4" w:rsidTr="006676B4">
        <w:trPr>
          <w:trHeight w:val="283"/>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9852" w:type="dxa"/>
            <w:gridSpan w:val="26"/>
            <w:tcBorders>
              <w:top w:val="nil"/>
              <w:left w:val="single" w:sz="4" w:space="0" w:color="auto"/>
              <w:bottom w:val="nil"/>
              <w:right w:val="single" w:sz="4" w:space="0" w:color="auto"/>
            </w:tcBorders>
            <w:shd w:val="clear" w:color="auto" w:fill="auto"/>
            <w:hideMark/>
          </w:tcPr>
          <w:p w:rsidR="006676B4" w:rsidRPr="00337C04" w:rsidRDefault="006676B4" w:rsidP="001F1959">
            <w:pPr>
              <w:pStyle w:val="Bezmezer"/>
            </w:pPr>
            <w:r w:rsidRPr="00337C04">
              <w:t>Vstup II, III., IV.</w:t>
            </w:r>
          </w:p>
        </w:tc>
      </w:tr>
      <w:tr w:rsidR="006676B4" w:rsidTr="006676B4">
        <w:trPr>
          <w:trHeight w:val="286"/>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Čtečka bezkontaktních čipů</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3</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6 630,80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19 892,40</w:t>
            </w:r>
          </w:p>
        </w:tc>
      </w:tr>
      <w:tr w:rsidR="006676B4" w:rsidTr="006676B4">
        <w:trPr>
          <w:trHeight w:val="277"/>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Rozhraní RS485/LAN, + řídící jednotka</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3</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5 299,80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15 899,40</w:t>
            </w:r>
          </w:p>
        </w:tc>
      </w:tr>
      <w:tr w:rsidR="006676B4" w:rsidTr="006676B4">
        <w:trPr>
          <w:trHeight w:val="294"/>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 xml:space="preserve">Dveřní </w:t>
            </w:r>
            <w:proofErr w:type="spellStart"/>
            <w:r w:rsidRPr="00337C04">
              <w:t>elektrozámek</w:t>
            </w:r>
            <w:proofErr w:type="spellEnd"/>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3</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2 323,00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6 969,00</w:t>
            </w:r>
          </w:p>
        </w:tc>
      </w:tr>
      <w:tr w:rsidR="006676B4" w:rsidTr="006676B4">
        <w:trPr>
          <w:trHeight w:val="271"/>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Napájecí zdroj</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3</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1 248,70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3 746,10</w:t>
            </w:r>
          </w:p>
        </w:tc>
      </w:tr>
      <w:tr w:rsidR="006676B4" w:rsidTr="006676B4">
        <w:trPr>
          <w:trHeight w:val="288"/>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337C04" w:rsidRDefault="006676B4" w:rsidP="001F1959">
            <w:pPr>
              <w:pStyle w:val="Bezmezer"/>
            </w:pPr>
            <w:r w:rsidRPr="00337C04">
              <w:t>Instalace přístupového systému, zprovoznění</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3</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9 680,00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29 040,00</w:t>
            </w:r>
          </w:p>
        </w:tc>
      </w:tr>
      <w:tr w:rsidR="006676B4" w:rsidTr="006676B4">
        <w:trPr>
          <w:trHeight w:val="293"/>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5634" w:type="dxa"/>
            <w:gridSpan w:val="12"/>
            <w:tcBorders>
              <w:top w:val="nil"/>
              <w:left w:val="single" w:sz="4" w:space="0" w:color="auto"/>
              <w:bottom w:val="nil"/>
              <w:right w:val="nil"/>
            </w:tcBorders>
            <w:shd w:val="clear" w:color="auto" w:fill="auto"/>
            <w:hideMark/>
          </w:tcPr>
          <w:p w:rsidR="006676B4" w:rsidRPr="002A09B2" w:rsidRDefault="006676B4" w:rsidP="001F1959">
            <w:pPr>
              <w:pStyle w:val="Bezmezer"/>
              <w:rPr>
                <w:b/>
              </w:rPr>
            </w:pPr>
            <w:r w:rsidRPr="002A09B2">
              <w:rPr>
                <w:b/>
              </w:rPr>
              <w:t>BONUS</w:t>
            </w:r>
          </w:p>
        </w:tc>
        <w:tc>
          <w:tcPr>
            <w:tcW w:w="412" w:type="dxa"/>
            <w:gridSpan w:val="2"/>
            <w:tcBorders>
              <w:top w:val="nil"/>
              <w:left w:val="nil"/>
              <w:bottom w:val="nil"/>
              <w:right w:val="nil"/>
            </w:tcBorders>
            <w:shd w:val="clear" w:color="auto" w:fill="auto"/>
            <w:noWrap/>
            <w:hideMark/>
          </w:tcPr>
          <w:p w:rsidR="006676B4" w:rsidRPr="00337C04" w:rsidRDefault="006676B4" w:rsidP="001F1959">
            <w:pPr>
              <w:pStyle w:val="Bezmezer"/>
            </w:pPr>
            <w:r w:rsidRPr="00337C04">
              <w:t>1</w:t>
            </w:r>
          </w:p>
        </w:tc>
        <w:tc>
          <w:tcPr>
            <w:tcW w:w="638" w:type="dxa"/>
            <w:gridSpan w:val="3"/>
            <w:tcBorders>
              <w:top w:val="nil"/>
              <w:left w:val="nil"/>
              <w:bottom w:val="nil"/>
              <w:right w:val="nil"/>
            </w:tcBorders>
            <w:shd w:val="clear" w:color="auto" w:fill="auto"/>
            <w:noWrap/>
            <w:hideMark/>
          </w:tcPr>
          <w:p w:rsidR="006676B4" w:rsidRPr="00337C04" w:rsidRDefault="006676B4" w:rsidP="001F1959">
            <w:pPr>
              <w:pStyle w:val="Bezmezer"/>
            </w:pPr>
            <w:r w:rsidRPr="00337C04">
              <w:t>ks</w:t>
            </w:r>
          </w:p>
        </w:tc>
        <w:tc>
          <w:tcPr>
            <w:tcW w:w="1411" w:type="dxa"/>
            <w:gridSpan w:val="6"/>
            <w:tcBorders>
              <w:top w:val="nil"/>
              <w:left w:val="nil"/>
              <w:bottom w:val="nil"/>
              <w:right w:val="nil"/>
            </w:tcBorders>
            <w:shd w:val="clear" w:color="auto" w:fill="auto"/>
            <w:noWrap/>
            <w:hideMark/>
          </w:tcPr>
          <w:p w:rsidR="006676B4" w:rsidRPr="00337C04" w:rsidRDefault="006676B4" w:rsidP="001F1959">
            <w:pPr>
              <w:pStyle w:val="Bezmezer"/>
            </w:pPr>
            <w:r w:rsidRPr="00337C04">
              <w:t>-60 000,00</w:t>
            </w:r>
          </w:p>
        </w:tc>
        <w:tc>
          <w:tcPr>
            <w:tcW w:w="1757" w:type="dxa"/>
            <w:gridSpan w:val="3"/>
            <w:tcBorders>
              <w:top w:val="nil"/>
              <w:left w:val="nil"/>
              <w:bottom w:val="nil"/>
              <w:right w:val="single" w:sz="4" w:space="0" w:color="auto"/>
            </w:tcBorders>
            <w:shd w:val="clear" w:color="auto" w:fill="auto"/>
            <w:noWrap/>
            <w:hideMark/>
          </w:tcPr>
          <w:p w:rsidR="006676B4" w:rsidRPr="00337C04" w:rsidRDefault="006676B4" w:rsidP="001F1959">
            <w:pPr>
              <w:pStyle w:val="Bezmezer"/>
            </w:pPr>
            <w:r w:rsidRPr="00337C04">
              <w:t>-</w:t>
            </w:r>
            <w:r>
              <w:t xml:space="preserve"> </w:t>
            </w:r>
            <w:r w:rsidRPr="00337C04">
              <w:t>60 000,00</w:t>
            </w:r>
          </w:p>
        </w:tc>
      </w:tr>
      <w:tr w:rsidR="006676B4" w:rsidTr="006676B4">
        <w:trPr>
          <w:trHeight w:val="518"/>
          <w:jc w:val="center"/>
        </w:trPr>
        <w:tc>
          <w:tcPr>
            <w:tcW w:w="280" w:type="dxa"/>
            <w:tcBorders>
              <w:top w:val="nil"/>
              <w:bottom w:val="nil"/>
              <w:right w:val="single" w:sz="4" w:space="0" w:color="auto"/>
            </w:tcBorders>
            <w:shd w:val="clear" w:color="auto" w:fill="auto"/>
            <w:noWrap/>
            <w:vAlign w:val="bottom"/>
            <w:hideMark/>
          </w:tcPr>
          <w:p w:rsidR="006676B4" w:rsidRPr="002A09B2" w:rsidRDefault="006676B4" w:rsidP="001F1959">
            <w:pPr>
              <w:pStyle w:val="Bezmezer"/>
              <w:rPr>
                <w:b/>
              </w:rPr>
            </w:pPr>
            <w:r w:rsidRPr="002A09B2">
              <w:rPr>
                <w:b/>
              </w:rPr>
              <w:t> </w:t>
            </w:r>
          </w:p>
        </w:tc>
        <w:tc>
          <w:tcPr>
            <w:tcW w:w="1148" w:type="dxa"/>
            <w:gridSpan w:val="2"/>
            <w:tcBorders>
              <w:top w:val="single" w:sz="4" w:space="0" w:color="auto"/>
              <w:left w:val="single" w:sz="4" w:space="0" w:color="auto"/>
              <w:bottom w:val="nil"/>
            </w:tcBorders>
            <w:shd w:val="clear" w:color="auto" w:fill="auto"/>
            <w:noWrap/>
            <w:hideMark/>
          </w:tcPr>
          <w:p w:rsidR="006676B4" w:rsidRPr="00337C04" w:rsidRDefault="006676B4" w:rsidP="001F1959">
            <w:pPr>
              <w:pStyle w:val="Bezmezer"/>
            </w:pPr>
            <w:r w:rsidRPr="00337C04">
              <w:t>Součet položek</w:t>
            </w:r>
          </w:p>
        </w:tc>
        <w:tc>
          <w:tcPr>
            <w:tcW w:w="575" w:type="dxa"/>
            <w:tcBorders>
              <w:top w:val="nil"/>
              <w:left w:val="nil"/>
              <w:bottom w:val="nil"/>
              <w:right w:val="nil"/>
            </w:tcBorders>
            <w:shd w:val="clear" w:color="auto" w:fill="auto"/>
            <w:noWrap/>
            <w:vAlign w:val="bottom"/>
            <w:hideMark/>
          </w:tcPr>
          <w:p w:rsidR="006676B4" w:rsidRPr="00337C04" w:rsidRDefault="006676B4" w:rsidP="001F1959">
            <w:pPr>
              <w:pStyle w:val="Bezmezer"/>
            </w:pPr>
          </w:p>
        </w:tc>
        <w:tc>
          <w:tcPr>
            <w:tcW w:w="8129" w:type="dxa"/>
            <w:gridSpan w:val="23"/>
            <w:tcBorders>
              <w:top w:val="single" w:sz="8" w:space="0" w:color="000000"/>
              <w:left w:val="nil"/>
              <w:bottom w:val="nil"/>
              <w:right w:val="single" w:sz="4" w:space="0" w:color="auto"/>
            </w:tcBorders>
            <w:shd w:val="clear" w:color="auto" w:fill="auto"/>
            <w:noWrap/>
            <w:hideMark/>
          </w:tcPr>
          <w:p w:rsidR="006676B4" w:rsidRPr="00337C04" w:rsidRDefault="006676B4" w:rsidP="001F1959">
            <w:pPr>
              <w:pStyle w:val="Bezmezer"/>
            </w:pPr>
            <w:r>
              <w:t xml:space="preserve">                                                                                                                                  </w:t>
            </w:r>
            <w:r w:rsidRPr="00337C04">
              <w:t>64 395,20</w:t>
            </w:r>
          </w:p>
        </w:tc>
      </w:tr>
      <w:tr w:rsidR="006676B4" w:rsidTr="006676B4">
        <w:trPr>
          <w:trHeight w:val="672"/>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9852" w:type="dxa"/>
            <w:gridSpan w:val="26"/>
            <w:tcBorders>
              <w:top w:val="single" w:sz="4" w:space="0" w:color="000000"/>
              <w:left w:val="single" w:sz="4" w:space="0" w:color="auto"/>
              <w:bottom w:val="single" w:sz="4" w:space="0" w:color="000000"/>
              <w:right w:val="single" w:sz="4" w:space="0" w:color="auto"/>
            </w:tcBorders>
            <w:shd w:val="clear" w:color="auto" w:fill="auto"/>
            <w:noWrap/>
            <w:hideMark/>
          </w:tcPr>
          <w:p w:rsidR="006676B4" w:rsidRPr="00337C04" w:rsidRDefault="006676B4" w:rsidP="001F1959">
            <w:pPr>
              <w:pStyle w:val="Bezmezer"/>
            </w:pPr>
            <w:proofErr w:type="gramStart"/>
            <w:r w:rsidRPr="00337C04">
              <w:t xml:space="preserve">Zaokrouhlení                 </w:t>
            </w:r>
            <w:r>
              <w:t xml:space="preserve">                                                                                                                                      0,80</w:t>
            </w:r>
            <w:proofErr w:type="gramEnd"/>
            <w:r>
              <w:t xml:space="preserve">       </w:t>
            </w:r>
            <w:r w:rsidRPr="00337C04">
              <w:t xml:space="preserve">                                                                                                                                                                       </w:t>
            </w:r>
          </w:p>
        </w:tc>
      </w:tr>
      <w:tr w:rsidR="006676B4" w:rsidTr="006676B4">
        <w:trPr>
          <w:trHeight w:val="672"/>
          <w:jc w:val="center"/>
        </w:trPr>
        <w:tc>
          <w:tcPr>
            <w:tcW w:w="280" w:type="dxa"/>
            <w:tcBorders>
              <w:top w:val="nil"/>
              <w:right w:val="single" w:sz="4" w:space="0" w:color="auto"/>
            </w:tcBorders>
            <w:shd w:val="clear" w:color="auto" w:fill="auto"/>
            <w:noWrap/>
            <w:vAlign w:val="bottom"/>
            <w:hideMark/>
          </w:tcPr>
          <w:p w:rsidR="006676B4" w:rsidRDefault="006676B4" w:rsidP="001F1959">
            <w:pPr>
              <w:pStyle w:val="Bezmezer"/>
            </w:pPr>
            <w:r>
              <w:t> </w:t>
            </w:r>
          </w:p>
        </w:tc>
        <w:tc>
          <w:tcPr>
            <w:tcW w:w="2213" w:type="dxa"/>
            <w:gridSpan w:val="5"/>
            <w:tcBorders>
              <w:top w:val="nil"/>
              <w:left w:val="single" w:sz="4" w:space="0" w:color="auto"/>
              <w:bottom w:val="single" w:sz="8" w:space="0" w:color="000000"/>
              <w:right w:val="nil"/>
            </w:tcBorders>
            <w:shd w:val="clear" w:color="auto" w:fill="auto"/>
            <w:noWrap/>
            <w:hideMark/>
          </w:tcPr>
          <w:p w:rsidR="006676B4" w:rsidRPr="002A09B2" w:rsidRDefault="006676B4" w:rsidP="001F1959">
            <w:pPr>
              <w:pStyle w:val="Bezmezer"/>
              <w:rPr>
                <w:b/>
              </w:rPr>
            </w:pPr>
            <w:r w:rsidRPr="002A09B2">
              <w:rPr>
                <w:b/>
              </w:rPr>
              <w:t>CELKEM K ÚHRADĚ</w:t>
            </w:r>
          </w:p>
        </w:tc>
        <w:tc>
          <w:tcPr>
            <w:tcW w:w="7639" w:type="dxa"/>
            <w:gridSpan w:val="21"/>
            <w:tcBorders>
              <w:top w:val="nil"/>
              <w:left w:val="nil"/>
              <w:bottom w:val="single" w:sz="8" w:space="0" w:color="000000"/>
              <w:right w:val="single" w:sz="4" w:space="0" w:color="auto"/>
            </w:tcBorders>
            <w:shd w:val="clear" w:color="auto" w:fill="auto"/>
            <w:noWrap/>
            <w:vAlign w:val="bottom"/>
            <w:hideMark/>
          </w:tcPr>
          <w:p w:rsidR="006676B4" w:rsidRPr="002A09B2" w:rsidRDefault="006676B4" w:rsidP="001F1959">
            <w:pPr>
              <w:pStyle w:val="Bezmezer"/>
              <w:rPr>
                <w:b/>
              </w:rPr>
            </w:pPr>
            <w:r w:rsidRPr="00337C04">
              <w:t xml:space="preserve">                                                                                                                     </w:t>
            </w:r>
            <w:r>
              <w:t xml:space="preserve">       </w:t>
            </w:r>
            <w:r w:rsidRPr="002A09B2">
              <w:rPr>
                <w:b/>
              </w:rPr>
              <w:t xml:space="preserve">64 396,- Kč            </w:t>
            </w:r>
          </w:p>
        </w:tc>
      </w:tr>
      <w:tr w:rsidR="006676B4" w:rsidTr="006676B4">
        <w:trPr>
          <w:trHeight w:val="191"/>
          <w:jc w:val="center"/>
        </w:trPr>
        <w:tc>
          <w:tcPr>
            <w:tcW w:w="280" w:type="dxa"/>
            <w:tcBorders>
              <w:top w:val="nil"/>
              <w:bottom w:val="nil"/>
              <w:right w:val="single" w:sz="4" w:space="0" w:color="auto"/>
            </w:tcBorders>
            <w:shd w:val="clear" w:color="auto" w:fill="auto"/>
            <w:noWrap/>
            <w:vAlign w:val="bottom"/>
            <w:hideMark/>
          </w:tcPr>
          <w:p w:rsidR="006676B4" w:rsidRDefault="006676B4" w:rsidP="001F1959">
            <w:pPr>
              <w:pStyle w:val="Bezmezer"/>
            </w:pPr>
            <w:r>
              <w:t> </w:t>
            </w:r>
          </w:p>
        </w:tc>
        <w:tc>
          <w:tcPr>
            <w:tcW w:w="9852" w:type="dxa"/>
            <w:gridSpan w:val="26"/>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6676B4" w:rsidRDefault="006676B4" w:rsidP="001F1959">
            <w:pPr>
              <w:pStyle w:val="Bezmezer"/>
            </w:pPr>
            <w:r>
              <w:t> </w:t>
            </w: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4681" w:type="dxa"/>
            <w:gridSpan w:val="9"/>
            <w:tcBorders>
              <w:top w:val="single" w:sz="4" w:space="0" w:color="auto"/>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Záruka na čtečky, čipy, ovládací SW a provedené instalační práce - 24 měsíců</w:t>
            </w:r>
          </w:p>
        </w:tc>
        <w:tc>
          <w:tcPr>
            <w:tcW w:w="206" w:type="dxa"/>
            <w:tcBorders>
              <w:top w:val="single" w:sz="4" w:space="0" w:color="auto"/>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single" w:sz="4" w:space="0" w:color="auto"/>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single" w:sz="4" w:space="0" w:color="auto"/>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432"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23"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362"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3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206"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single" w:sz="4" w:space="0" w:color="auto"/>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6088" w:type="dxa"/>
            <w:gridSpan w:val="15"/>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Servisní podmínky: možnost servisního zásahu u SW pomocí vzdáleného přístupu online</w:t>
            </w:r>
          </w:p>
        </w:tc>
        <w:tc>
          <w:tcPr>
            <w:tcW w:w="164" w:type="dxa"/>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4887" w:type="dxa"/>
            <w:gridSpan w:val="10"/>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 xml:space="preserve">Servisní zásahy při </w:t>
            </w:r>
            <w:proofErr w:type="spellStart"/>
            <w:r w:rsidRPr="00C53994">
              <w:rPr>
                <w:sz w:val="20"/>
                <w:szCs w:val="20"/>
              </w:rPr>
              <w:t>nefukčnosti</w:t>
            </w:r>
            <w:proofErr w:type="spellEnd"/>
            <w:r w:rsidRPr="00C53994">
              <w:rPr>
                <w:sz w:val="20"/>
                <w:szCs w:val="20"/>
              </w:rPr>
              <w:t xml:space="preserve"> čteček karet do 48 hodin od nahlášení závady.</w:t>
            </w: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3711" w:type="dxa"/>
            <w:gridSpan w:val="7"/>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V rámci záruční doby servisní zásahy zdarma.</w:t>
            </w:r>
          </w:p>
        </w:tc>
        <w:tc>
          <w:tcPr>
            <w:tcW w:w="227"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742"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3939" w:type="dxa"/>
            <w:gridSpan w:val="8"/>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Záruka se nevztahuje na vandalismus, krádež a zásahy vyšší moci.</w:t>
            </w:r>
          </w:p>
        </w:tc>
        <w:tc>
          <w:tcPr>
            <w:tcW w:w="742"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3711" w:type="dxa"/>
            <w:gridSpan w:val="7"/>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Nutné pro úspěšnou montáž - zajistí škola:</w:t>
            </w:r>
          </w:p>
        </w:tc>
        <w:tc>
          <w:tcPr>
            <w:tcW w:w="227"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742"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3711" w:type="dxa"/>
            <w:gridSpan w:val="7"/>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1. u vybraných vstupů kování na dveřích typu klika-koule</w:t>
            </w:r>
          </w:p>
        </w:tc>
        <w:tc>
          <w:tcPr>
            <w:tcW w:w="227"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742"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4681" w:type="dxa"/>
            <w:gridSpan w:val="9"/>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2. funkční vstupové dveře s automatickým zavíráním dveří - "</w:t>
            </w:r>
            <w:proofErr w:type="spellStart"/>
            <w:r w:rsidRPr="00C53994">
              <w:rPr>
                <w:sz w:val="20"/>
                <w:szCs w:val="20"/>
              </w:rPr>
              <w:t>Brano</w:t>
            </w:r>
            <w:proofErr w:type="spellEnd"/>
            <w:r w:rsidRPr="00C53994">
              <w:rPr>
                <w:sz w:val="20"/>
                <w:szCs w:val="20"/>
              </w:rPr>
              <w:t>"</w:t>
            </w:r>
          </w:p>
        </w:tc>
        <w:tc>
          <w:tcPr>
            <w:tcW w:w="206"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4887" w:type="dxa"/>
            <w:gridSpan w:val="10"/>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3. u vybraných vstupů zajištěné připojení vstupních čteček do školní LAN sítě</w:t>
            </w: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373" w:type="dxa"/>
            <w:tcBorders>
              <w:top w:val="nil"/>
              <w:left w:val="nil"/>
              <w:bottom w:val="nil"/>
              <w:right w:val="nil"/>
            </w:tcBorders>
            <w:shd w:val="clear" w:color="auto" w:fill="auto"/>
            <w:noWrap/>
            <w:vAlign w:val="bottom"/>
            <w:hideMark/>
          </w:tcPr>
          <w:p w:rsidR="006676B4" w:rsidRPr="00C53994" w:rsidRDefault="006676B4" w:rsidP="001F1959">
            <w:pPr>
              <w:pStyle w:val="Bezmezer"/>
              <w:rPr>
                <w:sz w:val="20"/>
                <w:szCs w:val="20"/>
              </w:rP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6046" w:type="dxa"/>
            <w:gridSpan w:val="14"/>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Cenová nabídka platí při odběru min.500ks bezkontaktních čipů s logem školy za 200kč/ks</w:t>
            </w:r>
            <w:r w:rsidR="002A1510">
              <w:rPr>
                <w:sz w:val="20"/>
                <w:szCs w:val="20"/>
              </w:rPr>
              <w:t>, čipy nejsou součástí cenové kalkulace</w:t>
            </w: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27"/>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7320" w:type="dxa"/>
            <w:gridSpan w:val="20"/>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Bezkontaktní čipy s logem školy jsou nedílnou součástí systému nezbytné pro řádné fungování systému.</w:t>
            </w: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239"/>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5634" w:type="dxa"/>
            <w:gridSpan w:val="12"/>
            <w:tcBorders>
              <w:top w:val="nil"/>
              <w:left w:val="nil"/>
              <w:bottom w:val="nil"/>
              <w:right w:val="nil"/>
            </w:tcBorders>
            <w:shd w:val="clear" w:color="auto" w:fill="auto"/>
            <w:noWrap/>
            <w:hideMark/>
          </w:tcPr>
          <w:p w:rsidR="006676B4" w:rsidRPr="00C53994" w:rsidRDefault="006676B4" w:rsidP="001F1959">
            <w:pPr>
              <w:pStyle w:val="Bezmezer"/>
              <w:rPr>
                <w:sz w:val="20"/>
                <w:szCs w:val="20"/>
              </w:rPr>
            </w:pPr>
            <w:r w:rsidRPr="00C53994">
              <w:rPr>
                <w:sz w:val="20"/>
                <w:szCs w:val="20"/>
              </w:rPr>
              <w:t xml:space="preserve">Kalkulace </w:t>
            </w:r>
            <w:proofErr w:type="spellStart"/>
            <w:r w:rsidRPr="00C53994">
              <w:rPr>
                <w:sz w:val="20"/>
                <w:szCs w:val="20"/>
              </w:rPr>
              <w:t>neobahuje</w:t>
            </w:r>
            <w:proofErr w:type="spellEnd"/>
            <w:r w:rsidRPr="00C53994">
              <w:rPr>
                <w:sz w:val="20"/>
                <w:szCs w:val="20"/>
              </w:rPr>
              <w:t xml:space="preserve"> dopravní náklady Prostějov - místo montáže a zpět, 1km/10Kč</w:t>
            </w: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r w:rsidR="006676B4" w:rsidTr="006676B4">
        <w:trPr>
          <w:trHeight w:val="191"/>
          <w:jc w:val="center"/>
        </w:trPr>
        <w:tc>
          <w:tcPr>
            <w:tcW w:w="280" w:type="dxa"/>
            <w:tcBorders>
              <w:top w:val="nil"/>
              <w:bottom w:val="nil"/>
              <w:right w:val="nil"/>
            </w:tcBorders>
            <w:shd w:val="clear" w:color="auto" w:fill="auto"/>
            <w:noWrap/>
            <w:vAlign w:val="bottom"/>
            <w:hideMark/>
          </w:tcPr>
          <w:p w:rsidR="006676B4" w:rsidRDefault="006676B4" w:rsidP="001F1959">
            <w:pPr>
              <w:pStyle w:val="Bezmezer"/>
            </w:pPr>
            <w:r>
              <w:t> </w:t>
            </w:r>
          </w:p>
        </w:tc>
        <w:tc>
          <w:tcPr>
            <w:tcW w:w="575" w:type="dxa"/>
            <w:tcBorders>
              <w:top w:val="nil"/>
              <w:left w:val="nil"/>
              <w:bottom w:val="nil"/>
              <w:right w:val="nil"/>
            </w:tcBorders>
            <w:shd w:val="clear" w:color="auto" w:fill="auto"/>
            <w:noWrap/>
            <w:vAlign w:val="bottom"/>
            <w:hideMark/>
          </w:tcPr>
          <w:p w:rsidR="006676B4" w:rsidRDefault="006676B4" w:rsidP="001F1959">
            <w:pPr>
              <w:pStyle w:val="Bezmezer"/>
            </w:pPr>
          </w:p>
        </w:tc>
        <w:tc>
          <w:tcPr>
            <w:tcW w:w="574" w:type="dxa"/>
            <w:tcBorders>
              <w:top w:val="nil"/>
              <w:left w:val="nil"/>
              <w:bottom w:val="nil"/>
              <w:right w:val="nil"/>
            </w:tcBorders>
            <w:shd w:val="clear" w:color="auto" w:fill="auto"/>
            <w:noWrap/>
            <w:vAlign w:val="bottom"/>
            <w:hideMark/>
          </w:tcPr>
          <w:p w:rsidR="006676B4" w:rsidRDefault="006676B4" w:rsidP="001F1959">
            <w:pPr>
              <w:pStyle w:val="Bezmezer"/>
            </w:pPr>
          </w:p>
        </w:tc>
        <w:tc>
          <w:tcPr>
            <w:tcW w:w="575"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8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761" w:type="dxa"/>
            <w:tcBorders>
              <w:top w:val="nil"/>
              <w:left w:val="nil"/>
              <w:bottom w:val="nil"/>
              <w:right w:val="nil"/>
            </w:tcBorders>
            <w:shd w:val="clear" w:color="auto" w:fill="auto"/>
            <w:noWrap/>
            <w:vAlign w:val="bottom"/>
            <w:hideMark/>
          </w:tcPr>
          <w:p w:rsidR="006676B4" w:rsidRDefault="006676B4" w:rsidP="001F1959">
            <w:pPr>
              <w:pStyle w:val="Bezmezer"/>
            </w:pPr>
          </w:p>
        </w:tc>
        <w:tc>
          <w:tcPr>
            <w:tcW w:w="738"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7" w:type="dxa"/>
            <w:tcBorders>
              <w:top w:val="nil"/>
              <w:left w:val="nil"/>
              <w:bottom w:val="nil"/>
              <w:right w:val="nil"/>
            </w:tcBorders>
            <w:shd w:val="clear" w:color="auto" w:fill="auto"/>
            <w:noWrap/>
            <w:vAlign w:val="bottom"/>
            <w:hideMark/>
          </w:tcPr>
          <w:p w:rsidR="006676B4" w:rsidRDefault="006676B4" w:rsidP="001F1959">
            <w:pPr>
              <w:pStyle w:val="Bezmezer"/>
            </w:pPr>
          </w:p>
        </w:tc>
        <w:tc>
          <w:tcPr>
            <w:tcW w:w="74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7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7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gridSpan w:val="2"/>
            <w:tcBorders>
              <w:top w:val="nil"/>
              <w:left w:val="nil"/>
              <w:bottom w:val="nil"/>
              <w:right w:val="nil"/>
            </w:tcBorders>
            <w:shd w:val="clear" w:color="auto" w:fill="auto"/>
            <w:noWrap/>
            <w:vAlign w:val="bottom"/>
            <w:hideMark/>
          </w:tcPr>
          <w:p w:rsidR="006676B4" w:rsidRDefault="006676B4" w:rsidP="001F1959">
            <w:pPr>
              <w:pStyle w:val="Bezmezer"/>
            </w:pPr>
          </w:p>
        </w:tc>
        <w:tc>
          <w:tcPr>
            <w:tcW w:w="43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23" w:type="dxa"/>
            <w:tcBorders>
              <w:top w:val="nil"/>
              <w:left w:val="nil"/>
              <w:bottom w:val="nil"/>
              <w:right w:val="nil"/>
            </w:tcBorders>
            <w:shd w:val="clear" w:color="auto" w:fill="auto"/>
            <w:noWrap/>
            <w:vAlign w:val="bottom"/>
            <w:hideMark/>
          </w:tcPr>
          <w:p w:rsidR="006676B4" w:rsidRDefault="006676B4" w:rsidP="001F1959">
            <w:pPr>
              <w:pStyle w:val="Bezmezer"/>
            </w:pPr>
          </w:p>
        </w:tc>
        <w:tc>
          <w:tcPr>
            <w:tcW w:w="362"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3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206" w:type="dxa"/>
            <w:tcBorders>
              <w:top w:val="nil"/>
              <w:left w:val="nil"/>
              <w:bottom w:val="nil"/>
              <w:right w:val="nil"/>
            </w:tcBorders>
            <w:shd w:val="clear" w:color="auto" w:fill="auto"/>
            <w:noWrap/>
            <w:vAlign w:val="bottom"/>
            <w:hideMark/>
          </w:tcPr>
          <w:p w:rsidR="006676B4" w:rsidRDefault="006676B4" w:rsidP="001F1959">
            <w:pPr>
              <w:pStyle w:val="Bezmezer"/>
            </w:pPr>
          </w:p>
        </w:tc>
        <w:tc>
          <w:tcPr>
            <w:tcW w:w="1315" w:type="dxa"/>
            <w:tcBorders>
              <w:top w:val="nil"/>
              <w:left w:val="nil"/>
              <w:bottom w:val="nil"/>
              <w:right w:val="nil"/>
            </w:tcBorders>
            <w:shd w:val="clear" w:color="auto" w:fill="auto"/>
            <w:noWrap/>
            <w:vAlign w:val="bottom"/>
            <w:hideMark/>
          </w:tcPr>
          <w:p w:rsidR="006676B4" w:rsidRDefault="006676B4" w:rsidP="001F1959">
            <w:pPr>
              <w:pStyle w:val="Bezmezer"/>
            </w:pPr>
          </w:p>
        </w:tc>
      </w:tr>
    </w:tbl>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D21DD4" w:rsidRPr="002C7FF3" w:rsidRDefault="00D21DD4" w:rsidP="00BC3076">
      <w:pPr>
        <w:ind w:firstLine="708"/>
        <w:rPr>
          <w:rFonts w:asciiTheme="minorHAnsi" w:hAnsiTheme="minorHAnsi" w:cstheme="minorHAnsi"/>
          <w:sz w:val="22"/>
          <w:szCs w:val="22"/>
        </w:rPr>
      </w:pPr>
    </w:p>
    <w:sectPr w:rsidR="00D21DD4" w:rsidRPr="002C7FF3" w:rsidSect="002C7FF3">
      <w:pgSz w:w="11906" w:h="16838" w:code="9"/>
      <w:pgMar w:top="794" w:right="454" w:bottom="816" w:left="85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1C4"/>
    <w:multiLevelType w:val="multilevel"/>
    <w:tmpl w:val="7ACEA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701" w:hanging="1701"/>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
    <w:nsid w:val="755166EA"/>
    <w:multiLevelType w:val="hybridMultilevel"/>
    <w:tmpl w:val="8092E422"/>
    <w:lvl w:ilvl="0" w:tplc="BED0CC4E">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6"/>
    <w:rsid w:val="000171B3"/>
    <w:rsid w:val="00060C3B"/>
    <w:rsid w:val="00080CE3"/>
    <w:rsid w:val="001059C6"/>
    <w:rsid w:val="00114F11"/>
    <w:rsid w:val="00171DFC"/>
    <w:rsid w:val="001C3724"/>
    <w:rsid w:val="00227D91"/>
    <w:rsid w:val="00240FA2"/>
    <w:rsid w:val="00253C6D"/>
    <w:rsid w:val="002A1510"/>
    <w:rsid w:val="002A7FDF"/>
    <w:rsid w:val="002C7FF3"/>
    <w:rsid w:val="002F0C90"/>
    <w:rsid w:val="0033408A"/>
    <w:rsid w:val="003C0D67"/>
    <w:rsid w:val="00410202"/>
    <w:rsid w:val="00477421"/>
    <w:rsid w:val="004D50A1"/>
    <w:rsid w:val="004F4A10"/>
    <w:rsid w:val="005668D9"/>
    <w:rsid w:val="00570798"/>
    <w:rsid w:val="005C5CAE"/>
    <w:rsid w:val="005F3CE1"/>
    <w:rsid w:val="006676B4"/>
    <w:rsid w:val="006E228A"/>
    <w:rsid w:val="006F5308"/>
    <w:rsid w:val="00720FCB"/>
    <w:rsid w:val="007B16B4"/>
    <w:rsid w:val="007D058B"/>
    <w:rsid w:val="008804C3"/>
    <w:rsid w:val="008D3057"/>
    <w:rsid w:val="00931CB9"/>
    <w:rsid w:val="009942E9"/>
    <w:rsid w:val="0099708C"/>
    <w:rsid w:val="009D4C1B"/>
    <w:rsid w:val="00A22911"/>
    <w:rsid w:val="00A8584E"/>
    <w:rsid w:val="00AD20CE"/>
    <w:rsid w:val="00AE5ED8"/>
    <w:rsid w:val="00AF62BA"/>
    <w:rsid w:val="00B3791A"/>
    <w:rsid w:val="00B94C81"/>
    <w:rsid w:val="00BA7212"/>
    <w:rsid w:val="00BC3076"/>
    <w:rsid w:val="00C6389C"/>
    <w:rsid w:val="00CC26D0"/>
    <w:rsid w:val="00CC6BD7"/>
    <w:rsid w:val="00D0590A"/>
    <w:rsid w:val="00D21DD4"/>
    <w:rsid w:val="00D325E2"/>
    <w:rsid w:val="00D57705"/>
    <w:rsid w:val="00D907C8"/>
    <w:rsid w:val="00DB7CF2"/>
    <w:rsid w:val="00EE437F"/>
    <w:rsid w:val="00F45FEC"/>
    <w:rsid w:val="00FD74BF"/>
    <w:rsid w:val="00FE3B45"/>
    <w:rsid w:val="00FE6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720FCB"/>
    <w:rPr>
      <w:rFonts w:ascii="Tahoma" w:hAnsi="Tahoma" w:cs="Tahoma"/>
      <w:sz w:val="16"/>
      <w:szCs w:val="16"/>
    </w:rPr>
  </w:style>
  <w:style w:type="character" w:customStyle="1" w:styleId="TextbublinyChar">
    <w:name w:val="Text bubliny Char"/>
    <w:basedOn w:val="Standardnpsmoodstavce"/>
    <w:link w:val="Textbubliny"/>
    <w:uiPriority w:val="99"/>
    <w:semiHidden/>
    <w:rsid w:val="00720FCB"/>
    <w:rPr>
      <w:rFonts w:ascii="Tahoma" w:eastAsia="Calibri" w:hAnsi="Tahoma" w:cs="Tahoma"/>
      <w:sz w:val="16"/>
      <w:szCs w:val="16"/>
      <w:lang w:eastAsia="ar-SA"/>
    </w:rPr>
  </w:style>
  <w:style w:type="character" w:styleId="Siln">
    <w:name w:val="Strong"/>
    <w:basedOn w:val="Standardnpsmoodstavce"/>
    <w:uiPriority w:val="22"/>
    <w:qFormat/>
    <w:rsid w:val="00410202"/>
    <w:rPr>
      <w:b/>
      <w:bCs/>
    </w:rPr>
  </w:style>
  <w:style w:type="paragraph" w:styleId="Bezmezer">
    <w:name w:val="No Spacing"/>
    <w:uiPriority w:val="1"/>
    <w:qFormat/>
    <w:rsid w:val="006F5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720FCB"/>
    <w:rPr>
      <w:rFonts w:ascii="Tahoma" w:hAnsi="Tahoma" w:cs="Tahoma"/>
      <w:sz w:val="16"/>
      <w:szCs w:val="16"/>
    </w:rPr>
  </w:style>
  <w:style w:type="character" w:customStyle="1" w:styleId="TextbublinyChar">
    <w:name w:val="Text bubliny Char"/>
    <w:basedOn w:val="Standardnpsmoodstavce"/>
    <w:link w:val="Textbubliny"/>
    <w:uiPriority w:val="99"/>
    <w:semiHidden/>
    <w:rsid w:val="00720FCB"/>
    <w:rPr>
      <w:rFonts w:ascii="Tahoma" w:eastAsia="Calibri" w:hAnsi="Tahoma" w:cs="Tahoma"/>
      <w:sz w:val="16"/>
      <w:szCs w:val="16"/>
      <w:lang w:eastAsia="ar-SA"/>
    </w:rPr>
  </w:style>
  <w:style w:type="character" w:styleId="Siln">
    <w:name w:val="Strong"/>
    <w:basedOn w:val="Standardnpsmoodstavce"/>
    <w:uiPriority w:val="22"/>
    <w:qFormat/>
    <w:rsid w:val="00410202"/>
    <w:rPr>
      <w:b/>
      <w:bCs/>
    </w:rPr>
  </w:style>
  <w:style w:type="paragraph" w:styleId="Bezmezer">
    <w:name w:val="No Spacing"/>
    <w:uiPriority w:val="1"/>
    <w:qFormat/>
    <w:rsid w:val="006F5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D5BE-9248-4E81-A6CF-AAC1122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1700</Words>
  <Characters>10035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BARRYCOM sro</cp:lastModifiedBy>
  <cp:revision>6</cp:revision>
  <cp:lastPrinted>2017-06-07T17:28:00Z</cp:lastPrinted>
  <dcterms:created xsi:type="dcterms:W3CDTF">2017-12-14T12:51:00Z</dcterms:created>
  <dcterms:modified xsi:type="dcterms:W3CDTF">2017-12-14T15:46:00Z</dcterms:modified>
</cp:coreProperties>
</file>