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E55AE" w14:textId="77777777" w:rsidR="00F12CF1" w:rsidRPr="008F5706" w:rsidRDefault="00F12CF1" w:rsidP="00F12CF1">
      <w:pPr>
        <w:pStyle w:val="Zkladntext"/>
        <w:spacing w:line="276" w:lineRule="auto"/>
        <w:jc w:val="both"/>
        <w:rPr>
          <w:rFonts w:cs="Tahoma"/>
          <w:b/>
          <w:szCs w:val="22"/>
          <w:lang w:val="en-US"/>
        </w:rPr>
      </w:pPr>
      <w:r w:rsidRPr="008F5706">
        <w:rPr>
          <w:rFonts w:cs="Tahoma"/>
          <w:b/>
          <w:szCs w:val="22"/>
        </w:rPr>
        <w:t xml:space="preserve">Smlouva o spolupráci při organizaci mezinárodní konference KVALITA – QUALITY 2017 </w:t>
      </w:r>
    </w:p>
    <w:p w14:paraId="2CF9CB81" w14:textId="77777777" w:rsidR="00F12CF1" w:rsidRPr="008F5706" w:rsidRDefault="00F12CF1" w:rsidP="00F12CF1">
      <w:pPr>
        <w:pStyle w:val="Zkladntext"/>
        <w:spacing w:line="276" w:lineRule="auto"/>
        <w:jc w:val="both"/>
        <w:rPr>
          <w:rFonts w:cs="Tahoma"/>
          <w:szCs w:val="22"/>
        </w:rPr>
      </w:pPr>
      <w:r w:rsidRPr="008F5706">
        <w:rPr>
          <w:rFonts w:cs="Tahoma"/>
          <w:szCs w:val="22"/>
        </w:rPr>
        <w:t>uzavřená v souladu s ustanovením § 1746 odst. 2 zákona č. 89/2012 Sb., občanský zákoník, ve znění pozdějších předpisů (dále jen „ občanský zákoník“).</w:t>
      </w:r>
    </w:p>
    <w:p w14:paraId="0600DECC" w14:textId="77777777" w:rsidR="00F12CF1" w:rsidRPr="008F5706" w:rsidRDefault="00F12CF1" w:rsidP="00F12CF1">
      <w:pPr>
        <w:pStyle w:val="Zkladntext"/>
        <w:spacing w:line="276" w:lineRule="auto"/>
        <w:jc w:val="both"/>
        <w:rPr>
          <w:rFonts w:cs="Tahoma"/>
          <w:b/>
          <w:szCs w:val="22"/>
        </w:rPr>
      </w:pPr>
      <w:r w:rsidRPr="008F5706">
        <w:rPr>
          <w:rFonts w:cs="Tahoma"/>
          <w:szCs w:val="22"/>
        </w:rPr>
        <w:t>Níže uvedeného dne, měsíce a roku uzavřely tyto smluvní strany</w:t>
      </w:r>
    </w:p>
    <w:p w14:paraId="6A6FDDCC" w14:textId="77777777" w:rsidR="00F12CF1" w:rsidRPr="008F5706" w:rsidRDefault="00F12CF1" w:rsidP="00F12CF1">
      <w:pPr>
        <w:pStyle w:val="Zkladntext"/>
        <w:spacing w:line="276" w:lineRule="auto"/>
        <w:jc w:val="both"/>
        <w:rPr>
          <w:rFonts w:cs="Tahoma"/>
          <w:b/>
          <w:szCs w:val="22"/>
          <w:lang w:val="en-US"/>
        </w:rPr>
      </w:pPr>
    </w:p>
    <w:p w14:paraId="609CC2F5" w14:textId="77777777" w:rsidR="00F12CF1" w:rsidRPr="008F5706" w:rsidRDefault="00F12CF1" w:rsidP="00F12CF1">
      <w:pPr>
        <w:spacing w:after="0" w:line="276" w:lineRule="auto"/>
        <w:jc w:val="both"/>
        <w:rPr>
          <w:szCs w:val="22"/>
        </w:rPr>
      </w:pPr>
      <w:r w:rsidRPr="008F5706">
        <w:rPr>
          <w:szCs w:val="22"/>
        </w:rPr>
        <w:t>Česká republika – Ministerstvo průmyslu a obchodu, organizační složka státu</w:t>
      </w:r>
    </w:p>
    <w:p w14:paraId="78F027C3" w14:textId="77777777" w:rsidR="00F12CF1" w:rsidRPr="008F5706" w:rsidRDefault="00F12CF1" w:rsidP="00F12CF1">
      <w:pPr>
        <w:spacing w:after="0" w:line="276" w:lineRule="auto"/>
        <w:jc w:val="both"/>
        <w:rPr>
          <w:szCs w:val="22"/>
        </w:rPr>
      </w:pPr>
      <w:r w:rsidRPr="008F5706">
        <w:rPr>
          <w:szCs w:val="22"/>
        </w:rPr>
        <w:t>Na Františku 32, 110 15 Praha 1</w:t>
      </w:r>
    </w:p>
    <w:p w14:paraId="30326039" w14:textId="77777777" w:rsidR="00F12CF1" w:rsidRPr="008F5706" w:rsidRDefault="00F12CF1" w:rsidP="00F12CF1">
      <w:pPr>
        <w:spacing w:after="0" w:line="276" w:lineRule="auto"/>
        <w:jc w:val="both"/>
        <w:rPr>
          <w:szCs w:val="22"/>
        </w:rPr>
      </w:pPr>
      <w:r w:rsidRPr="008F5706">
        <w:rPr>
          <w:szCs w:val="22"/>
        </w:rPr>
        <w:t xml:space="preserve">zastoupené JUDr. Ing. Robertem </w:t>
      </w:r>
      <w:proofErr w:type="spellStart"/>
      <w:r w:rsidRPr="008F5706">
        <w:rPr>
          <w:szCs w:val="22"/>
        </w:rPr>
        <w:t>Szurmanem</w:t>
      </w:r>
      <w:proofErr w:type="spellEnd"/>
    </w:p>
    <w:p w14:paraId="17A23244" w14:textId="77777777" w:rsidR="00F12CF1" w:rsidRPr="008F5706" w:rsidRDefault="00F12CF1" w:rsidP="00F12CF1">
      <w:pPr>
        <w:spacing w:after="0" w:line="276" w:lineRule="auto"/>
        <w:jc w:val="both"/>
        <w:rPr>
          <w:szCs w:val="22"/>
        </w:rPr>
      </w:pPr>
      <w:r w:rsidRPr="008F5706">
        <w:rPr>
          <w:szCs w:val="22"/>
        </w:rPr>
        <w:t>IČ:47609109</w:t>
      </w:r>
    </w:p>
    <w:p w14:paraId="446F2016" w14:textId="77777777" w:rsidR="00F12CF1" w:rsidRPr="008F5706" w:rsidRDefault="00F12CF1" w:rsidP="00F12CF1">
      <w:pPr>
        <w:spacing w:after="0" w:line="276" w:lineRule="auto"/>
        <w:jc w:val="both"/>
        <w:rPr>
          <w:szCs w:val="22"/>
        </w:rPr>
      </w:pPr>
      <w:r w:rsidRPr="008F5706">
        <w:rPr>
          <w:szCs w:val="22"/>
        </w:rPr>
        <w:t>DIČ: v oboru své činnosti je MPO osoba nepovinná k DPH</w:t>
      </w:r>
    </w:p>
    <w:p w14:paraId="762ECD79" w14:textId="77777777" w:rsidR="00F12CF1" w:rsidRPr="008F5706" w:rsidRDefault="00F12CF1" w:rsidP="00F12CF1">
      <w:pPr>
        <w:spacing w:after="0" w:line="276" w:lineRule="auto"/>
        <w:jc w:val="both"/>
        <w:rPr>
          <w:szCs w:val="22"/>
        </w:rPr>
      </w:pPr>
      <w:r w:rsidRPr="008F5706">
        <w:rPr>
          <w:szCs w:val="22"/>
        </w:rPr>
        <w:t>Bankovní spojení: Česká národní banka, pobočka Praha</w:t>
      </w:r>
    </w:p>
    <w:p w14:paraId="7C8D80DB" w14:textId="713C82B1" w:rsidR="00F12CF1" w:rsidRPr="008F5706" w:rsidRDefault="00F12CF1" w:rsidP="00F12CF1">
      <w:pPr>
        <w:pStyle w:val="Zkladntext"/>
        <w:spacing w:after="0" w:line="276" w:lineRule="auto"/>
        <w:jc w:val="both"/>
        <w:rPr>
          <w:szCs w:val="22"/>
        </w:rPr>
      </w:pPr>
      <w:proofErr w:type="spellStart"/>
      <w:proofErr w:type="gramStart"/>
      <w:r w:rsidRPr="008F5706">
        <w:rPr>
          <w:szCs w:val="22"/>
        </w:rPr>
        <w:t>č.ú</w:t>
      </w:r>
      <w:proofErr w:type="spellEnd"/>
      <w:r w:rsidRPr="008F5706">
        <w:rPr>
          <w:szCs w:val="22"/>
        </w:rPr>
        <w:t>.:</w:t>
      </w:r>
      <w:proofErr w:type="gramEnd"/>
      <w:r w:rsidRPr="008F5706">
        <w:rPr>
          <w:szCs w:val="22"/>
        </w:rPr>
        <w:t xml:space="preserve"> </w:t>
      </w:r>
      <w:proofErr w:type="spellStart"/>
      <w:r w:rsidR="008D0FAE">
        <w:rPr>
          <w:szCs w:val="22"/>
        </w:rPr>
        <w:t>xxxxxxxxxxx</w:t>
      </w:r>
      <w:proofErr w:type="spellEnd"/>
    </w:p>
    <w:p w14:paraId="5B9552F5" w14:textId="77777777" w:rsidR="00F12CF1" w:rsidRPr="008F5706" w:rsidRDefault="00F12CF1" w:rsidP="00FA3299">
      <w:pPr>
        <w:pStyle w:val="Zkladntext"/>
        <w:spacing w:after="240" w:line="276" w:lineRule="auto"/>
        <w:jc w:val="both"/>
        <w:rPr>
          <w:rFonts w:cs="Tahoma"/>
          <w:szCs w:val="22"/>
        </w:rPr>
      </w:pPr>
      <w:r w:rsidRPr="008F5706">
        <w:rPr>
          <w:szCs w:val="22"/>
        </w:rPr>
        <w:t>(dále jen „Partner“)</w:t>
      </w:r>
    </w:p>
    <w:p w14:paraId="0A9C7585" w14:textId="77777777" w:rsidR="00713948" w:rsidRPr="008F5706" w:rsidRDefault="00F12CF1" w:rsidP="00FA3299">
      <w:pPr>
        <w:spacing w:after="240"/>
        <w:rPr>
          <w:szCs w:val="22"/>
        </w:rPr>
      </w:pPr>
      <w:r w:rsidRPr="008F5706">
        <w:rPr>
          <w:szCs w:val="22"/>
        </w:rPr>
        <w:t>a</w:t>
      </w:r>
    </w:p>
    <w:p w14:paraId="2F55341A" w14:textId="77777777" w:rsidR="00F12CF1" w:rsidRPr="008F5706" w:rsidRDefault="00F12CF1" w:rsidP="0087022B">
      <w:pPr>
        <w:spacing w:after="0"/>
        <w:rPr>
          <w:szCs w:val="22"/>
        </w:rPr>
      </w:pPr>
      <w:r w:rsidRPr="008F5706">
        <w:rPr>
          <w:szCs w:val="22"/>
        </w:rPr>
        <w:t>DTO CZ, s.r.o.</w:t>
      </w:r>
    </w:p>
    <w:p w14:paraId="72BC998A" w14:textId="77777777" w:rsidR="00F12CF1" w:rsidRPr="008F5706" w:rsidRDefault="00F12CF1" w:rsidP="0087022B">
      <w:pPr>
        <w:spacing w:after="0"/>
        <w:rPr>
          <w:szCs w:val="22"/>
        </w:rPr>
      </w:pPr>
      <w:r w:rsidRPr="008F5706">
        <w:rPr>
          <w:szCs w:val="22"/>
        </w:rPr>
        <w:t>Mariánské náměstí 480/5, Mariánské Hory, 709 00 Ostrava</w:t>
      </w:r>
    </w:p>
    <w:p w14:paraId="485B4A01" w14:textId="59616B47" w:rsidR="0087022B" w:rsidRPr="008F5706" w:rsidRDefault="0087022B" w:rsidP="0087022B">
      <w:pPr>
        <w:spacing w:after="0"/>
        <w:rPr>
          <w:szCs w:val="22"/>
        </w:rPr>
      </w:pPr>
      <w:r w:rsidRPr="008F5706">
        <w:rPr>
          <w:szCs w:val="22"/>
        </w:rPr>
        <w:t xml:space="preserve">zastoupené </w:t>
      </w:r>
      <w:r w:rsidR="00564EF1" w:rsidRPr="008F5706">
        <w:rPr>
          <w:szCs w:val="22"/>
        </w:rPr>
        <w:t>Ing.</w:t>
      </w:r>
      <w:r w:rsidRPr="008F5706">
        <w:rPr>
          <w:szCs w:val="22"/>
        </w:rPr>
        <w:t xml:space="preserve"> Alanem </w:t>
      </w:r>
      <w:proofErr w:type="spellStart"/>
      <w:r w:rsidRPr="008F5706">
        <w:rPr>
          <w:szCs w:val="22"/>
        </w:rPr>
        <w:t>Vápeníčkem</w:t>
      </w:r>
      <w:proofErr w:type="spellEnd"/>
      <w:r w:rsidR="00564EF1" w:rsidRPr="008F5706">
        <w:rPr>
          <w:szCs w:val="22"/>
        </w:rPr>
        <w:t>, CSc.</w:t>
      </w:r>
      <w:r w:rsidRPr="008F5706">
        <w:rPr>
          <w:szCs w:val="22"/>
        </w:rPr>
        <w:t xml:space="preserve"> (jednatel)</w:t>
      </w:r>
    </w:p>
    <w:p w14:paraId="7132E067" w14:textId="77777777" w:rsidR="0087022B" w:rsidRPr="008F5706" w:rsidRDefault="0087022B" w:rsidP="0087022B">
      <w:pPr>
        <w:spacing w:after="0"/>
        <w:rPr>
          <w:rStyle w:val="nowrap"/>
          <w:rFonts w:eastAsiaTheme="majorEastAsia"/>
          <w:szCs w:val="22"/>
        </w:rPr>
      </w:pPr>
      <w:r w:rsidRPr="008F5706">
        <w:rPr>
          <w:szCs w:val="22"/>
        </w:rPr>
        <w:t xml:space="preserve">IČ: </w:t>
      </w:r>
      <w:r w:rsidRPr="008F5706">
        <w:rPr>
          <w:rStyle w:val="nowrap"/>
          <w:rFonts w:eastAsiaTheme="majorEastAsia"/>
          <w:szCs w:val="22"/>
        </w:rPr>
        <w:t>47666439</w:t>
      </w:r>
    </w:p>
    <w:p w14:paraId="47D7B9AB" w14:textId="77777777" w:rsidR="0087022B" w:rsidRPr="008F5706" w:rsidRDefault="0087022B" w:rsidP="0087022B">
      <w:pPr>
        <w:spacing w:after="0"/>
        <w:rPr>
          <w:szCs w:val="22"/>
        </w:rPr>
      </w:pPr>
      <w:r w:rsidRPr="008F5706">
        <w:rPr>
          <w:rStyle w:val="nowrap"/>
          <w:rFonts w:eastAsiaTheme="majorEastAsia"/>
          <w:szCs w:val="22"/>
        </w:rPr>
        <w:t>DIČ:</w:t>
      </w:r>
      <w:r w:rsidRPr="008F5706">
        <w:rPr>
          <w:szCs w:val="22"/>
        </w:rPr>
        <w:t xml:space="preserve"> CZ47666439</w:t>
      </w:r>
    </w:p>
    <w:p w14:paraId="39FA9E7A" w14:textId="77777777" w:rsidR="0087022B" w:rsidRPr="008F5706" w:rsidRDefault="0087022B" w:rsidP="0087022B">
      <w:pPr>
        <w:spacing w:after="0"/>
        <w:rPr>
          <w:szCs w:val="22"/>
        </w:rPr>
      </w:pPr>
      <w:r w:rsidRPr="008F5706">
        <w:rPr>
          <w:szCs w:val="22"/>
        </w:rPr>
        <w:t xml:space="preserve">Bankovní spojení: </w:t>
      </w:r>
    </w:p>
    <w:p w14:paraId="5E9E817D" w14:textId="687A2B01" w:rsidR="0087022B" w:rsidRPr="008F5706" w:rsidRDefault="0087022B" w:rsidP="00605759">
      <w:pPr>
        <w:rPr>
          <w:szCs w:val="22"/>
        </w:rPr>
      </w:pPr>
      <w:proofErr w:type="spellStart"/>
      <w:proofErr w:type="gramStart"/>
      <w:r w:rsidRPr="008F5706">
        <w:rPr>
          <w:szCs w:val="22"/>
        </w:rPr>
        <w:t>č.ú</w:t>
      </w:r>
      <w:proofErr w:type="spellEnd"/>
      <w:r w:rsidRPr="008F5706">
        <w:rPr>
          <w:szCs w:val="22"/>
        </w:rPr>
        <w:t>.</w:t>
      </w:r>
      <w:proofErr w:type="gramEnd"/>
      <w:r w:rsidRPr="008F5706">
        <w:rPr>
          <w:szCs w:val="22"/>
        </w:rPr>
        <w:t>:</w:t>
      </w:r>
      <w:r w:rsidR="008F5706" w:rsidRPr="008F5706">
        <w:rPr>
          <w:szCs w:val="22"/>
          <w:lang w:val="en"/>
        </w:rPr>
        <w:t xml:space="preserve"> </w:t>
      </w:r>
      <w:r w:rsidR="008D0FAE">
        <w:rPr>
          <w:szCs w:val="22"/>
          <w:lang w:val="en"/>
        </w:rPr>
        <w:t>xxxxxxxxxx</w:t>
      </w:r>
      <w:bookmarkStart w:id="0" w:name="_GoBack"/>
      <w:bookmarkEnd w:id="0"/>
    </w:p>
    <w:p w14:paraId="01DA8A15" w14:textId="77777777" w:rsidR="0087022B" w:rsidRPr="008F5706" w:rsidRDefault="0087022B" w:rsidP="00605759">
      <w:pPr>
        <w:rPr>
          <w:szCs w:val="22"/>
        </w:rPr>
      </w:pPr>
      <w:r w:rsidRPr="008F5706">
        <w:rPr>
          <w:szCs w:val="22"/>
        </w:rPr>
        <w:t>(dále jen „Dodavatel“)</w:t>
      </w:r>
    </w:p>
    <w:p w14:paraId="37EFE9CC" w14:textId="1B3FAEAD" w:rsidR="0087022B" w:rsidRPr="008F5706" w:rsidRDefault="0087022B" w:rsidP="00605759">
      <w:pPr>
        <w:rPr>
          <w:rFonts w:cs="Tahoma"/>
          <w:szCs w:val="22"/>
        </w:rPr>
      </w:pPr>
      <w:r w:rsidRPr="008F5706">
        <w:rPr>
          <w:szCs w:val="22"/>
        </w:rPr>
        <w:t xml:space="preserve">smlouvu o spolupráci při organizaci mezinárodní konference </w:t>
      </w:r>
      <w:r w:rsidRPr="008F5706">
        <w:rPr>
          <w:rFonts w:cs="Tahoma"/>
          <w:szCs w:val="22"/>
        </w:rPr>
        <w:t>KVALITA – QUALITY 2017</w:t>
      </w:r>
      <w:r w:rsidR="001055AD" w:rsidRPr="008F5706">
        <w:rPr>
          <w:rFonts w:cs="Tahoma"/>
          <w:szCs w:val="22"/>
        </w:rPr>
        <w:t xml:space="preserve"> konané ve </w:t>
      </w:r>
      <w:proofErr w:type="gramStart"/>
      <w:r w:rsidR="001055AD" w:rsidRPr="008F5706">
        <w:rPr>
          <w:rFonts w:cs="Tahoma"/>
          <w:szCs w:val="22"/>
        </w:rPr>
        <w:t>dnech    16</w:t>
      </w:r>
      <w:proofErr w:type="gramEnd"/>
      <w:r w:rsidR="001055AD" w:rsidRPr="008F5706">
        <w:rPr>
          <w:rFonts w:cs="Tahoma"/>
          <w:szCs w:val="22"/>
        </w:rPr>
        <w:t>. – 17. 5. 2017 v Ostravě.</w:t>
      </w:r>
    </w:p>
    <w:p w14:paraId="09E90A5C" w14:textId="77777777" w:rsidR="0087022B" w:rsidRDefault="0087022B" w:rsidP="0087022B">
      <w:pPr>
        <w:pStyle w:val="Zkladntext"/>
        <w:spacing w:line="276" w:lineRule="auto"/>
        <w:ind w:left="3540" w:firstLine="708"/>
        <w:jc w:val="both"/>
        <w:rPr>
          <w:rFonts w:cs="Tahoma"/>
          <w:b/>
          <w:szCs w:val="22"/>
        </w:rPr>
      </w:pPr>
      <w:r w:rsidRPr="008F5706">
        <w:rPr>
          <w:rFonts w:cs="Tahoma"/>
          <w:b/>
          <w:szCs w:val="22"/>
        </w:rPr>
        <w:t>Čl. I.</w:t>
      </w:r>
    </w:p>
    <w:p w14:paraId="400BF9BC" w14:textId="267867F5" w:rsidR="00396FE1" w:rsidRPr="008F5706" w:rsidRDefault="00396FE1" w:rsidP="0087022B">
      <w:pPr>
        <w:pStyle w:val="Zkladntext"/>
        <w:spacing w:line="276" w:lineRule="auto"/>
        <w:ind w:left="3540" w:firstLine="708"/>
        <w:jc w:val="both"/>
        <w:rPr>
          <w:rFonts w:cs="Tahoma"/>
          <w:b/>
          <w:szCs w:val="22"/>
        </w:rPr>
      </w:pPr>
      <w:r>
        <w:rPr>
          <w:rFonts w:cs="Tahoma"/>
          <w:b/>
          <w:szCs w:val="22"/>
        </w:rPr>
        <w:t>Preambule</w:t>
      </w:r>
    </w:p>
    <w:p w14:paraId="4C3F2E55" w14:textId="1C390E1A" w:rsidR="0087022B" w:rsidRPr="008F5706" w:rsidRDefault="0087022B" w:rsidP="00396FE1">
      <w:pPr>
        <w:pStyle w:val="Zkladntext"/>
        <w:spacing w:after="120" w:line="276" w:lineRule="auto"/>
        <w:rPr>
          <w:rFonts w:cs="Tahoma"/>
          <w:szCs w:val="22"/>
        </w:rPr>
      </w:pPr>
      <w:r w:rsidRPr="008F5706">
        <w:rPr>
          <w:szCs w:val="22"/>
        </w:rPr>
        <w:t xml:space="preserve">Mezinárodní konference </w:t>
      </w:r>
      <w:r w:rsidRPr="008F5706">
        <w:rPr>
          <w:rFonts w:cs="Tahoma"/>
          <w:szCs w:val="22"/>
        </w:rPr>
        <w:t>KVALITA – QUALITY 2017</w:t>
      </w:r>
      <w:r w:rsidR="001055AD" w:rsidRPr="008F5706">
        <w:rPr>
          <w:rFonts w:cs="Tahoma"/>
          <w:szCs w:val="22"/>
        </w:rPr>
        <w:t xml:space="preserve"> konaná ve dnech 16. – 17. 5. 2017 V </w:t>
      </w:r>
      <w:proofErr w:type="gramStart"/>
      <w:r w:rsidR="001055AD" w:rsidRPr="008F5706">
        <w:rPr>
          <w:rFonts w:cs="Tahoma"/>
          <w:szCs w:val="22"/>
        </w:rPr>
        <w:t xml:space="preserve">Ostravě </w:t>
      </w:r>
      <w:r w:rsidRPr="008F5706">
        <w:rPr>
          <w:rFonts w:cs="Tahoma"/>
          <w:szCs w:val="22"/>
        </w:rPr>
        <w:t xml:space="preserve"> (dále</w:t>
      </w:r>
      <w:proofErr w:type="gramEnd"/>
      <w:r w:rsidRPr="008F5706">
        <w:rPr>
          <w:rFonts w:cs="Tahoma"/>
          <w:szCs w:val="22"/>
        </w:rPr>
        <w:t xml:space="preserve"> jen „Mezinárodní konference“) je setkáním odborníků </w:t>
      </w:r>
      <w:r w:rsidR="008F5706" w:rsidRPr="008F5706">
        <w:rPr>
          <w:rFonts w:cs="Tahoma"/>
          <w:szCs w:val="22"/>
        </w:rPr>
        <w:t>z oblasti kvality. Mezi témata M</w:t>
      </w:r>
      <w:r w:rsidRPr="008F5706">
        <w:rPr>
          <w:rFonts w:cs="Tahoma"/>
          <w:szCs w:val="22"/>
        </w:rPr>
        <w:t>ezinárodní konference v letošním roce patří</w:t>
      </w:r>
      <w:r w:rsidR="00DF14DD" w:rsidRPr="008F5706">
        <w:rPr>
          <w:rFonts w:cs="Tahoma"/>
          <w:szCs w:val="22"/>
        </w:rPr>
        <w:t xml:space="preserve"> zejména Průmysl 4.0 a systémy řízení, zkušenosti a trendy z oblasti CSR,</w:t>
      </w:r>
      <w:r w:rsidRPr="008F5706">
        <w:rPr>
          <w:rFonts w:cs="Tahoma"/>
          <w:szCs w:val="22"/>
        </w:rPr>
        <w:t xml:space="preserve"> </w:t>
      </w:r>
      <w:r w:rsidR="00DF14DD" w:rsidRPr="008F5706">
        <w:rPr>
          <w:rFonts w:cs="Tahoma"/>
          <w:szCs w:val="22"/>
        </w:rPr>
        <w:t>nejnovější otázky z problematiky aplikace systémů managementu kvality do každodenní praxe.</w:t>
      </w:r>
    </w:p>
    <w:p w14:paraId="2EE15496" w14:textId="75523ED2" w:rsidR="00DF14DD" w:rsidRPr="008F5706" w:rsidRDefault="00C4049D" w:rsidP="00396FE1">
      <w:pPr>
        <w:pStyle w:val="Zkladntext"/>
        <w:spacing w:after="120" w:line="276" w:lineRule="auto"/>
        <w:rPr>
          <w:rFonts w:cs="Tahoma"/>
          <w:szCs w:val="22"/>
        </w:rPr>
      </w:pPr>
      <w:r w:rsidRPr="008F5706">
        <w:rPr>
          <w:szCs w:val="22"/>
        </w:rPr>
        <w:t xml:space="preserve">Společensky odpovědné chování organizací lze označit jako aktivity jdoucí nejen nad rámec zákonných, ale i etických, komerčních a společenských očekávání. Důležitou součástí CSR je také snaha organizace minimalizovat negativní dopady její činnosti na životní prostředí. </w:t>
      </w:r>
      <w:r w:rsidR="00DF14DD" w:rsidRPr="008F5706">
        <w:rPr>
          <w:rFonts w:cs="Tahoma"/>
          <w:szCs w:val="22"/>
        </w:rPr>
        <w:t>Ministerstvo průmyslu a obcho</w:t>
      </w:r>
      <w:r w:rsidRPr="008F5706">
        <w:rPr>
          <w:rFonts w:cs="Tahoma"/>
          <w:szCs w:val="22"/>
        </w:rPr>
        <w:t>du je od ro</w:t>
      </w:r>
      <w:r w:rsidR="001055AD" w:rsidRPr="008F5706">
        <w:rPr>
          <w:rFonts w:cs="Tahoma"/>
          <w:szCs w:val="22"/>
        </w:rPr>
        <w:t>ku 2013 gestorem CSR a zároveň v</w:t>
      </w:r>
      <w:r w:rsidRPr="008F5706">
        <w:rPr>
          <w:rFonts w:cs="Tahoma"/>
          <w:szCs w:val="22"/>
        </w:rPr>
        <w:t xml:space="preserve">e spolupráci s Radou kvality, kterou řídí, zaštiťuje tuto problematiku na národní úrovni. </w:t>
      </w:r>
    </w:p>
    <w:p w14:paraId="1576D2F0" w14:textId="77777777" w:rsidR="00C4049D" w:rsidRPr="008F5706" w:rsidRDefault="00C4049D" w:rsidP="00396FE1">
      <w:pPr>
        <w:pStyle w:val="Zkladntext"/>
        <w:spacing w:after="120" w:line="276" w:lineRule="auto"/>
        <w:rPr>
          <w:rFonts w:cs="Arial"/>
          <w:szCs w:val="22"/>
        </w:rPr>
      </w:pPr>
      <w:r w:rsidRPr="008F5706">
        <w:rPr>
          <w:rFonts w:cs="Tahoma"/>
          <w:szCs w:val="22"/>
        </w:rPr>
        <w:t xml:space="preserve">Česká republika se, stejně jako řada jiných vyspělých zemí zabývá </w:t>
      </w:r>
      <w:r w:rsidRPr="008F5706">
        <w:rPr>
          <w:rFonts w:cs="Arial"/>
          <w:szCs w:val="22"/>
        </w:rPr>
        <w:t>nástupem čtvrté průmyslové revoluce, která zásadním způsobem mění povahu průmyslu, energetiky, obchodu, logistiky a dalších částí hospodářství i celé společnosti</w:t>
      </w:r>
      <w:r w:rsidRPr="008F5706">
        <w:rPr>
          <w:rFonts w:cs="Tahoma"/>
          <w:szCs w:val="22"/>
        </w:rPr>
        <w:t xml:space="preserve">. </w:t>
      </w:r>
      <w:r w:rsidR="00760F5F" w:rsidRPr="008F5706">
        <w:rPr>
          <w:rFonts w:cs="Tahoma"/>
          <w:szCs w:val="22"/>
        </w:rPr>
        <w:t>Ministerstvo</w:t>
      </w:r>
      <w:r w:rsidRPr="008F5706">
        <w:rPr>
          <w:rFonts w:cs="Tahoma"/>
          <w:szCs w:val="22"/>
        </w:rPr>
        <w:t xml:space="preserve"> průmyslu a obchodu </w:t>
      </w:r>
      <w:r w:rsidR="00760F5F" w:rsidRPr="008F5706">
        <w:rPr>
          <w:rFonts w:cs="Tahoma"/>
          <w:szCs w:val="22"/>
        </w:rPr>
        <w:t xml:space="preserve">vypracovalo Iniciativu </w:t>
      </w:r>
      <w:r w:rsidRPr="008F5706">
        <w:rPr>
          <w:rFonts w:cs="Tahoma"/>
          <w:szCs w:val="22"/>
        </w:rPr>
        <w:t xml:space="preserve">Průmysl 4.0 </w:t>
      </w:r>
      <w:r w:rsidR="00760F5F" w:rsidRPr="008F5706">
        <w:rPr>
          <w:rFonts w:cs="Arial"/>
          <w:szCs w:val="22"/>
        </w:rPr>
        <w:t xml:space="preserve">Hlavní myšlenkou Iniciativy Průmysl 4.0 je podchytit impulsy, které našemu průmyslu přináší tato zcela nová </w:t>
      </w:r>
      <w:r w:rsidR="00760F5F" w:rsidRPr="008F5706">
        <w:rPr>
          <w:rFonts w:cs="Arial"/>
          <w:szCs w:val="22"/>
        </w:rPr>
        <w:lastRenderedPageBreak/>
        <w:t xml:space="preserve">filosofie systémového využívání, integrace a propojování nejrůznějších technologií při uvažování jejich trvalého, velice rychlého rozvoje, a připravit pro průmyslovou výrobní i nevýrobní sféru podmínky k realizaci nové (tzv. čtvrté) průmyslové revoluce v ČR. Dlouhodobým cílem této iniciativy je udržet a posílit konkurenceschopnost ČR v době masového nástupu uvedené filosofie ve světě. Tato iniciativa byla schválená vládou. </w:t>
      </w:r>
    </w:p>
    <w:p w14:paraId="0A870FDE" w14:textId="51C7E4D4" w:rsidR="00760F5F" w:rsidRPr="008F5706" w:rsidRDefault="00760F5F" w:rsidP="00396FE1">
      <w:pPr>
        <w:pStyle w:val="Zkladntext"/>
        <w:spacing w:after="120" w:line="276" w:lineRule="auto"/>
        <w:rPr>
          <w:rFonts w:eastAsiaTheme="majorEastAsia"/>
          <w:szCs w:val="22"/>
        </w:rPr>
      </w:pPr>
      <w:r w:rsidRPr="008F5706">
        <w:rPr>
          <w:rFonts w:eastAsiaTheme="majorEastAsia"/>
          <w:szCs w:val="22"/>
        </w:rPr>
        <w:t xml:space="preserve">Mezinárodní konference je platformou, kde jsou diskutovány otázky tzv. čtvrté průmyslové revoluce společně se společenskou odpovědností. </w:t>
      </w:r>
      <w:r w:rsidR="00903DCE">
        <w:rPr>
          <w:rFonts w:eastAsiaTheme="majorEastAsia"/>
          <w:szCs w:val="22"/>
        </w:rPr>
        <w:t>Součástí Mezinárodní konference je také slavnostní vyhlášení vítězů Ceny Hejtmana Moravskoslezského kraje za společenskou odpovědnost. Cenu hejtmana za společenskou odpovědnost realizuje</w:t>
      </w:r>
      <w:r w:rsidR="007C4AA9">
        <w:rPr>
          <w:rFonts w:eastAsiaTheme="majorEastAsia"/>
          <w:szCs w:val="22"/>
        </w:rPr>
        <w:t xml:space="preserve"> Moravskoslezský kraj ve spolupráci s</w:t>
      </w:r>
      <w:r w:rsidR="00903DCE">
        <w:rPr>
          <w:rFonts w:eastAsiaTheme="majorEastAsia"/>
          <w:szCs w:val="22"/>
        </w:rPr>
        <w:t xml:space="preserve"> </w:t>
      </w:r>
      <w:r w:rsidR="007C4AA9">
        <w:rPr>
          <w:rFonts w:eastAsiaTheme="majorEastAsia"/>
          <w:szCs w:val="22"/>
        </w:rPr>
        <w:t>Radou</w:t>
      </w:r>
      <w:r w:rsidR="00F90620">
        <w:rPr>
          <w:rFonts w:eastAsiaTheme="majorEastAsia"/>
          <w:szCs w:val="22"/>
        </w:rPr>
        <w:t xml:space="preserve"> kvality ČR, kterou Partner koordinuje.</w:t>
      </w:r>
    </w:p>
    <w:p w14:paraId="7A78607B" w14:textId="7CA28236" w:rsidR="00760F5F" w:rsidRPr="008F5706" w:rsidRDefault="00760F5F" w:rsidP="00396FE1">
      <w:pPr>
        <w:pStyle w:val="Zkladntext"/>
        <w:spacing w:after="120" w:line="276" w:lineRule="auto"/>
        <w:rPr>
          <w:rFonts w:cs="Tahoma"/>
          <w:szCs w:val="22"/>
        </w:rPr>
      </w:pPr>
      <w:r w:rsidRPr="008F5706">
        <w:rPr>
          <w:rFonts w:cs="Tahoma"/>
          <w:szCs w:val="22"/>
        </w:rPr>
        <w:t>S ohledem na výše u</w:t>
      </w:r>
      <w:r w:rsidR="00F90620">
        <w:rPr>
          <w:rFonts w:cs="Tahoma"/>
          <w:szCs w:val="22"/>
        </w:rPr>
        <w:t>vedené se Dodavatel a P</w:t>
      </w:r>
      <w:r w:rsidRPr="008F5706">
        <w:rPr>
          <w:rFonts w:cs="Tahoma"/>
          <w:szCs w:val="22"/>
        </w:rPr>
        <w:t>artner dohodli na uzavření této smlouvy o spolupráci</w:t>
      </w:r>
      <w:r w:rsidRPr="008F5706">
        <w:rPr>
          <w:szCs w:val="22"/>
        </w:rPr>
        <w:t xml:space="preserve"> při organizaci Mezinárodní konference (dále jen „Smlouva“). Jejím předmětem je </w:t>
      </w:r>
      <w:r w:rsidRPr="008F5706">
        <w:rPr>
          <w:rFonts w:cs="Tahoma"/>
          <w:szCs w:val="22"/>
        </w:rPr>
        <w:t xml:space="preserve">úprava a vymezení vzájemných práv a povinností smluvních stran při zajištění spoluúčasti Ministerstva průmyslu a obchodu a Rady kvality České republiky na organizování Mezinárodní konference, která se uskuteční </w:t>
      </w:r>
      <w:r w:rsidR="001055AD" w:rsidRPr="008F5706">
        <w:rPr>
          <w:rFonts w:cs="Tahoma"/>
          <w:szCs w:val="22"/>
        </w:rPr>
        <w:t xml:space="preserve">ve </w:t>
      </w:r>
      <w:r w:rsidRPr="008F5706">
        <w:rPr>
          <w:rFonts w:cs="Tahoma"/>
          <w:szCs w:val="22"/>
        </w:rPr>
        <w:t>dne</w:t>
      </w:r>
      <w:r w:rsidR="001055AD" w:rsidRPr="008F5706">
        <w:rPr>
          <w:rFonts w:cs="Tahoma"/>
          <w:szCs w:val="22"/>
        </w:rPr>
        <w:t>ch</w:t>
      </w:r>
      <w:r w:rsidRPr="008F5706">
        <w:rPr>
          <w:rFonts w:cs="Tahoma"/>
          <w:szCs w:val="22"/>
        </w:rPr>
        <w:t xml:space="preserve"> 16. – 17. května 2017 v Ostravě.</w:t>
      </w:r>
    </w:p>
    <w:p w14:paraId="771A4EA8" w14:textId="08FEA1CF" w:rsidR="00760F5F" w:rsidRPr="008F5706" w:rsidRDefault="006C62E1" w:rsidP="0087022B">
      <w:pPr>
        <w:pStyle w:val="Zkladntext"/>
        <w:spacing w:line="276" w:lineRule="auto"/>
        <w:rPr>
          <w:szCs w:val="22"/>
        </w:rPr>
      </w:pPr>
      <w:r w:rsidRPr="008F5706">
        <w:rPr>
          <w:szCs w:val="22"/>
        </w:rPr>
        <w:t>Dodavatel s uzavřením této Smlouvy vyjadřuje svůj souhlas. Smluvní strany se</w:t>
      </w:r>
      <w:r w:rsidR="008F5706" w:rsidRPr="008F5706">
        <w:rPr>
          <w:szCs w:val="22"/>
        </w:rPr>
        <w:t xml:space="preserve"> dohodly, že Partnerovi z této S</w:t>
      </w:r>
      <w:r w:rsidRPr="008F5706">
        <w:rPr>
          <w:szCs w:val="22"/>
        </w:rPr>
        <w:t xml:space="preserve">mlouvy ani z jejích dodatků nevzniknou jiné závazky, než je </w:t>
      </w:r>
      <w:r w:rsidR="001055AD" w:rsidRPr="008F5706">
        <w:rPr>
          <w:szCs w:val="22"/>
        </w:rPr>
        <w:t>úhrada závazků uvedených v čl. II. odst. 3 této Smlouvy.</w:t>
      </w:r>
    </w:p>
    <w:p w14:paraId="47488C86" w14:textId="77777777" w:rsidR="006C62E1" w:rsidRPr="008F5706" w:rsidRDefault="006C62E1" w:rsidP="006C62E1">
      <w:pPr>
        <w:pStyle w:val="Zkladntext"/>
        <w:spacing w:line="276" w:lineRule="auto"/>
        <w:jc w:val="center"/>
        <w:rPr>
          <w:rFonts w:cs="Tahoma"/>
          <w:b/>
          <w:szCs w:val="22"/>
        </w:rPr>
      </w:pPr>
      <w:r w:rsidRPr="008F5706">
        <w:rPr>
          <w:rFonts w:cs="Tahoma"/>
          <w:b/>
          <w:szCs w:val="22"/>
        </w:rPr>
        <w:t>Čl. II.</w:t>
      </w:r>
    </w:p>
    <w:p w14:paraId="4543D682" w14:textId="77777777" w:rsidR="006C62E1" w:rsidRPr="008F5706" w:rsidRDefault="006C62E1" w:rsidP="006C62E1">
      <w:pPr>
        <w:pStyle w:val="Zkladntext"/>
        <w:spacing w:line="276" w:lineRule="auto"/>
        <w:jc w:val="center"/>
        <w:rPr>
          <w:rFonts w:cs="Tahoma"/>
          <w:b/>
          <w:szCs w:val="22"/>
        </w:rPr>
      </w:pPr>
      <w:r w:rsidRPr="008F5706">
        <w:rPr>
          <w:rFonts w:cs="Tahoma"/>
          <w:b/>
          <w:szCs w:val="22"/>
        </w:rPr>
        <w:t>Závazky smluvních stran</w:t>
      </w:r>
    </w:p>
    <w:p w14:paraId="56890D4C" w14:textId="66F4357B" w:rsidR="006C62E1" w:rsidRPr="008F5706" w:rsidRDefault="006C62E1" w:rsidP="00396FE1">
      <w:pPr>
        <w:pStyle w:val="Zkladntext"/>
        <w:numPr>
          <w:ilvl w:val="0"/>
          <w:numId w:val="37"/>
        </w:numPr>
        <w:tabs>
          <w:tab w:val="left" w:pos="284"/>
        </w:tabs>
        <w:spacing w:after="120" w:line="276" w:lineRule="auto"/>
        <w:ind w:left="0" w:firstLine="0"/>
        <w:rPr>
          <w:rFonts w:eastAsiaTheme="majorEastAsia"/>
          <w:b/>
          <w:szCs w:val="22"/>
        </w:rPr>
      </w:pPr>
      <w:r w:rsidRPr="008F5706">
        <w:rPr>
          <w:rFonts w:cs="Tahoma"/>
          <w:szCs w:val="22"/>
        </w:rPr>
        <w:t>Dodavatel se zavazuje propagovat Partnera</w:t>
      </w:r>
      <w:r w:rsidR="007C4AA9">
        <w:rPr>
          <w:rFonts w:cs="Tahoma"/>
          <w:szCs w:val="22"/>
        </w:rPr>
        <w:t>,</w:t>
      </w:r>
      <w:r w:rsidRPr="008F5706">
        <w:rPr>
          <w:rFonts w:cs="Tahoma"/>
          <w:szCs w:val="22"/>
        </w:rPr>
        <w:t xml:space="preserve"> Radu kvality České republiky a oblast kvality na Mezinárodní konferenci, a to tak, že na webových stránkách</w:t>
      </w:r>
      <w:r w:rsidR="00A2135D" w:rsidRPr="008F5706">
        <w:rPr>
          <w:rFonts w:cs="Tahoma"/>
          <w:szCs w:val="22"/>
        </w:rPr>
        <w:t xml:space="preserve"> a na pozvánce M</w:t>
      </w:r>
      <w:r w:rsidRPr="008F5706">
        <w:rPr>
          <w:rFonts w:cs="Tahoma"/>
          <w:szCs w:val="22"/>
        </w:rPr>
        <w:t>ezinárodní konference uvede logo Národní</w:t>
      </w:r>
      <w:r w:rsidR="00F90620">
        <w:rPr>
          <w:rFonts w:cs="Tahoma"/>
          <w:szCs w:val="22"/>
        </w:rPr>
        <w:t xml:space="preserve"> politiky kvality mezi p</w:t>
      </w:r>
      <w:r w:rsidR="00A2135D" w:rsidRPr="008F5706">
        <w:rPr>
          <w:rFonts w:cs="Tahoma"/>
          <w:szCs w:val="22"/>
        </w:rPr>
        <w:t>artnery.</w:t>
      </w:r>
      <w:r w:rsidR="007F49F4" w:rsidRPr="008F5706">
        <w:rPr>
          <w:rFonts w:cs="Tahoma"/>
          <w:szCs w:val="22"/>
        </w:rPr>
        <w:t xml:space="preserve"> Dále se dodavatel zavazuje umístit logo Národní politiky kvality v prostorách konání </w:t>
      </w:r>
      <w:r w:rsidR="008F5706" w:rsidRPr="008F5706">
        <w:rPr>
          <w:rFonts w:cs="Tahoma"/>
          <w:szCs w:val="22"/>
        </w:rPr>
        <w:t>M</w:t>
      </w:r>
      <w:r w:rsidR="00E82A8C" w:rsidRPr="008F5706">
        <w:rPr>
          <w:rFonts w:cs="Tahoma"/>
          <w:szCs w:val="22"/>
        </w:rPr>
        <w:t>ezinárodní konference</w:t>
      </w:r>
      <w:r w:rsidR="001055AD" w:rsidRPr="008F5706">
        <w:rPr>
          <w:rFonts w:cs="Tahoma"/>
          <w:szCs w:val="22"/>
        </w:rPr>
        <w:t xml:space="preserve"> a v prostorách určených pro konání slavnostního večera</w:t>
      </w:r>
      <w:r w:rsidR="007F49F4" w:rsidRPr="008F5706">
        <w:rPr>
          <w:rFonts w:cs="Tahoma"/>
          <w:szCs w:val="22"/>
        </w:rPr>
        <w:t xml:space="preserve">. </w:t>
      </w:r>
    </w:p>
    <w:p w14:paraId="62CFEECE" w14:textId="760EAF80" w:rsidR="00A2135D" w:rsidRPr="008F5706" w:rsidRDefault="00A2135D" w:rsidP="008F5706">
      <w:pPr>
        <w:pStyle w:val="Zkladntext"/>
        <w:numPr>
          <w:ilvl w:val="0"/>
          <w:numId w:val="37"/>
        </w:numPr>
        <w:tabs>
          <w:tab w:val="left" w:pos="284"/>
        </w:tabs>
        <w:spacing w:line="276" w:lineRule="auto"/>
        <w:ind w:left="0" w:firstLine="0"/>
        <w:rPr>
          <w:rFonts w:eastAsiaTheme="majorEastAsia"/>
          <w:b/>
          <w:szCs w:val="22"/>
        </w:rPr>
      </w:pPr>
      <w:r w:rsidRPr="008F5706">
        <w:rPr>
          <w:rFonts w:cs="Tahoma"/>
          <w:szCs w:val="22"/>
        </w:rPr>
        <w:t xml:space="preserve">Dodavatel se dále zavazuje </w:t>
      </w:r>
    </w:p>
    <w:p w14:paraId="5E0938A4" w14:textId="551F36E1" w:rsidR="00A2135D" w:rsidRPr="008F5706" w:rsidRDefault="00AE13EF" w:rsidP="008F5706">
      <w:pPr>
        <w:pStyle w:val="Zkladntext"/>
        <w:numPr>
          <w:ilvl w:val="0"/>
          <w:numId w:val="38"/>
        </w:numPr>
        <w:spacing w:line="276" w:lineRule="auto"/>
        <w:ind w:left="284" w:hanging="284"/>
        <w:rPr>
          <w:rFonts w:eastAsiaTheme="majorEastAsia"/>
          <w:b/>
          <w:szCs w:val="22"/>
        </w:rPr>
      </w:pPr>
      <w:r w:rsidRPr="008F5706">
        <w:rPr>
          <w:rFonts w:cs="Tahoma"/>
          <w:szCs w:val="22"/>
        </w:rPr>
        <w:t xml:space="preserve">zabezpečit </w:t>
      </w:r>
      <w:r w:rsidR="00A2135D" w:rsidRPr="008F5706">
        <w:rPr>
          <w:rFonts w:cs="Tahoma"/>
          <w:szCs w:val="22"/>
        </w:rPr>
        <w:t>pro Partnera deset bezplatných vstupů na Mezinárodní konferenci,</w:t>
      </w:r>
    </w:p>
    <w:p w14:paraId="382B9242" w14:textId="7495D25F" w:rsidR="007F49F4" w:rsidRPr="008F5706" w:rsidRDefault="00AE13EF" w:rsidP="008F5706">
      <w:pPr>
        <w:pStyle w:val="Zkladntext"/>
        <w:numPr>
          <w:ilvl w:val="0"/>
          <w:numId w:val="38"/>
        </w:numPr>
        <w:spacing w:line="276" w:lineRule="auto"/>
        <w:ind w:left="284" w:hanging="284"/>
        <w:rPr>
          <w:rFonts w:eastAsiaTheme="majorEastAsia"/>
          <w:b/>
          <w:szCs w:val="22"/>
        </w:rPr>
      </w:pPr>
      <w:r w:rsidRPr="008F5706">
        <w:rPr>
          <w:rFonts w:cs="Tahoma"/>
          <w:szCs w:val="22"/>
        </w:rPr>
        <w:t xml:space="preserve">zabezpečit </w:t>
      </w:r>
      <w:r w:rsidR="007F49F4" w:rsidRPr="008F5706">
        <w:rPr>
          <w:rFonts w:cs="Tahoma"/>
          <w:szCs w:val="22"/>
        </w:rPr>
        <w:t>vysto</w:t>
      </w:r>
      <w:r w:rsidR="008F5706" w:rsidRPr="008F5706">
        <w:rPr>
          <w:rFonts w:cs="Tahoma"/>
          <w:szCs w:val="22"/>
        </w:rPr>
        <w:t>upení zástupce Rady kvality na M</w:t>
      </w:r>
      <w:r w:rsidR="007F49F4" w:rsidRPr="008F5706">
        <w:rPr>
          <w:rFonts w:cs="Tahoma"/>
          <w:szCs w:val="22"/>
        </w:rPr>
        <w:t>ezinárodní konferenci,</w:t>
      </w:r>
    </w:p>
    <w:p w14:paraId="4C946593" w14:textId="42E84DC4" w:rsidR="001847F8" w:rsidRPr="008F5706" w:rsidRDefault="001847F8" w:rsidP="008F5706">
      <w:pPr>
        <w:pStyle w:val="Zkladntext"/>
        <w:numPr>
          <w:ilvl w:val="0"/>
          <w:numId w:val="38"/>
        </w:numPr>
        <w:spacing w:line="276" w:lineRule="auto"/>
        <w:ind w:left="284" w:hanging="284"/>
        <w:rPr>
          <w:rFonts w:eastAsiaTheme="majorEastAsia"/>
          <w:b/>
          <w:szCs w:val="22"/>
        </w:rPr>
      </w:pPr>
      <w:r w:rsidRPr="008F5706">
        <w:rPr>
          <w:rFonts w:eastAsiaTheme="majorEastAsia"/>
          <w:szCs w:val="22"/>
        </w:rPr>
        <w:t xml:space="preserve">předložit Partnerovi </w:t>
      </w:r>
      <w:r w:rsidR="008F5706" w:rsidRPr="008F5706">
        <w:rPr>
          <w:rFonts w:eastAsiaTheme="majorEastAsia"/>
          <w:szCs w:val="22"/>
        </w:rPr>
        <w:t>kopie smluv</w:t>
      </w:r>
      <w:r w:rsidR="002F0A67" w:rsidRPr="008F5706">
        <w:rPr>
          <w:rFonts w:eastAsiaTheme="majorEastAsia"/>
          <w:szCs w:val="22"/>
        </w:rPr>
        <w:t xml:space="preserve">, </w:t>
      </w:r>
      <w:r w:rsidRPr="008F5706">
        <w:rPr>
          <w:rFonts w:eastAsiaTheme="majorEastAsia"/>
          <w:szCs w:val="22"/>
        </w:rPr>
        <w:t>jimiž byly realizov</w:t>
      </w:r>
      <w:r w:rsidR="002F0A67" w:rsidRPr="008F5706">
        <w:rPr>
          <w:rFonts w:eastAsiaTheme="majorEastAsia"/>
          <w:szCs w:val="22"/>
        </w:rPr>
        <w:t>ány závazky podle čl. II odst. 3 písm. a</w:t>
      </w:r>
      <w:r w:rsidR="00AE13EF" w:rsidRPr="008F5706">
        <w:rPr>
          <w:rFonts w:eastAsiaTheme="majorEastAsia"/>
          <w:szCs w:val="22"/>
        </w:rPr>
        <w:t>) až f) této Smlouvy, v případě využití externích služeb,</w:t>
      </w:r>
    </w:p>
    <w:p w14:paraId="141E4C24" w14:textId="5C3AC26C" w:rsidR="00AE13EF" w:rsidRPr="008F5706" w:rsidRDefault="00F90620" w:rsidP="008F5706">
      <w:pPr>
        <w:pStyle w:val="Zkladntext"/>
        <w:numPr>
          <w:ilvl w:val="0"/>
          <w:numId w:val="38"/>
        </w:numPr>
        <w:spacing w:line="276" w:lineRule="auto"/>
        <w:ind w:left="284" w:hanging="284"/>
        <w:rPr>
          <w:rFonts w:eastAsiaTheme="majorEastAsia"/>
          <w:b/>
          <w:szCs w:val="22"/>
        </w:rPr>
      </w:pPr>
      <w:r>
        <w:rPr>
          <w:rFonts w:eastAsiaTheme="majorEastAsia"/>
          <w:szCs w:val="22"/>
        </w:rPr>
        <w:t>předat P</w:t>
      </w:r>
      <w:r w:rsidR="00AE13EF" w:rsidRPr="008F5706">
        <w:rPr>
          <w:rFonts w:eastAsiaTheme="majorEastAsia"/>
          <w:szCs w:val="22"/>
        </w:rPr>
        <w:t>artnerovi sborník na elektronickém nosiči dat.</w:t>
      </w:r>
    </w:p>
    <w:p w14:paraId="2D3F3194" w14:textId="548AE5E8" w:rsidR="0047132E" w:rsidRPr="008F5706" w:rsidRDefault="001847F8" w:rsidP="008F5706">
      <w:pPr>
        <w:pStyle w:val="Zkladntext"/>
        <w:numPr>
          <w:ilvl w:val="0"/>
          <w:numId w:val="37"/>
        </w:numPr>
        <w:tabs>
          <w:tab w:val="left" w:pos="284"/>
        </w:tabs>
        <w:spacing w:line="276" w:lineRule="auto"/>
        <w:ind w:left="0" w:firstLine="0"/>
        <w:rPr>
          <w:rFonts w:eastAsiaTheme="majorEastAsia"/>
          <w:szCs w:val="22"/>
        </w:rPr>
      </w:pPr>
      <w:r w:rsidRPr="008F5706">
        <w:rPr>
          <w:rFonts w:eastAsiaTheme="majorEastAsia"/>
          <w:szCs w:val="22"/>
        </w:rPr>
        <w:t xml:space="preserve">Partner se zavazuje </w:t>
      </w:r>
      <w:r w:rsidR="002F0A67" w:rsidRPr="008F5706">
        <w:rPr>
          <w:rFonts w:eastAsiaTheme="majorEastAsia"/>
          <w:szCs w:val="22"/>
        </w:rPr>
        <w:t>uhradit</w:t>
      </w:r>
    </w:p>
    <w:p w14:paraId="6C5DBF53" w14:textId="5358E3F3" w:rsidR="001847F8" w:rsidRPr="008F5706" w:rsidRDefault="0047132E" w:rsidP="008F5706">
      <w:pPr>
        <w:pStyle w:val="Zkladntext"/>
        <w:spacing w:line="276" w:lineRule="auto"/>
        <w:ind w:left="284" w:hanging="284"/>
        <w:rPr>
          <w:rFonts w:eastAsiaTheme="majorEastAsia"/>
          <w:szCs w:val="22"/>
        </w:rPr>
      </w:pPr>
      <w:r w:rsidRPr="008F5706">
        <w:rPr>
          <w:rFonts w:eastAsiaTheme="majorEastAsia"/>
          <w:szCs w:val="22"/>
        </w:rPr>
        <w:t xml:space="preserve">a) </w:t>
      </w:r>
      <w:r w:rsidR="00E82A8C" w:rsidRPr="008F5706">
        <w:rPr>
          <w:rFonts w:eastAsiaTheme="majorEastAsia"/>
          <w:szCs w:val="22"/>
        </w:rPr>
        <w:t xml:space="preserve">účelně vynaložené </w:t>
      </w:r>
      <w:r w:rsidR="001847F8" w:rsidRPr="008F5706">
        <w:rPr>
          <w:rFonts w:eastAsiaTheme="majorEastAsia"/>
          <w:szCs w:val="22"/>
        </w:rPr>
        <w:t xml:space="preserve">náklady </w:t>
      </w:r>
      <w:r w:rsidR="00E82A8C" w:rsidRPr="008F5706">
        <w:rPr>
          <w:rFonts w:eastAsiaTheme="majorEastAsia"/>
          <w:szCs w:val="22"/>
        </w:rPr>
        <w:t>na přípravu, grafické zpracování, tisk</w:t>
      </w:r>
      <w:r w:rsidR="00ED1A54" w:rsidRPr="008F5706">
        <w:rPr>
          <w:rFonts w:eastAsiaTheme="majorEastAsia"/>
          <w:szCs w:val="22"/>
        </w:rPr>
        <w:t>, přípravu adresáře</w:t>
      </w:r>
      <w:r w:rsidR="00AE13EF" w:rsidRPr="008F5706">
        <w:rPr>
          <w:rFonts w:eastAsiaTheme="majorEastAsia"/>
          <w:szCs w:val="22"/>
        </w:rPr>
        <w:t>,</w:t>
      </w:r>
      <w:r w:rsidR="00E82A8C" w:rsidRPr="008F5706">
        <w:rPr>
          <w:rFonts w:eastAsiaTheme="majorEastAsia"/>
          <w:szCs w:val="22"/>
        </w:rPr>
        <w:t xml:space="preserve"> e-mailovou rozesílku</w:t>
      </w:r>
      <w:r w:rsidR="00ED1A54" w:rsidRPr="008F5706">
        <w:rPr>
          <w:rFonts w:eastAsiaTheme="majorEastAsia"/>
          <w:szCs w:val="22"/>
        </w:rPr>
        <w:t xml:space="preserve"> a distribuci</w:t>
      </w:r>
      <w:r w:rsidR="00E82A8C" w:rsidRPr="008F5706">
        <w:rPr>
          <w:rFonts w:eastAsiaTheme="majorEastAsia"/>
          <w:szCs w:val="22"/>
        </w:rPr>
        <w:t xml:space="preserve"> pozvánek na </w:t>
      </w:r>
      <w:r w:rsidR="00AE13EF" w:rsidRPr="008F5706">
        <w:rPr>
          <w:rFonts w:eastAsiaTheme="majorEastAsia"/>
          <w:szCs w:val="22"/>
        </w:rPr>
        <w:t>M</w:t>
      </w:r>
      <w:r w:rsidR="00ED1A54" w:rsidRPr="008F5706">
        <w:rPr>
          <w:rFonts w:eastAsiaTheme="majorEastAsia"/>
          <w:szCs w:val="22"/>
        </w:rPr>
        <w:t>ezinárodní konferenci</w:t>
      </w:r>
      <w:r w:rsidR="008F5706" w:rsidRPr="008F5706">
        <w:rPr>
          <w:rFonts w:eastAsiaTheme="majorEastAsia"/>
          <w:szCs w:val="22"/>
        </w:rPr>
        <w:t xml:space="preserve"> a akvizice M</w:t>
      </w:r>
      <w:r w:rsidR="002F0A67" w:rsidRPr="008F5706">
        <w:rPr>
          <w:rFonts w:eastAsiaTheme="majorEastAsia"/>
          <w:szCs w:val="22"/>
        </w:rPr>
        <w:t>ezinárodní konference</w:t>
      </w:r>
      <w:r w:rsidR="00ED1A54" w:rsidRPr="008F5706">
        <w:rPr>
          <w:rFonts w:eastAsiaTheme="majorEastAsia"/>
          <w:szCs w:val="22"/>
        </w:rPr>
        <w:t xml:space="preserve"> ve výši 8</w:t>
      </w:r>
      <w:r w:rsidR="00E82A8C" w:rsidRPr="008F5706">
        <w:rPr>
          <w:rFonts w:eastAsiaTheme="majorEastAsia"/>
          <w:szCs w:val="22"/>
        </w:rPr>
        <w:t>0 000 Kč,</w:t>
      </w:r>
      <w:r w:rsidR="002F0A67" w:rsidRPr="008F5706">
        <w:rPr>
          <w:rFonts w:eastAsiaTheme="majorEastAsia"/>
          <w:szCs w:val="22"/>
        </w:rPr>
        <w:t xml:space="preserve"> </w:t>
      </w:r>
    </w:p>
    <w:p w14:paraId="273685A7" w14:textId="0699035D" w:rsidR="00E82A8C" w:rsidRPr="008F5706" w:rsidRDefault="00E82A8C" w:rsidP="008F5706">
      <w:pPr>
        <w:pStyle w:val="Zkladntext"/>
        <w:spacing w:line="276" w:lineRule="auto"/>
        <w:ind w:left="284" w:hanging="284"/>
        <w:rPr>
          <w:rFonts w:eastAsiaTheme="majorEastAsia"/>
          <w:szCs w:val="22"/>
        </w:rPr>
      </w:pPr>
      <w:r w:rsidRPr="008F5706">
        <w:rPr>
          <w:rFonts w:eastAsiaTheme="majorEastAsia"/>
          <w:szCs w:val="22"/>
        </w:rPr>
        <w:t xml:space="preserve">b) </w:t>
      </w:r>
      <w:r w:rsidR="00ED1A54" w:rsidRPr="008F5706">
        <w:rPr>
          <w:rFonts w:eastAsiaTheme="majorEastAsia"/>
          <w:szCs w:val="22"/>
        </w:rPr>
        <w:t>pronájem prostor Vysoké školy báňské –</w:t>
      </w:r>
      <w:r w:rsidR="00622C96">
        <w:rPr>
          <w:rFonts w:eastAsiaTheme="majorEastAsia"/>
          <w:szCs w:val="22"/>
        </w:rPr>
        <w:t xml:space="preserve"> </w:t>
      </w:r>
      <w:r w:rsidR="00ED1A54" w:rsidRPr="008F5706">
        <w:rPr>
          <w:rFonts w:eastAsiaTheme="majorEastAsia"/>
          <w:szCs w:val="22"/>
        </w:rPr>
        <w:t>Technická univerzita</w:t>
      </w:r>
      <w:r w:rsidR="00622C96">
        <w:rPr>
          <w:rFonts w:eastAsiaTheme="majorEastAsia"/>
          <w:szCs w:val="22"/>
        </w:rPr>
        <w:t>, Tř. 17. listopadu</w:t>
      </w:r>
      <w:r w:rsidR="00ED1A54" w:rsidRPr="008F5706">
        <w:rPr>
          <w:rFonts w:eastAsiaTheme="majorEastAsia"/>
          <w:szCs w:val="22"/>
        </w:rPr>
        <w:t xml:space="preserve"> Ostrava</w:t>
      </w:r>
      <w:r w:rsidR="00FA3299">
        <w:rPr>
          <w:rFonts w:eastAsiaTheme="majorEastAsia"/>
          <w:szCs w:val="22"/>
        </w:rPr>
        <w:t>,</w:t>
      </w:r>
      <w:r w:rsidR="00622C96">
        <w:rPr>
          <w:rFonts w:eastAsiaTheme="majorEastAsia"/>
          <w:szCs w:val="22"/>
        </w:rPr>
        <w:t xml:space="preserve"> </w:t>
      </w:r>
      <w:r w:rsidR="00ED1A54" w:rsidRPr="008F5706">
        <w:rPr>
          <w:rFonts w:eastAsiaTheme="majorEastAsia"/>
          <w:szCs w:val="22"/>
        </w:rPr>
        <w:t xml:space="preserve">prostor </w:t>
      </w:r>
      <w:r w:rsidR="00622C96">
        <w:rPr>
          <w:rFonts w:eastAsiaTheme="majorEastAsia"/>
          <w:szCs w:val="22"/>
        </w:rPr>
        <w:t>Dolní oblast Vítkovic, Ruská 2993</w:t>
      </w:r>
      <w:r w:rsidR="00FA3299">
        <w:rPr>
          <w:rFonts w:eastAsiaTheme="majorEastAsia"/>
          <w:szCs w:val="22"/>
        </w:rPr>
        <w:t xml:space="preserve"> Vítkovice a prostor společnosti DTO CZ, a.s.</w:t>
      </w:r>
      <w:r w:rsidR="00FA3299" w:rsidRPr="00FA3299">
        <w:t xml:space="preserve"> </w:t>
      </w:r>
      <w:r w:rsidR="00FA3299">
        <w:t>Mariánské nám 480/5, Mariánské Hory, 0strava,</w:t>
      </w:r>
      <w:r w:rsidR="00ED1A54" w:rsidRPr="008F5706">
        <w:rPr>
          <w:rFonts w:eastAsiaTheme="majorEastAsia"/>
          <w:szCs w:val="22"/>
        </w:rPr>
        <w:t xml:space="preserve"> včetně techniky</w:t>
      </w:r>
      <w:r w:rsidR="00FA3299" w:rsidRPr="00FA3299">
        <w:t xml:space="preserve"> </w:t>
      </w:r>
      <w:r w:rsidR="00FA3299">
        <w:t>ve dnech 16. a 17. května 2017</w:t>
      </w:r>
      <w:r w:rsidR="00FA3299">
        <w:rPr>
          <w:rFonts w:eastAsiaTheme="majorEastAsia"/>
          <w:szCs w:val="22"/>
        </w:rPr>
        <w:t xml:space="preserve"> ve výši 50 000 Kč</w:t>
      </w:r>
      <w:r w:rsidR="00FA3299">
        <w:t xml:space="preserve">, </w:t>
      </w:r>
    </w:p>
    <w:p w14:paraId="2DAB41FE" w14:textId="0935C372" w:rsidR="00ED1A54" w:rsidRPr="008F5706" w:rsidRDefault="00ED1A54" w:rsidP="008F5706">
      <w:pPr>
        <w:pStyle w:val="Zkladntext"/>
        <w:spacing w:line="276" w:lineRule="auto"/>
        <w:ind w:left="284" w:hanging="284"/>
        <w:rPr>
          <w:rFonts w:eastAsiaTheme="majorEastAsia"/>
          <w:szCs w:val="22"/>
        </w:rPr>
      </w:pPr>
      <w:r w:rsidRPr="008F5706">
        <w:rPr>
          <w:rFonts w:eastAsiaTheme="majorEastAsia"/>
          <w:szCs w:val="22"/>
        </w:rPr>
        <w:t xml:space="preserve">c) </w:t>
      </w:r>
      <w:r w:rsidR="002F0A67" w:rsidRPr="008F5706">
        <w:rPr>
          <w:rFonts w:eastAsiaTheme="majorEastAsia"/>
          <w:szCs w:val="22"/>
        </w:rPr>
        <w:t xml:space="preserve">zpracování sborníku v elektronické podobě ve výši 15 000 Kč; sborník bude zpracován bezprostředně </w:t>
      </w:r>
      <w:r w:rsidR="00AE13EF" w:rsidRPr="008F5706">
        <w:rPr>
          <w:rFonts w:eastAsiaTheme="majorEastAsia"/>
          <w:szCs w:val="22"/>
        </w:rPr>
        <w:t>po ukončení M</w:t>
      </w:r>
      <w:r w:rsidR="002F0A67" w:rsidRPr="008F5706">
        <w:rPr>
          <w:rFonts w:eastAsiaTheme="majorEastAsia"/>
          <w:szCs w:val="22"/>
        </w:rPr>
        <w:t>ezinárodní konference,</w:t>
      </w:r>
    </w:p>
    <w:p w14:paraId="1CD30ED4" w14:textId="797E7FB4" w:rsidR="002F0A67" w:rsidRPr="008F5706" w:rsidRDefault="002F0A67" w:rsidP="008F5706">
      <w:pPr>
        <w:pStyle w:val="Zkladntext"/>
        <w:spacing w:line="276" w:lineRule="auto"/>
        <w:ind w:left="284" w:hanging="284"/>
        <w:rPr>
          <w:rFonts w:eastAsiaTheme="majorEastAsia"/>
          <w:szCs w:val="22"/>
        </w:rPr>
      </w:pPr>
      <w:r w:rsidRPr="008F5706">
        <w:rPr>
          <w:rFonts w:eastAsiaTheme="majorEastAsia"/>
          <w:szCs w:val="22"/>
        </w:rPr>
        <w:t>d) náklady na dopravu ve výši 25 000 Kč,</w:t>
      </w:r>
    </w:p>
    <w:p w14:paraId="3CD2AE89" w14:textId="42D19137" w:rsidR="002F0A67" w:rsidRPr="008F5706" w:rsidRDefault="002F0A67" w:rsidP="008F5706">
      <w:pPr>
        <w:pStyle w:val="Zkladntext"/>
        <w:spacing w:line="276" w:lineRule="auto"/>
        <w:ind w:left="284" w:hanging="284"/>
        <w:rPr>
          <w:rFonts w:eastAsiaTheme="majorEastAsia"/>
          <w:szCs w:val="22"/>
        </w:rPr>
      </w:pPr>
      <w:r w:rsidRPr="008F5706">
        <w:rPr>
          <w:rFonts w:eastAsiaTheme="majorEastAsia"/>
          <w:szCs w:val="22"/>
        </w:rPr>
        <w:lastRenderedPageBreak/>
        <w:t>e) náklady na organizaci společenského večera ve výši 30 000 Kč;</w:t>
      </w:r>
    </w:p>
    <w:p w14:paraId="4D07E463" w14:textId="51917C87" w:rsidR="002F0A67" w:rsidRPr="008F5706" w:rsidRDefault="002F0A67" w:rsidP="008F5706">
      <w:pPr>
        <w:pStyle w:val="Zkladntext"/>
        <w:spacing w:line="276" w:lineRule="auto"/>
        <w:ind w:left="284" w:hanging="284"/>
        <w:rPr>
          <w:rFonts w:eastAsiaTheme="majorEastAsia"/>
          <w:szCs w:val="22"/>
        </w:rPr>
      </w:pPr>
      <w:r w:rsidRPr="008F5706">
        <w:rPr>
          <w:rFonts w:eastAsiaTheme="majorEastAsia"/>
          <w:szCs w:val="22"/>
        </w:rPr>
        <w:t xml:space="preserve">f) </w:t>
      </w:r>
      <w:r w:rsidR="008F5706" w:rsidRPr="008F5706">
        <w:rPr>
          <w:rFonts w:eastAsiaTheme="majorEastAsia"/>
          <w:szCs w:val="22"/>
        </w:rPr>
        <w:t>náklady na reklamu a propagaci M</w:t>
      </w:r>
      <w:r w:rsidRPr="008F5706">
        <w:rPr>
          <w:rFonts w:eastAsiaTheme="majorEastAsia"/>
          <w:szCs w:val="22"/>
        </w:rPr>
        <w:t>ezinárodní konference ve výši 50 000 Kč;</w:t>
      </w:r>
      <w:r w:rsidR="00AE13EF" w:rsidRPr="008F5706">
        <w:rPr>
          <w:rFonts w:eastAsiaTheme="majorEastAsia"/>
          <w:szCs w:val="22"/>
        </w:rPr>
        <w:t xml:space="preserve"> reklama a propagace M</w:t>
      </w:r>
      <w:r w:rsidRPr="008F5706">
        <w:rPr>
          <w:rFonts w:eastAsiaTheme="majorEastAsia"/>
          <w:szCs w:val="22"/>
        </w:rPr>
        <w:t>ezinárodní konference zahrnuje zejména aktualizaci webových stránek, články v českých a slovenských médiích, informační letáky,</w:t>
      </w:r>
      <w:r w:rsidR="00622C96">
        <w:rPr>
          <w:rFonts w:eastAsiaTheme="majorEastAsia"/>
          <w:szCs w:val="22"/>
        </w:rPr>
        <w:t xml:space="preserve"> </w:t>
      </w:r>
      <w:proofErr w:type="spellStart"/>
      <w:r w:rsidRPr="008F5706">
        <w:rPr>
          <w:rFonts w:eastAsiaTheme="majorEastAsia"/>
          <w:szCs w:val="22"/>
        </w:rPr>
        <w:t>multimaily</w:t>
      </w:r>
      <w:proofErr w:type="spellEnd"/>
      <w:r w:rsidRPr="008F5706">
        <w:rPr>
          <w:rFonts w:eastAsiaTheme="majorEastAsia"/>
          <w:szCs w:val="22"/>
        </w:rPr>
        <w:t xml:space="preserve"> a jejich distribuci, přípravu tiskové zprávy, osobní propagaci prostřednictvím zaměstnanců dodavatele,</w:t>
      </w:r>
    </w:p>
    <w:p w14:paraId="6381B4B5" w14:textId="12844E5D" w:rsidR="0047132E" w:rsidRPr="008F5706" w:rsidRDefault="002F0A67" w:rsidP="008F5706">
      <w:pPr>
        <w:pStyle w:val="Zkladntext"/>
        <w:spacing w:line="276" w:lineRule="auto"/>
        <w:ind w:left="720" w:hanging="720"/>
        <w:rPr>
          <w:rFonts w:eastAsiaTheme="majorEastAsia"/>
          <w:szCs w:val="22"/>
        </w:rPr>
      </w:pPr>
      <w:r w:rsidRPr="008F5706">
        <w:rPr>
          <w:rFonts w:eastAsiaTheme="majorEastAsia"/>
          <w:szCs w:val="22"/>
        </w:rPr>
        <w:t>g</w:t>
      </w:r>
      <w:r w:rsidR="0047132E" w:rsidRPr="008F5706">
        <w:rPr>
          <w:rFonts w:eastAsiaTheme="majorEastAsia"/>
          <w:szCs w:val="22"/>
        </w:rPr>
        <w:t>) poskytnout Dodavateli nezbytnou součinnost.</w:t>
      </w:r>
    </w:p>
    <w:p w14:paraId="0488C148" w14:textId="0D6BA7B6" w:rsidR="000B286F" w:rsidRPr="008F5706" w:rsidRDefault="000B286F" w:rsidP="000B286F">
      <w:pPr>
        <w:pStyle w:val="Zkladntext"/>
        <w:spacing w:line="276" w:lineRule="auto"/>
        <w:jc w:val="center"/>
        <w:rPr>
          <w:rFonts w:cs="Tahoma"/>
          <w:b/>
          <w:szCs w:val="22"/>
        </w:rPr>
      </w:pPr>
      <w:r w:rsidRPr="008F5706">
        <w:rPr>
          <w:rFonts w:cs="Tahoma"/>
          <w:b/>
          <w:szCs w:val="22"/>
        </w:rPr>
        <w:t>Čl. III.</w:t>
      </w:r>
    </w:p>
    <w:p w14:paraId="193940C9" w14:textId="77777777" w:rsidR="0047132E" w:rsidRPr="008F5706" w:rsidRDefault="0047132E" w:rsidP="0047132E">
      <w:pPr>
        <w:pStyle w:val="Zkladntext"/>
        <w:spacing w:line="276" w:lineRule="auto"/>
        <w:jc w:val="center"/>
        <w:rPr>
          <w:rFonts w:cs="Tahoma"/>
          <w:b/>
          <w:szCs w:val="22"/>
        </w:rPr>
      </w:pPr>
      <w:r w:rsidRPr="008F5706">
        <w:rPr>
          <w:rFonts w:cs="Tahoma"/>
          <w:b/>
          <w:szCs w:val="22"/>
        </w:rPr>
        <w:t>Cena a platební podmínky</w:t>
      </w:r>
    </w:p>
    <w:p w14:paraId="1EE9DD16" w14:textId="41B4AB51" w:rsidR="00ED1A54" w:rsidRPr="008F5706" w:rsidRDefault="00ED1A54" w:rsidP="00396FE1">
      <w:pPr>
        <w:pStyle w:val="Zkladntext"/>
        <w:numPr>
          <w:ilvl w:val="0"/>
          <w:numId w:val="41"/>
        </w:numPr>
        <w:tabs>
          <w:tab w:val="left" w:pos="284"/>
        </w:tabs>
        <w:spacing w:after="120" w:line="276" w:lineRule="auto"/>
        <w:ind w:left="0" w:firstLine="0"/>
        <w:rPr>
          <w:rFonts w:eastAsiaTheme="majorEastAsia"/>
          <w:szCs w:val="22"/>
        </w:rPr>
      </w:pPr>
      <w:r w:rsidRPr="008F5706">
        <w:rPr>
          <w:rFonts w:cs="Tahoma"/>
          <w:szCs w:val="22"/>
        </w:rPr>
        <w:t>V cenách jednotlivých plnění uvedených v  čl. II. odst.</w:t>
      </w:r>
      <w:r w:rsidR="00AE13EF" w:rsidRPr="008F5706">
        <w:rPr>
          <w:rFonts w:cs="Tahoma"/>
          <w:szCs w:val="22"/>
        </w:rPr>
        <w:t xml:space="preserve"> </w:t>
      </w:r>
      <w:r w:rsidR="004B0FA4" w:rsidRPr="008F5706">
        <w:rPr>
          <w:rFonts w:cs="Tahoma"/>
          <w:szCs w:val="22"/>
        </w:rPr>
        <w:t>3</w:t>
      </w:r>
      <w:r w:rsidR="00AE13EF" w:rsidRPr="008F5706">
        <w:rPr>
          <w:rFonts w:cs="Tahoma"/>
          <w:szCs w:val="22"/>
        </w:rPr>
        <w:t xml:space="preserve"> této Smlouvy</w:t>
      </w:r>
      <w:r w:rsidR="004B0FA4" w:rsidRPr="008F5706">
        <w:rPr>
          <w:rFonts w:cs="Tahoma"/>
          <w:szCs w:val="22"/>
        </w:rPr>
        <w:t xml:space="preserve"> </w:t>
      </w:r>
      <w:r w:rsidRPr="008F5706">
        <w:rPr>
          <w:rFonts w:cs="Tahoma"/>
          <w:szCs w:val="22"/>
        </w:rPr>
        <w:t xml:space="preserve">je zahrnuta DPH. </w:t>
      </w:r>
      <w:r w:rsidR="0047132E" w:rsidRPr="008F5706">
        <w:rPr>
          <w:rFonts w:cs="Tahoma"/>
          <w:szCs w:val="22"/>
        </w:rPr>
        <w:t xml:space="preserve">Celková cena za spoluúčast na Mezinárodní konferenci je 250 000 Kč (slovy </w:t>
      </w:r>
      <w:proofErr w:type="spellStart"/>
      <w:r w:rsidR="0047132E" w:rsidRPr="008F5706">
        <w:rPr>
          <w:rFonts w:cs="Tahoma"/>
          <w:szCs w:val="22"/>
        </w:rPr>
        <w:t>dvěstěpadesát</w:t>
      </w:r>
      <w:proofErr w:type="spellEnd"/>
      <w:r w:rsidR="0047132E" w:rsidRPr="008F5706">
        <w:rPr>
          <w:rFonts w:cs="Tahoma"/>
          <w:szCs w:val="22"/>
        </w:rPr>
        <w:t xml:space="preserve"> tisíc korun českých), včetně DPH</w:t>
      </w:r>
      <w:r w:rsidR="00BA40E2" w:rsidRPr="008F5706">
        <w:rPr>
          <w:rFonts w:cs="Tahoma"/>
          <w:szCs w:val="22"/>
        </w:rPr>
        <w:t>. Celková cena</w:t>
      </w:r>
      <w:r w:rsidR="00622C96">
        <w:rPr>
          <w:rFonts w:cs="Tahoma"/>
          <w:szCs w:val="22"/>
        </w:rPr>
        <w:t xml:space="preserve"> je konečná a nejvýše přípustná</w:t>
      </w:r>
      <w:r w:rsidR="007C4AA9">
        <w:rPr>
          <w:rFonts w:cs="Tahoma"/>
          <w:szCs w:val="22"/>
        </w:rPr>
        <w:t>.</w:t>
      </w:r>
    </w:p>
    <w:p w14:paraId="29DC1A7B" w14:textId="0C2FFAD5" w:rsidR="00BA40E2" w:rsidRPr="008F5706" w:rsidRDefault="00BA40E2" w:rsidP="00396FE1">
      <w:pPr>
        <w:pStyle w:val="Zkladntext"/>
        <w:widowControl w:val="0"/>
        <w:numPr>
          <w:ilvl w:val="0"/>
          <w:numId w:val="41"/>
        </w:numPr>
        <w:tabs>
          <w:tab w:val="left" w:pos="284"/>
        </w:tabs>
        <w:overflowPunct/>
        <w:autoSpaceDE/>
        <w:autoSpaceDN/>
        <w:adjustRightInd/>
        <w:spacing w:after="120" w:line="276" w:lineRule="auto"/>
        <w:ind w:left="0" w:firstLine="0"/>
        <w:jc w:val="both"/>
        <w:textAlignment w:val="auto"/>
        <w:rPr>
          <w:rFonts w:cs="Tahoma"/>
          <w:szCs w:val="22"/>
        </w:rPr>
      </w:pPr>
      <w:r w:rsidRPr="008F5706">
        <w:rPr>
          <w:rFonts w:cs="Tahoma"/>
          <w:szCs w:val="22"/>
        </w:rPr>
        <w:t>Výdaje za</w:t>
      </w:r>
      <w:r w:rsidR="004B0FA4" w:rsidRPr="008F5706">
        <w:rPr>
          <w:rFonts w:cs="Tahoma"/>
          <w:szCs w:val="22"/>
        </w:rPr>
        <w:t xml:space="preserve"> závazky podle čl. II odst. 3</w:t>
      </w:r>
      <w:r w:rsidRPr="008F5706">
        <w:rPr>
          <w:rFonts w:cs="Tahoma"/>
          <w:szCs w:val="22"/>
        </w:rPr>
        <w:t xml:space="preserve"> této Smlouvy Partner uhradí na základě faktury vystavené Dodavatelem. Dodavatel je oprávněn vystavit fakturu podle odstavce 1 tohoto článku Smlouvy</w:t>
      </w:r>
      <w:r w:rsidR="004B0FA4" w:rsidRPr="008F5706">
        <w:rPr>
          <w:rFonts w:cs="Tahoma"/>
          <w:szCs w:val="22"/>
        </w:rPr>
        <w:t xml:space="preserve"> společně s kopiemi smluv, na jejichž základě byly závazky podle čl. II. odst. 3 plněny</w:t>
      </w:r>
      <w:r w:rsidR="00396FE1">
        <w:rPr>
          <w:rFonts w:cs="Tahoma"/>
          <w:szCs w:val="22"/>
        </w:rPr>
        <w:t xml:space="preserve"> bezprostředně po ukončení Mezinárodní konference</w:t>
      </w:r>
      <w:r w:rsidR="004B0FA4" w:rsidRPr="008F5706">
        <w:rPr>
          <w:rFonts w:cs="Tahoma"/>
          <w:szCs w:val="22"/>
        </w:rPr>
        <w:t xml:space="preserve">. </w:t>
      </w:r>
      <w:r w:rsidRPr="008F5706">
        <w:rPr>
          <w:rFonts w:cs="Tahoma"/>
          <w:szCs w:val="22"/>
        </w:rPr>
        <w:t xml:space="preserve">Splatnost faktury je </w:t>
      </w:r>
      <w:r w:rsidR="00622C96">
        <w:rPr>
          <w:rFonts w:cs="Tahoma"/>
          <w:szCs w:val="22"/>
        </w:rPr>
        <w:t>30</w:t>
      </w:r>
      <w:r w:rsidRPr="008F5706">
        <w:rPr>
          <w:rFonts w:cs="Tahoma"/>
          <w:szCs w:val="22"/>
        </w:rPr>
        <w:t xml:space="preserve"> dnů ode dne, kdy je faktura doručena Partnerovi.</w:t>
      </w:r>
    </w:p>
    <w:p w14:paraId="7BF0B68C" w14:textId="77777777" w:rsidR="00BA40E2" w:rsidRPr="008F5706" w:rsidRDefault="00BA40E2" w:rsidP="00396FE1">
      <w:pPr>
        <w:pStyle w:val="Style4"/>
        <w:widowControl/>
        <w:numPr>
          <w:ilvl w:val="0"/>
          <w:numId w:val="41"/>
        </w:numPr>
        <w:tabs>
          <w:tab w:val="left" w:pos="245"/>
        </w:tabs>
        <w:spacing w:after="120" w:line="276" w:lineRule="auto"/>
        <w:ind w:left="0" w:firstLine="0"/>
        <w:rPr>
          <w:rStyle w:val="FontStyle15"/>
          <w:rFonts w:asciiTheme="minorHAnsi" w:hAnsiTheme="minorHAnsi"/>
        </w:rPr>
      </w:pPr>
      <w:r w:rsidRPr="008F5706">
        <w:rPr>
          <w:rStyle w:val="FontStyle15"/>
          <w:rFonts w:asciiTheme="minorHAnsi" w:hAnsiTheme="minorHAnsi"/>
        </w:rPr>
        <w:t>Nebude-li faktura obsahovat náležitosti dokladu stanovené v § 11 zák. č. 563/ 1991 Sb., o účetnictví, v platném znění a případně § 29 zák. č. 235/2004 Sb., o dani z přidané hodnoty, ve znění pozdějších předpisů, je Partner oprávněn fakturu vrátit Dodavateli k přepracování. V tomto případě neplatí původní doba splatnosti, ale celá lhůta splatnosti běží od počátku ode dne doručení nově vystavené faktury.</w:t>
      </w:r>
    </w:p>
    <w:p w14:paraId="5C981F34" w14:textId="4C1C6866" w:rsidR="00BA40E2" w:rsidRPr="008F5706" w:rsidRDefault="00BA40E2" w:rsidP="008F5706">
      <w:pPr>
        <w:pStyle w:val="Style4"/>
        <w:widowControl/>
        <w:numPr>
          <w:ilvl w:val="0"/>
          <w:numId w:val="41"/>
        </w:numPr>
        <w:tabs>
          <w:tab w:val="left" w:pos="245"/>
        </w:tabs>
        <w:spacing w:line="276" w:lineRule="auto"/>
        <w:ind w:left="0" w:firstLine="0"/>
        <w:rPr>
          <w:rStyle w:val="FontStyle15"/>
          <w:rFonts w:asciiTheme="minorHAnsi" w:hAnsiTheme="minorHAnsi"/>
        </w:rPr>
      </w:pPr>
      <w:r w:rsidRPr="008F5706">
        <w:rPr>
          <w:rStyle w:val="FontStyle15"/>
          <w:rFonts w:asciiTheme="minorHAnsi" w:hAnsiTheme="minorHAnsi"/>
        </w:rPr>
        <w:t xml:space="preserve">V případě prodlení na straně Partnera je Dodavatel oprávněn účtovat </w:t>
      </w:r>
      <w:r w:rsidR="00AE13EF" w:rsidRPr="008F5706">
        <w:rPr>
          <w:rStyle w:val="FontStyle15"/>
          <w:rFonts w:asciiTheme="minorHAnsi" w:hAnsiTheme="minorHAnsi"/>
        </w:rPr>
        <w:t>Partnerovi</w:t>
      </w:r>
      <w:r w:rsidRPr="008F5706">
        <w:rPr>
          <w:rStyle w:val="FontStyle15"/>
          <w:rFonts w:asciiTheme="minorHAnsi" w:hAnsiTheme="minorHAnsi"/>
        </w:rPr>
        <w:t xml:space="preserve"> zákonný úrok z prodlení.</w:t>
      </w:r>
    </w:p>
    <w:p w14:paraId="52F201F4" w14:textId="77777777" w:rsidR="00BA40E2" w:rsidRPr="008F5706" w:rsidRDefault="00BA40E2" w:rsidP="008F5706">
      <w:pPr>
        <w:pStyle w:val="Zkladntext"/>
        <w:widowControl w:val="0"/>
        <w:numPr>
          <w:ilvl w:val="0"/>
          <w:numId w:val="41"/>
        </w:numPr>
        <w:tabs>
          <w:tab w:val="left" w:pos="284"/>
        </w:tabs>
        <w:overflowPunct/>
        <w:autoSpaceDE/>
        <w:autoSpaceDN/>
        <w:adjustRightInd/>
        <w:spacing w:after="0" w:line="276" w:lineRule="auto"/>
        <w:ind w:left="0" w:firstLine="0"/>
        <w:jc w:val="both"/>
        <w:textAlignment w:val="auto"/>
        <w:rPr>
          <w:rFonts w:cs="Tahoma"/>
          <w:szCs w:val="22"/>
        </w:rPr>
      </w:pPr>
      <w:r w:rsidRPr="008F5706">
        <w:rPr>
          <w:rFonts w:cs="Tahoma"/>
          <w:szCs w:val="22"/>
        </w:rPr>
        <w:t xml:space="preserve">Fakturační adresa Partnera je Ministerstvo průmyslu a obchodu, Na Františku 32, 110 15 Praha 1. </w:t>
      </w:r>
    </w:p>
    <w:p w14:paraId="2941D558" w14:textId="77777777" w:rsidR="00BA40E2" w:rsidRPr="008F5706" w:rsidRDefault="00BA40E2" w:rsidP="00BA40E2">
      <w:pPr>
        <w:pStyle w:val="Zkladntext"/>
        <w:spacing w:line="276" w:lineRule="auto"/>
        <w:jc w:val="both"/>
        <w:rPr>
          <w:rFonts w:cs="Tahoma"/>
          <w:b/>
          <w:szCs w:val="22"/>
        </w:rPr>
      </w:pPr>
    </w:p>
    <w:p w14:paraId="5DA2536E" w14:textId="77777777" w:rsidR="00BA40E2" w:rsidRPr="008F5706" w:rsidRDefault="00BA40E2" w:rsidP="00BA40E2">
      <w:pPr>
        <w:pStyle w:val="Zkladntext"/>
        <w:spacing w:line="276" w:lineRule="auto"/>
        <w:jc w:val="center"/>
        <w:rPr>
          <w:rFonts w:cs="Tahoma"/>
          <w:b/>
          <w:szCs w:val="22"/>
        </w:rPr>
      </w:pPr>
      <w:r w:rsidRPr="008F5706">
        <w:rPr>
          <w:rFonts w:cs="Tahoma"/>
          <w:b/>
          <w:szCs w:val="22"/>
        </w:rPr>
        <w:t>Čl. IV.</w:t>
      </w:r>
    </w:p>
    <w:p w14:paraId="37678139" w14:textId="2BF877E1" w:rsidR="00BA40E2" w:rsidRPr="008F5706" w:rsidRDefault="008F5706" w:rsidP="00BA40E2">
      <w:pPr>
        <w:pStyle w:val="Zkladntext"/>
        <w:spacing w:line="276" w:lineRule="auto"/>
        <w:jc w:val="center"/>
        <w:rPr>
          <w:rFonts w:cs="Tahoma"/>
          <w:b/>
          <w:szCs w:val="22"/>
        </w:rPr>
      </w:pPr>
      <w:r w:rsidRPr="008F5706">
        <w:rPr>
          <w:rFonts w:cs="Tahoma"/>
          <w:b/>
          <w:szCs w:val="22"/>
        </w:rPr>
        <w:t>Platnost Smlouvy a odstoupení od S</w:t>
      </w:r>
      <w:r w:rsidR="00BA40E2" w:rsidRPr="008F5706">
        <w:rPr>
          <w:rFonts w:cs="Tahoma"/>
          <w:b/>
          <w:szCs w:val="22"/>
        </w:rPr>
        <w:t>mlouvy</w:t>
      </w:r>
    </w:p>
    <w:p w14:paraId="18D52E84" w14:textId="0B060BBC" w:rsidR="00BA40E2" w:rsidRPr="008F5706" w:rsidRDefault="00BA40E2" w:rsidP="00396FE1">
      <w:pPr>
        <w:pStyle w:val="Style4"/>
        <w:widowControl/>
        <w:numPr>
          <w:ilvl w:val="0"/>
          <w:numId w:val="42"/>
        </w:numPr>
        <w:tabs>
          <w:tab w:val="left" w:pos="284"/>
        </w:tabs>
        <w:spacing w:after="120" w:line="276" w:lineRule="auto"/>
        <w:ind w:left="0" w:firstLine="0"/>
        <w:rPr>
          <w:rStyle w:val="FontStyle15"/>
          <w:rFonts w:asciiTheme="minorHAnsi" w:hAnsiTheme="minorHAnsi"/>
        </w:rPr>
      </w:pPr>
      <w:r w:rsidRPr="008F5706">
        <w:rPr>
          <w:rStyle w:val="FontStyle15"/>
          <w:rFonts w:asciiTheme="minorHAnsi" w:hAnsiTheme="minorHAnsi"/>
        </w:rPr>
        <w:t xml:space="preserve">Pro případ, že Dodavatel nesplní některý ze závazků podle čl. II odst. </w:t>
      </w:r>
      <w:r w:rsidR="00AE13EF" w:rsidRPr="008F5706">
        <w:rPr>
          <w:rStyle w:val="FontStyle15"/>
          <w:rFonts w:asciiTheme="minorHAnsi" w:hAnsiTheme="minorHAnsi"/>
        </w:rPr>
        <w:t>1 a 2</w:t>
      </w:r>
      <w:r w:rsidRPr="008F5706">
        <w:rPr>
          <w:rStyle w:val="FontStyle15"/>
          <w:rFonts w:asciiTheme="minorHAnsi" w:hAnsiTheme="minorHAnsi"/>
        </w:rPr>
        <w:t xml:space="preserve"> této Smlouvy uhradí Dodavatel Partnerovi smluvní pokutu ve výši 10 000 Kč (slovy deset tisíc korun českých).</w:t>
      </w:r>
    </w:p>
    <w:p w14:paraId="45664A61" w14:textId="65FCB0EA" w:rsidR="00BA40E2" w:rsidRPr="008F5706" w:rsidRDefault="004B0FA4" w:rsidP="00396FE1">
      <w:pPr>
        <w:pStyle w:val="Style4"/>
        <w:widowControl/>
        <w:numPr>
          <w:ilvl w:val="0"/>
          <w:numId w:val="42"/>
        </w:numPr>
        <w:tabs>
          <w:tab w:val="left" w:pos="0"/>
          <w:tab w:val="left" w:pos="284"/>
        </w:tabs>
        <w:spacing w:after="120" w:line="276" w:lineRule="auto"/>
        <w:ind w:left="0" w:firstLine="0"/>
        <w:rPr>
          <w:rStyle w:val="FontStyle15"/>
          <w:rFonts w:asciiTheme="minorHAnsi" w:hAnsiTheme="minorHAnsi"/>
        </w:rPr>
      </w:pPr>
      <w:r w:rsidRPr="008F5706">
        <w:rPr>
          <w:rStyle w:val="FontStyle15"/>
          <w:rFonts w:asciiTheme="minorHAnsi" w:hAnsiTheme="minorHAnsi"/>
        </w:rPr>
        <w:t>Z</w:t>
      </w:r>
      <w:r w:rsidR="00BA40E2" w:rsidRPr="008F5706">
        <w:rPr>
          <w:rStyle w:val="FontStyle15"/>
          <w:rFonts w:asciiTheme="minorHAnsi" w:hAnsiTheme="minorHAnsi"/>
        </w:rPr>
        <w:t>aplacením smluvní pokuty není dotčeno právo Partnera na náhradu škody vzniklé porušením smluvní povinnosti, které se smluvní pokuta týká. Partner má právo domáhat se náhrady škody ve výši přesahující výši smluvní pokuty.</w:t>
      </w:r>
    </w:p>
    <w:p w14:paraId="00404F92" w14:textId="77777777" w:rsidR="00BA40E2" w:rsidRPr="008F5706" w:rsidRDefault="00BA40E2" w:rsidP="00396FE1">
      <w:pPr>
        <w:pStyle w:val="Style4"/>
        <w:widowControl/>
        <w:numPr>
          <w:ilvl w:val="0"/>
          <w:numId w:val="42"/>
        </w:numPr>
        <w:tabs>
          <w:tab w:val="left" w:pos="0"/>
          <w:tab w:val="left" w:pos="284"/>
        </w:tabs>
        <w:spacing w:after="120" w:line="276" w:lineRule="auto"/>
        <w:ind w:left="0" w:firstLine="0"/>
        <w:rPr>
          <w:rStyle w:val="FontStyle15"/>
          <w:rFonts w:asciiTheme="minorHAnsi" w:hAnsiTheme="minorHAnsi"/>
        </w:rPr>
      </w:pPr>
      <w:r w:rsidRPr="008F5706">
        <w:rPr>
          <w:rStyle w:val="FontStyle15"/>
          <w:rFonts w:asciiTheme="minorHAnsi" w:hAnsiTheme="minorHAnsi"/>
        </w:rPr>
        <w:t xml:space="preserve">Partner a Dodavatel má právo od Smlouvy odstoupit v případě, že druhá smluvní strana poruší podstatným způsobem své povinnosti dané touto Smlouvou. </w:t>
      </w:r>
    </w:p>
    <w:p w14:paraId="3E394FD5" w14:textId="4B1D1C7D" w:rsidR="00BA40E2" w:rsidRPr="008F5706" w:rsidRDefault="00BA40E2" w:rsidP="00396FE1">
      <w:pPr>
        <w:pStyle w:val="Zkladntext"/>
        <w:numPr>
          <w:ilvl w:val="0"/>
          <w:numId w:val="42"/>
        </w:numPr>
        <w:tabs>
          <w:tab w:val="left" w:pos="284"/>
        </w:tabs>
        <w:spacing w:after="120" w:line="276" w:lineRule="auto"/>
        <w:ind w:left="0" w:firstLine="0"/>
        <w:rPr>
          <w:rStyle w:val="FontStyle15"/>
          <w:rFonts w:asciiTheme="minorHAnsi" w:eastAsiaTheme="majorEastAsia" w:hAnsiTheme="minorHAnsi"/>
        </w:rPr>
      </w:pPr>
      <w:r w:rsidRPr="008F5706">
        <w:rPr>
          <w:rStyle w:val="FontStyle15"/>
          <w:rFonts w:asciiTheme="minorHAnsi" w:hAnsiTheme="minorHAnsi"/>
        </w:rPr>
        <w:t xml:space="preserve">Podstatným porušením Smlouvy, kdy má právo Partner odstoupit od Smlouvy se považuje zejména nesplnění závazků dodavatele </w:t>
      </w:r>
      <w:r w:rsidR="00AE13EF" w:rsidRPr="008F5706">
        <w:rPr>
          <w:rStyle w:val="FontStyle15"/>
          <w:rFonts w:asciiTheme="minorHAnsi" w:hAnsiTheme="minorHAnsi"/>
        </w:rPr>
        <w:t>uvedených v Čl. II. odst. 1 a 2</w:t>
      </w:r>
      <w:r w:rsidRPr="008F5706">
        <w:rPr>
          <w:rStyle w:val="FontStyle15"/>
          <w:rFonts w:asciiTheme="minorHAnsi" w:hAnsiTheme="minorHAnsi"/>
        </w:rPr>
        <w:t xml:space="preserve"> této Smlouvy</w:t>
      </w:r>
      <w:r w:rsidR="007C4AA9">
        <w:rPr>
          <w:rStyle w:val="FontStyle15"/>
          <w:rFonts w:asciiTheme="minorHAnsi" w:hAnsiTheme="minorHAnsi"/>
        </w:rPr>
        <w:t>.</w:t>
      </w:r>
      <w:r w:rsidRPr="008F5706">
        <w:rPr>
          <w:rStyle w:val="FontStyle15"/>
          <w:rFonts w:asciiTheme="minorHAnsi" w:hAnsiTheme="minorHAnsi"/>
        </w:rPr>
        <w:t xml:space="preserve"> </w:t>
      </w:r>
    </w:p>
    <w:p w14:paraId="37B87646" w14:textId="59BC5EC3" w:rsidR="00BA40E2" w:rsidRPr="008F5706" w:rsidRDefault="00BA40E2" w:rsidP="00396FE1">
      <w:pPr>
        <w:pStyle w:val="Style4"/>
        <w:widowControl/>
        <w:numPr>
          <w:ilvl w:val="0"/>
          <w:numId w:val="42"/>
        </w:numPr>
        <w:tabs>
          <w:tab w:val="left" w:pos="284"/>
        </w:tabs>
        <w:spacing w:after="120" w:line="276" w:lineRule="auto"/>
        <w:ind w:left="0" w:firstLine="0"/>
        <w:rPr>
          <w:rStyle w:val="FontStyle15"/>
          <w:rFonts w:asciiTheme="minorHAnsi" w:hAnsiTheme="minorHAnsi"/>
        </w:rPr>
      </w:pPr>
      <w:r w:rsidRPr="008F5706">
        <w:rPr>
          <w:rStyle w:val="FontStyle15"/>
          <w:rFonts w:asciiTheme="minorHAnsi" w:hAnsiTheme="minorHAnsi"/>
        </w:rPr>
        <w:t>V případě odstoupení od Smlouvy z důvodu na straně Dodavatele je Dodavatel povinen Partnerovi kromě zaplacení smluvní pokuty vrátit též cenu, kterou Partner zaplatil,</w:t>
      </w:r>
      <w:r w:rsidR="00AE13EF" w:rsidRPr="008F5706">
        <w:rPr>
          <w:rStyle w:val="FontStyle15"/>
          <w:rFonts w:asciiTheme="minorHAnsi" w:hAnsiTheme="minorHAnsi"/>
        </w:rPr>
        <w:t xml:space="preserve"> popřípadě část ceny, pokud byla část plnění poskytnuta</w:t>
      </w:r>
      <w:r w:rsidRPr="008F5706">
        <w:rPr>
          <w:rStyle w:val="FontStyle15"/>
          <w:rFonts w:asciiTheme="minorHAnsi" w:hAnsiTheme="minorHAnsi"/>
        </w:rPr>
        <w:t>.</w:t>
      </w:r>
    </w:p>
    <w:p w14:paraId="3A9E1FC4" w14:textId="77777777" w:rsidR="00BA40E2" w:rsidRPr="008F5706" w:rsidRDefault="00BA40E2" w:rsidP="00396FE1">
      <w:pPr>
        <w:pStyle w:val="Zkladntext"/>
        <w:spacing w:line="276" w:lineRule="auto"/>
        <w:ind w:left="644"/>
        <w:jc w:val="center"/>
        <w:rPr>
          <w:rFonts w:cs="Tahoma"/>
          <w:b/>
          <w:szCs w:val="22"/>
        </w:rPr>
      </w:pPr>
      <w:r w:rsidRPr="008F5706">
        <w:rPr>
          <w:rFonts w:cs="Tahoma"/>
          <w:b/>
          <w:szCs w:val="22"/>
        </w:rPr>
        <w:t>Čl. V.</w:t>
      </w:r>
    </w:p>
    <w:p w14:paraId="5F356EDA" w14:textId="77777777" w:rsidR="00BA40E2" w:rsidRPr="008F5706" w:rsidRDefault="00BA40E2" w:rsidP="00BA40E2">
      <w:pPr>
        <w:pStyle w:val="Zkladntext"/>
        <w:spacing w:line="276" w:lineRule="auto"/>
        <w:ind w:left="644"/>
        <w:jc w:val="center"/>
        <w:rPr>
          <w:rFonts w:cs="Tahoma"/>
          <w:b/>
          <w:szCs w:val="22"/>
        </w:rPr>
      </w:pPr>
      <w:r w:rsidRPr="008F5706">
        <w:rPr>
          <w:rFonts w:cs="Tahoma"/>
          <w:b/>
          <w:szCs w:val="22"/>
        </w:rPr>
        <w:t>Ostatní ujednání</w:t>
      </w:r>
    </w:p>
    <w:p w14:paraId="1FEA9A6E" w14:textId="286078F5" w:rsidR="00BA40E2" w:rsidRPr="008F5706" w:rsidRDefault="00BA40E2" w:rsidP="00396FE1">
      <w:pPr>
        <w:pStyle w:val="Zkladntext"/>
        <w:widowControl w:val="0"/>
        <w:numPr>
          <w:ilvl w:val="0"/>
          <w:numId w:val="45"/>
        </w:numPr>
        <w:tabs>
          <w:tab w:val="left" w:pos="284"/>
        </w:tabs>
        <w:overflowPunct/>
        <w:autoSpaceDE/>
        <w:autoSpaceDN/>
        <w:adjustRightInd/>
        <w:spacing w:after="120" w:line="276" w:lineRule="auto"/>
        <w:ind w:left="0" w:firstLine="0"/>
        <w:jc w:val="both"/>
        <w:textAlignment w:val="auto"/>
        <w:rPr>
          <w:rFonts w:cs="Tahoma"/>
          <w:szCs w:val="22"/>
        </w:rPr>
      </w:pPr>
      <w:r w:rsidRPr="008F5706">
        <w:rPr>
          <w:rFonts w:cstheme="minorHAnsi"/>
          <w:bCs/>
          <w:szCs w:val="22"/>
        </w:rPr>
        <w:t>Dodavatel doložení splnění závazků uvedených v Čl. II. odst.</w:t>
      </w:r>
      <w:r w:rsidR="00AE13EF" w:rsidRPr="008F5706">
        <w:rPr>
          <w:rFonts w:cstheme="minorHAnsi"/>
          <w:bCs/>
          <w:szCs w:val="22"/>
        </w:rPr>
        <w:t xml:space="preserve"> 1 a 2</w:t>
      </w:r>
      <w:r w:rsidRPr="008F5706">
        <w:rPr>
          <w:rFonts w:cstheme="minorHAnsi"/>
          <w:bCs/>
          <w:szCs w:val="22"/>
        </w:rPr>
        <w:t xml:space="preserve"> této Smlouvy provede tak, že Partnerovi </w:t>
      </w:r>
      <w:r w:rsidRPr="008F5706">
        <w:rPr>
          <w:rFonts w:cstheme="minorHAnsi"/>
          <w:bCs/>
          <w:szCs w:val="22"/>
        </w:rPr>
        <w:lastRenderedPageBreak/>
        <w:t>do nejpozději společně s fakturou doručí fotografie či naskenované zobrazení zachycující splnění zá</w:t>
      </w:r>
      <w:r w:rsidR="007C4AA9">
        <w:rPr>
          <w:rFonts w:cstheme="minorHAnsi"/>
          <w:bCs/>
          <w:szCs w:val="22"/>
        </w:rPr>
        <w:t>vazků. Fotografie či naskenovaná zobrazení budou uložena</w:t>
      </w:r>
      <w:r w:rsidRPr="008F5706">
        <w:rPr>
          <w:rFonts w:cstheme="minorHAnsi"/>
          <w:bCs/>
          <w:szCs w:val="22"/>
        </w:rPr>
        <w:t xml:space="preserve"> na přenosném nosiči dat (</w:t>
      </w:r>
      <w:proofErr w:type="spellStart"/>
      <w:r w:rsidRPr="008F5706">
        <w:rPr>
          <w:rFonts w:cstheme="minorHAnsi"/>
          <w:bCs/>
          <w:szCs w:val="22"/>
        </w:rPr>
        <w:t>flash</w:t>
      </w:r>
      <w:proofErr w:type="spellEnd"/>
      <w:r w:rsidRPr="008F5706">
        <w:rPr>
          <w:rFonts w:cstheme="minorHAnsi"/>
          <w:bCs/>
          <w:szCs w:val="22"/>
        </w:rPr>
        <w:t xml:space="preserve"> disk) a </w:t>
      </w:r>
      <w:r w:rsidR="007C4AA9">
        <w:rPr>
          <w:rFonts w:cstheme="minorHAnsi"/>
          <w:bCs/>
          <w:szCs w:val="22"/>
        </w:rPr>
        <w:t>doručena</w:t>
      </w:r>
      <w:r w:rsidRPr="008F5706">
        <w:rPr>
          <w:rFonts w:cstheme="minorHAnsi"/>
          <w:bCs/>
          <w:szCs w:val="22"/>
        </w:rPr>
        <w:t xml:space="preserve"> na fakturační adresu Partnera uvedenou v Čl. III. odst. 5 této Smlouvy.</w:t>
      </w:r>
    </w:p>
    <w:p w14:paraId="063343C2" w14:textId="031D2FF1" w:rsidR="00BA40E2" w:rsidRPr="008F5706" w:rsidRDefault="00BA40E2" w:rsidP="00396FE1">
      <w:pPr>
        <w:pStyle w:val="Zkladntext"/>
        <w:numPr>
          <w:ilvl w:val="0"/>
          <w:numId w:val="45"/>
        </w:numPr>
        <w:tabs>
          <w:tab w:val="left" w:pos="284"/>
        </w:tabs>
        <w:spacing w:line="276" w:lineRule="auto"/>
        <w:ind w:left="0" w:firstLine="0"/>
        <w:rPr>
          <w:rFonts w:eastAsiaTheme="majorEastAsia"/>
          <w:szCs w:val="22"/>
        </w:rPr>
      </w:pPr>
      <w:r w:rsidRPr="008F5706">
        <w:rPr>
          <w:rFonts w:cs="Tahoma"/>
          <w:szCs w:val="22"/>
        </w:rPr>
        <w:t xml:space="preserve">Předpokladem pro úhradu </w:t>
      </w:r>
      <w:r w:rsidR="00AE13EF" w:rsidRPr="008F5706">
        <w:rPr>
          <w:rFonts w:cs="Tahoma"/>
          <w:szCs w:val="22"/>
        </w:rPr>
        <w:t>závazků podle čl. II. odst. 3</w:t>
      </w:r>
      <w:r w:rsidR="007C4AA9">
        <w:rPr>
          <w:rFonts w:cs="Tahoma"/>
          <w:szCs w:val="22"/>
        </w:rPr>
        <w:t xml:space="preserve"> této Smlouvy je doručení kopií</w:t>
      </w:r>
      <w:r w:rsidRPr="008F5706">
        <w:rPr>
          <w:rFonts w:cs="Tahoma"/>
          <w:szCs w:val="22"/>
        </w:rPr>
        <w:t xml:space="preserve"> smluv, na jejichž základě byly závazky pod</w:t>
      </w:r>
      <w:r w:rsidR="004B0FA4" w:rsidRPr="008F5706">
        <w:rPr>
          <w:rFonts w:cs="Tahoma"/>
          <w:szCs w:val="22"/>
        </w:rPr>
        <w:t>le čl. II. odst. 3 splněny. Kopie smluv doručí dodavatel společně s fakturou.</w:t>
      </w:r>
    </w:p>
    <w:p w14:paraId="77BB1C20" w14:textId="77777777" w:rsidR="00BA40E2" w:rsidRPr="008F5706" w:rsidRDefault="00BA40E2" w:rsidP="00BA40E2">
      <w:pPr>
        <w:pStyle w:val="Zkladntext"/>
        <w:spacing w:line="276" w:lineRule="auto"/>
        <w:ind w:left="644"/>
        <w:jc w:val="center"/>
        <w:rPr>
          <w:rFonts w:cs="Tahoma"/>
          <w:b/>
          <w:szCs w:val="22"/>
        </w:rPr>
      </w:pPr>
      <w:r w:rsidRPr="008F5706">
        <w:rPr>
          <w:rFonts w:cs="Tahoma"/>
          <w:b/>
          <w:szCs w:val="22"/>
        </w:rPr>
        <w:t>Čl. VI.</w:t>
      </w:r>
    </w:p>
    <w:p w14:paraId="6032EFBC" w14:textId="77777777" w:rsidR="00BA40E2" w:rsidRPr="008F5706" w:rsidRDefault="00BA40E2" w:rsidP="00BA40E2">
      <w:pPr>
        <w:pStyle w:val="Zkladntext"/>
        <w:spacing w:line="276" w:lineRule="auto"/>
        <w:ind w:left="1004"/>
        <w:jc w:val="center"/>
        <w:rPr>
          <w:rFonts w:cs="Tahoma"/>
          <w:b/>
          <w:szCs w:val="22"/>
        </w:rPr>
      </w:pPr>
      <w:r w:rsidRPr="008F5706">
        <w:rPr>
          <w:rFonts w:cs="Tahoma"/>
          <w:b/>
          <w:szCs w:val="22"/>
        </w:rPr>
        <w:t>Závěrečná ustanovení</w:t>
      </w:r>
    </w:p>
    <w:p w14:paraId="1D23DFBB" w14:textId="77777777" w:rsidR="00BA40E2" w:rsidRPr="008F5706" w:rsidRDefault="00BA40E2" w:rsidP="00396FE1">
      <w:pPr>
        <w:pStyle w:val="Zkladntext"/>
        <w:widowControl w:val="0"/>
        <w:numPr>
          <w:ilvl w:val="0"/>
          <w:numId w:val="46"/>
        </w:numPr>
        <w:tabs>
          <w:tab w:val="left" w:pos="284"/>
        </w:tabs>
        <w:overflowPunct/>
        <w:autoSpaceDE/>
        <w:autoSpaceDN/>
        <w:adjustRightInd/>
        <w:spacing w:after="120" w:line="276" w:lineRule="auto"/>
        <w:ind w:left="0" w:firstLine="0"/>
        <w:jc w:val="both"/>
        <w:textAlignment w:val="auto"/>
        <w:rPr>
          <w:rFonts w:cs="Tahoma"/>
          <w:szCs w:val="22"/>
        </w:rPr>
      </w:pPr>
      <w:r w:rsidRPr="008F5706">
        <w:rPr>
          <w:rFonts w:cs="Tahoma"/>
          <w:szCs w:val="22"/>
        </w:rPr>
        <w:t>Tato smlouva vstoupí v platnost i v účinnost dnem jejího podpisu smluvními stranami. Lze ji měnit či rušit pouze na základě písemné dohody smluvních stran, a to písemnými dodatky, podepsanými oprávněnými zástupci stran na téže listině.</w:t>
      </w:r>
    </w:p>
    <w:p w14:paraId="044ADA03" w14:textId="23CED814" w:rsidR="00BA40E2" w:rsidRPr="008F5706" w:rsidRDefault="008F5706" w:rsidP="00396FE1">
      <w:pPr>
        <w:pStyle w:val="Zkladntext"/>
        <w:widowControl w:val="0"/>
        <w:numPr>
          <w:ilvl w:val="0"/>
          <w:numId w:val="46"/>
        </w:numPr>
        <w:tabs>
          <w:tab w:val="left" w:pos="284"/>
        </w:tabs>
        <w:overflowPunct/>
        <w:autoSpaceDE/>
        <w:autoSpaceDN/>
        <w:adjustRightInd/>
        <w:spacing w:after="120" w:line="276" w:lineRule="auto"/>
        <w:ind w:left="0" w:firstLine="0"/>
        <w:jc w:val="both"/>
        <w:textAlignment w:val="auto"/>
        <w:rPr>
          <w:rFonts w:cs="Tahoma"/>
          <w:szCs w:val="22"/>
        </w:rPr>
      </w:pPr>
      <w:r w:rsidRPr="008F5706">
        <w:rPr>
          <w:rFonts w:cs="Tahoma"/>
          <w:szCs w:val="22"/>
        </w:rPr>
        <w:t>Tato S</w:t>
      </w:r>
      <w:r w:rsidR="00BA40E2" w:rsidRPr="008F5706">
        <w:rPr>
          <w:rFonts w:cs="Tahoma"/>
          <w:szCs w:val="22"/>
        </w:rPr>
        <w:t>mlouva je vyhotovena ve dvou stejnopisech s platností originálu, přičemž každá smluvní strana obdrží jedno vyhotovení.</w:t>
      </w:r>
    </w:p>
    <w:p w14:paraId="469A46BC" w14:textId="285A61C7" w:rsidR="00BA40E2" w:rsidRPr="008F5706" w:rsidRDefault="00BA40E2" w:rsidP="00396FE1">
      <w:pPr>
        <w:pStyle w:val="Zkladntext"/>
        <w:widowControl w:val="0"/>
        <w:numPr>
          <w:ilvl w:val="0"/>
          <w:numId w:val="46"/>
        </w:numPr>
        <w:tabs>
          <w:tab w:val="left" w:pos="284"/>
        </w:tabs>
        <w:overflowPunct/>
        <w:autoSpaceDE/>
        <w:autoSpaceDN/>
        <w:adjustRightInd/>
        <w:spacing w:after="120" w:line="276" w:lineRule="auto"/>
        <w:ind w:left="0" w:firstLine="0"/>
        <w:jc w:val="both"/>
        <w:textAlignment w:val="auto"/>
        <w:rPr>
          <w:rFonts w:cs="Tahoma"/>
          <w:szCs w:val="22"/>
        </w:rPr>
      </w:pPr>
      <w:r w:rsidRPr="008F5706">
        <w:rPr>
          <w:rFonts w:cs="Tahoma"/>
          <w:szCs w:val="22"/>
        </w:rPr>
        <w:t>Stane</w:t>
      </w:r>
      <w:r w:rsidR="00AE13EF" w:rsidRPr="008F5706">
        <w:rPr>
          <w:rFonts w:cs="Tahoma"/>
          <w:szCs w:val="22"/>
        </w:rPr>
        <w:t>-li se některé ustanovení této S</w:t>
      </w:r>
      <w:r w:rsidRPr="008F5706">
        <w:rPr>
          <w:rFonts w:cs="Tahoma"/>
          <w:szCs w:val="22"/>
        </w:rPr>
        <w:t>mlouvy zcela nebo částečně neplatné, ostatní nedotčená ustanovení zůstávají v platnosti. V takovém případě se smluvní strany dohodly, že bez zbytečného odkladu nahradí neplatné nebo nevynutitelní ustanovení platným a vynutitelným, aby se dosáhlo v maximální možné míře v souladu s právními předpisy účinků a výsledku, jaký byl sledován nahrazovaným ustanovením.</w:t>
      </w:r>
    </w:p>
    <w:p w14:paraId="27986321" w14:textId="1660C6E3" w:rsidR="00BA40E2" w:rsidRPr="008F5706" w:rsidRDefault="00BA40E2" w:rsidP="00396FE1">
      <w:pPr>
        <w:pStyle w:val="Zkladntext"/>
        <w:widowControl w:val="0"/>
        <w:numPr>
          <w:ilvl w:val="0"/>
          <w:numId w:val="46"/>
        </w:numPr>
        <w:tabs>
          <w:tab w:val="left" w:pos="284"/>
        </w:tabs>
        <w:overflowPunct/>
        <w:autoSpaceDE/>
        <w:autoSpaceDN/>
        <w:adjustRightInd/>
        <w:spacing w:after="120" w:line="276" w:lineRule="auto"/>
        <w:ind w:left="0" w:firstLine="0"/>
        <w:jc w:val="both"/>
        <w:textAlignment w:val="auto"/>
        <w:rPr>
          <w:rFonts w:cs="Tahoma"/>
          <w:szCs w:val="22"/>
        </w:rPr>
      </w:pPr>
      <w:r w:rsidRPr="008F5706">
        <w:rPr>
          <w:rFonts w:cs="Tahoma"/>
          <w:szCs w:val="22"/>
        </w:rPr>
        <w:t>Právní vztahy v této Smlouvě výslovně neupravené řídí právním řádem České republiky, zejména příslušnými ustanoveními zákona č. 89/2012 Sb., občanský zákoník, v</w:t>
      </w:r>
      <w:r w:rsidR="00AE13EF" w:rsidRPr="008F5706">
        <w:rPr>
          <w:rFonts w:cs="Tahoma"/>
          <w:szCs w:val="22"/>
        </w:rPr>
        <w:t> platném znění</w:t>
      </w:r>
      <w:r w:rsidRPr="008F5706">
        <w:rPr>
          <w:rFonts w:cs="Tahoma"/>
          <w:szCs w:val="22"/>
        </w:rPr>
        <w:t>.</w:t>
      </w:r>
    </w:p>
    <w:p w14:paraId="1C1FB1BF" w14:textId="4047FFC3" w:rsidR="00BA40E2" w:rsidRPr="008F5706" w:rsidRDefault="00BA40E2" w:rsidP="00396FE1">
      <w:pPr>
        <w:pStyle w:val="Zkladntext"/>
        <w:widowControl w:val="0"/>
        <w:numPr>
          <w:ilvl w:val="0"/>
          <w:numId w:val="46"/>
        </w:numPr>
        <w:tabs>
          <w:tab w:val="left" w:pos="284"/>
        </w:tabs>
        <w:overflowPunct/>
        <w:autoSpaceDE/>
        <w:autoSpaceDN/>
        <w:adjustRightInd/>
        <w:spacing w:after="0" w:line="276" w:lineRule="auto"/>
        <w:ind w:left="0" w:firstLine="0"/>
        <w:jc w:val="both"/>
        <w:textAlignment w:val="auto"/>
        <w:rPr>
          <w:rFonts w:cs="Tahoma"/>
          <w:szCs w:val="22"/>
        </w:rPr>
      </w:pPr>
      <w:r w:rsidRPr="008F5706">
        <w:rPr>
          <w:rFonts w:cs="Tahoma"/>
          <w:szCs w:val="22"/>
        </w:rPr>
        <w:t>Obě smluvní</w:t>
      </w:r>
      <w:r w:rsidR="008F5706" w:rsidRPr="008F5706">
        <w:rPr>
          <w:rFonts w:cs="Tahoma"/>
          <w:szCs w:val="22"/>
        </w:rPr>
        <w:t xml:space="preserve"> strany prohlašují, že si tuto S</w:t>
      </w:r>
      <w:r w:rsidRPr="008F5706">
        <w:rPr>
          <w:rFonts w:cs="Tahoma"/>
          <w:szCs w:val="22"/>
        </w:rPr>
        <w:t>mlouvu před jejím podpisem řádně přečetly, že byla uzavřena podle jejich pravé a svobodné vůle, určitě, vážně a srozumitelně, což zástupci obou smluvních stran stvrzují svými podpisy.</w:t>
      </w:r>
    </w:p>
    <w:p w14:paraId="06F2AE2D" w14:textId="77777777" w:rsidR="00BA40E2" w:rsidRPr="008F5706" w:rsidRDefault="00BA40E2" w:rsidP="00BA40E2">
      <w:pPr>
        <w:pStyle w:val="Zkladntext"/>
        <w:spacing w:line="276" w:lineRule="auto"/>
        <w:jc w:val="both"/>
        <w:rPr>
          <w:rFonts w:cs="Tahoma"/>
          <w:szCs w:val="22"/>
        </w:rPr>
      </w:pPr>
    </w:p>
    <w:p w14:paraId="2710BA42" w14:textId="77777777" w:rsidR="00BA40E2" w:rsidRPr="008F5706" w:rsidRDefault="00BA40E2" w:rsidP="00BA40E2">
      <w:pPr>
        <w:pStyle w:val="Zkladntext"/>
        <w:spacing w:line="276" w:lineRule="auto"/>
        <w:jc w:val="both"/>
        <w:rPr>
          <w:rFonts w:cs="Tahoma"/>
          <w:szCs w:val="22"/>
        </w:rPr>
      </w:pPr>
    </w:p>
    <w:p w14:paraId="47C63B83" w14:textId="77777777" w:rsidR="00BA40E2" w:rsidRPr="008F5706" w:rsidRDefault="00BA40E2" w:rsidP="00BA40E2">
      <w:pPr>
        <w:pStyle w:val="Zkladntext"/>
        <w:spacing w:line="276" w:lineRule="auto"/>
        <w:jc w:val="both"/>
        <w:rPr>
          <w:rFonts w:cs="Tahoma"/>
          <w:szCs w:val="22"/>
        </w:rPr>
      </w:pPr>
      <w:r w:rsidRPr="008F5706">
        <w:rPr>
          <w:rFonts w:cs="Tahoma"/>
          <w:szCs w:val="22"/>
        </w:rPr>
        <w:t xml:space="preserve">V Praze dne:                        </w:t>
      </w:r>
      <w:r w:rsidRPr="008F5706">
        <w:rPr>
          <w:rFonts w:cs="Tahoma"/>
          <w:szCs w:val="22"/>
        </w:rPr>
        <w:tab/>
      </w:r>
      <w:r w:rsidRPr="008F5706">
        <w:rPr>
          <w:rFonts w:cs="Tahoma"/>
          <w:szCs w:val="22"/>
        </w:rPr>
        <w:tab/>
      </w:r>
      <w:r w:rsidRPr="008F5706">
        <w:rPr>
          <w:rFonts w:cs="Tahoma"/>
          <w:szCs w:val="22"/>
        </w:rPr>
        <w:tab/>
      </w:r>
      <w:r w:rsidRPr="008F5706">
        <w:rPr>
          <w:rFonts w:cs="Tahoma"/>
          <w:szCs w:val="22"/>
        </w:rPr>
        <w:tab/>
        <w:t>V Praze dne:</w:t>
      </w:r>
    </w:p>
    <w:p w14:paraId="1AE5D9A6" w14:textId="77777777" w:rsidR="00BA40E2" w:rsidRPr="008F5706" w:rsidRDefault="00BA40E2" w:rsidP="00BA40E2">
      <w:pPr>
        <w:pStyle w:val="Zkladntext"/>
        <w:spacing w:line="276" w:lineRule="auto"/>
        <w:ind w:firstLine="709"/>
        <w:jc w:val="both"/>
        <w:rPr>
          <w:rFonts w:cs="Tahoma"/>
          <w:szCs w:val="22"/>
        </w:rPr>
      </w:pPr>
    </w:p>
    <w:p w14:paraId="7EDB6C99" w14:textId="77777777" w:rsidR="00BA40E2" w:rsidRPr="008F5706" w:rsidRDefault="00BA40E2" w:rsidP="00BA40E2">
      <w:pPr>
        <w:pStyle w:val="Zkladntext"/>
        <w:spacing w:line="276" w:lineRule="auto"/>
        <w:ind w:firstLine="709"/>
        <w:jc w:val="both"/>
        <w:rPr>
          <w:rFonts w:cs="Tahoma"/>
          <w:szCs w:val="22"/>
        </w:rPr>
      </w:pPr>
    </w:p>
    <w:p w14:paraId="42E22BBC" w14:textId="77777777" w:rsidR="00BA40E2" w:rsidRPr="008F5706" w:rsidRDefault="00BA40E2" w:rsidP="00BA40E2">
      <w:pPr>
        <w:pStyle w:val="Zkladntext"/>
        <w:spacing w:line="276" w:lineRule="auto"/>
        <w:jc w:val="both"/>
        <w:rPr>
          <w:rFonts w:cs="Tahoma"/>
          <w:szCs w:val="22"/>
        </w:rPr>
      </w:pPr>
    </w:p>
    <w:p w14:paraId="79B49267" w14:textId="77777777" w:rsidR="00BA40E2" w:rsidRPr="008F5706" w:rsidRDefault="00BA40E2" w:rsidP="00BA40E2">
      <w:pPr>
        <w:pStyle w:val="Zkladntext"/>
        <w:spacing w:line="276" w:lineRule="auto"/>
        <w:jc w:val="both"/>
        <w:rPr>
          <w:rFonts w:cs="Tahoma"/>
          <w:szCs w:val="22"/>
        </w:rPr>
      </w:pPr>
      <w:r w:rsidRPr="008F5706">
        <w:rPr>
          <w:rFonts w:cs="Tahoma"/>
          <w:szCs w:val="22"/>
        </w:rPr>
        <w:t>………………………………..</w:t>
      </w:r>
      <w:r w:rsidRPr="008F5706">
        <w:rPr>
          <w:rFonts w:cs="Tahoma"/>
          <w:szCs w:val="22"/>
        </w:rPr>
        <w:tab/>
      </w:r>
      <w:r w:rsidRPr="008F5706">
        <w:rPr>
          <w:rFonts w:cs="Tahoma"/>
          <w:szCs w:val="22"/>
        </w:rPr>
        <w:tab/>
      </w:r>
      <w:r w:rsidRPr="008F5706">
        <w:rPr>
          <w:rFonts w:cs="Tahoma"/>
          <w:szCs w:val="22"/>
        </w:rPr>
        <w:tab/>
      </w:r>
      <w:r w:rsidRPr="008F5706">
        <w:rPr>
          <w:rFonts w:cs="Tahoma"/>
          <w:szCs w:val="22"/>
        </w:rPr>
        <w:tab/>
        <w:t>……………………………………..</w:t>
      </w:r>
    </w:p>
    <w:p w14:paraId="1F6161B8" w14:textId="77777777" w:rsidR="00BA40E2" w:rsidRPr="008F5706" w:rsidRDefault="00BA40E2" w:rsidP="00BA40E2">
      <w:pPr>
        <w:pStyle w:val="Zkladntext"/>
        <w:spacing w:line="276" w:lineRule="auto"/>
        <w:ind w:firstLine="709"/>
        <w:jc w:val="both"/>
        <w:rPr>
          <w:rFonts w:cs="Tahoma"/>
          <w:szCs w:val="22"/>
        </w:rPr>
      </w:pPr>
      <w:r w:rsidRPr="008F5706">
        <w:rPr>
          <w:rFonts w:cs="Tahoma"/>
          <w:szCs w:val="22"/>
        </w:rPr>
        <w:tab/>
        <w:t xml:space="preserve">  Partner </w:t>
      </w:r>
      <w:r w:rsidRPr="008F5706">
        <w:rPr>
          <w:rFonts w:cs="Tahoma"/>
          <w:szCs w:val="22"/>
        </w:rPr>
        <w:tab/>
      </w:r>
      <w:r w:rsidRPr="008F5706">
        <w:rPr>
          <w:rFonts w:cs="Tahoma"/>
          <w:szCs w:val="22"/>
        </w:rPr>
        <w:tab/>
      </w:r>
      <w:r w:rsidRPr="008F5706">
        <w:rPr>
          <w:rFonts w:cs="Tahoma"/>
          <w:szCs w:val="22"/>
        </w:rPr>
        <w:tab/>
      </w:r>
      <w:r w:rsidRPr="008F5706">
        <w:rPr>
          <w:rFonts w:cs="Tahoma"/>
          <w:szCs w:val="22"/>
        </w:rPr>
        <w:tab/>
        <w:t xml:space="preserve">            Dodavatel</w:t>
      </w:r>
    </w:p>
    <w:p w14:paraId="75EEA3AF" w14:textId="77777777" w:rsidR="00BA40E2" w:rsidRPr="008F5706" w:rsidRDefault="00BA40E2" w:rsidP="00BA40E2">
      <w:pPr>
        <w:pStyle w:val="Zkladntext"/>
        <w:spacing w:line="276" w:lineRule="auto"/>
        <w:jc w:val="both"/>
        <w:rPr>
          <w:szCs w:val="22"/>
        </w:rPr>
      </w:pPr>
    </w:p>
    <w:p w14:paraId="5F0A7A97" w14:textId="77777777" w:rsidR="00BA40E2" w:rsidRPr="008F5706" w:rsidRDefault="00BA40E2" w:rsidP="00BA40E2">
      <w:pPr>
        <w:spacing w:line="276" w:lineRule="auto"/>
        <w:jc w:val="both"/>
        <w:rPr>
          <w:szCs w:val="22"/>
        </w:rPr>
      </w:pPr>
    </w:p>
    <w:p w14:paraId="300DE32D" w14:textId="77777777" w:rsidR="00BA40E2" w:rsidRPr="008F5706" w:rsidRDefault="00BA40E2" w:rsidP="00BA40E2">
      <w:pPr>
        <w:pStyle w:val="Zkladntext"/>
        <w:spacing w:line="276" w:lineRule="auto"/>
        <w:ind w:left="284"/>
        <w:rPr>
          <w:rFonts w:eastAsiaTheme="majorEastAsia"/>
          <w:szCs w:val="22"/>
        </w:rPr>
      </w:pPr>
    </w:p>
    <w:sectPr w:rsidR="00BA40E2" w:rsidRPr="008F5706" w:rsidSect="00CC5E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BDD4BBA"/>
    <w:multiLevelType w:val="multilevel"/>
    <w:tmpl w:val="E8BAE50A"/>
    <w:numStyleLink w:val="VariantaA-odrky"/>
  </w:abstractNum>
  <w:abstractNum w:abstractNumId="12"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124E6230"/>
    <w:multiLevelType w:val="hybridMultilevel"/>
    <w:tmpl w:val="C130FA26"/>
    <w:lvl w:ilvl="0" w:tplc="68B66F0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130316F8"/>
    <w:multiLevelType w:val="multilevel"/>
    <w:tmpl w:val="3320A8B2"/>
    <w:numStyleLink w:val="VariantaB-odrky"/>
  </w:abstractNum>
  <w:abstractNum w:abstractNumId="15" w15:restartNumberingAfterBreak="0">
    <w:nsid w:val="13FB2F1F"/>
    <w:multiLevelType w:val="multilevel"/>
    <w:tmpl w:val="E8BAE50A"/>
    <w:numStyleLink w:val="VariantaA-odrky"/>
  </w:abstractNum>
  <w:abstractNum w:abstractNumId="16" w15:restartNumberingAfterBreak="0">
    <w:nsid w:val="15587B24"/>
    <w:multiLevelType w:val="multilevel"/>
    <w:tmpl w:val="E8BAE50A"/>
    <w:numStyleLink w:val="VariantaA-odrky"/>
  </w:abstractNum>
  <w:abstractNum w:abstractNumId="17"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8" w15:restartNumberingAfterBreak="0">
    <w:nsid w:val="191872DA"/>
    <w:multiLevelType w:val="multilevel"/>
    <w:tmpl w:val="E8A48D7C"/>
    <w:numStyleLink w:val="VariantaA-sla"/>
  </w:abstractNum>
  <w:abstractNum w:abstractNumId="19" w15:restartNumberingAfterBreak="0">
    <w:nsid w:val="19987FCF"/>
    <w:multiLevelType w:val="multilevel"/>
    <w:tmpl w:val="0D8ABE32"/>
    <w:numStyleLink w:val="VariantaB-sla"/>
  </w:abstractNum>
  <w:abstractNum w:abstractNumId="20" w15:restartNumberingAfterBreak="0">
    <w:nsid w:val="1D3068A6"/>
    <w:multiLevelType w:val="multilevel"/>
    <w:tmpl w:val="3320A8B2"/>
    <w:numStyleLink w:val="VariantaB-odrky"/>
  </w:abstractNum>
  <w:abstractNum w:abstractNumId="21" w15:restartNumberingAfterBreak="0">
    <w:nsid w:val="1D464EC2"/>
    <w:multiLevelType w:val="multilevel"/>
    <w:tmpl w:val="E8BAE50A"/>
    <w:numStyleLink w:val="VariantaA-odrky"/>
  </w:abstractNum>
  <w:abstractNum w:abstractNumId="22" w15:restartNumberingAfterBreak="0">
    <w:nsid w:val="1EAB39CE"/>
    <w:multiLevelType w:val="multilevel"/>
    <w:tmpl w:val="E8BAE50A"/>
    <w:numStyleLink w:val="VariantaA-odrky"/>
  </w:abstractNum>
  <w:abstractNum w:abstractNumId="23" w15:restartNumberingAfterBreak="0">
    <w:nsid w:val="27FB0286"/>
    <w:multiLevelType w:val="hybridMultilevel"/>
    <w:tmpl w:val="12C8DA50"/>
    <w:lvl w:ilvl="0" w:tplc="1D50FC8E">
      <w:start w:val="1"/>
      <w:numFmt w:val="decimal"/>
      <w:lvlText w:val="%1."/>
      <w:lvlJc w:val="left"/>
      <w:pPr>
        <w:ind w:left="720" w:hanging="360"/>
      </w:pPr>
      <w:rPr>
        <w:rFonts w:eastAsia="Times New Roman" w:cs="Tahom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89A5EA2"/>
    <w:multiLevelType w:val="multilevel"/>
    <w:tmpl w:val="E8BAE50A"/>
    <w:numStyleLink w:val="VariantaA-odrky"/>
  </w:abstractNum>
  <w:abstractNum w:abstractNumId="25" w15:restartNumberingAfterBreak="0">
    <w:nsid w:val="28AB573E"/>
    <w:multiLevelType w:val="multilevel"/>
    <w:tmpl w:val="3320A8B2"/>
    <w:numStyleLink w:val="VariantaB-odrky"/>
  </w:abstractNum>
  <w:abstractNum w:abstractNumId="26" w15:restartNumberingAfterBreak="0">
    <w:nsid w:val="2A5F2D39"/>
    <w:multiLevelType w:val="multilevel"/>
    <w:tmpl w:val="E8BAE50A"/>
    <w:numStyleLink w:val="VariantaA-odrky"/>
  </w:abstractNum>
  <w:abstractNum w:abstractNumId="27" w15:restartNumberingAfterBreak="0">
    <w:nsid w:val="2DBB2CE6"/>
    <w:multiLevelType w:val="multilevel"/>
    <w:tmpl w:val="E8BAE50A"/>
    <w:numStyleLink w:val="VariantaA-odrky"/>
  </w:abstractNum>
  <w:abstractNum w:abstractNumId="28" w15:restartNumberingAfterBreak="0">
    <w:nsid w:val="30863A7A"/>
    <w:multiLevelType w:val="hybridMultilevel"/>
    <w:tmpl w:val="751C19AA"/>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55131EF"/>
    <w:multiLevelType w:val="multilevel"/>
    <w:tmpl w:val="E8A48D7C"/>
    <w:numStyleLink w:val="VariantaA-sla"/>
  </w:abstractNum>
  <w:abstractNum w:abstractNumId="30" w15:restartNumberingAfterBreak="0">
    <w:nsid w:val="3C653B51"/>
    <w:multiLevelType w:val="hybridMultilevel"/>
    <w:tmpl w:val="9DAA2706"/>
    <w:lvl w:ilvl="0" w:tplc="71484446">
      <w:start w:val="1"/>
      <w:numFmt w:val="decimal"/>
      <w:lvlText w:val="%1."/>
      <w:lvlJc w:val="left"/>
      <w:pPr>
        <w:ind w:left="1004" w:hanging="360"/>
      </w:pPr>
      <w:rPr>
        <w:rFonts w:hint="default"/>
        <w:color w:val="00000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47780921"/>
    <w:multiLevelType w:val="hybridMultilevel"/>
    <w:tmpl w:val="67BADF10"/>
    <w:lvl w:ilvl="0" w:tplc="CAD62896">
      <w:start w:val="1"/>
      <w:numFmt w:val="decimal"/>
      <w:lvlText w:val="%1."/>
      <w:lvlJc w:val="left"/>
      <w:pPr>
        <w:ind w:left="1080" w:hanging="360"/>
      </w:pPr>
      <w:rPr>
        <w:rFonts w:eastAsia="Times New Roman" w:cs="Tahoma"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4A306389"/>
    <w:multiLevelType w:val="multilevel"/>
    <w:tmpl w:val="E8BAE50A"/>
    <w:numStyleLink w:val="VariantaA-odrky"/>
  </w:abstractNum>
  <w:abstractNum w:abstractNumId="33" w15:restartNumberingAfterBreak="0">
    <w:nsid w:val="4D2F38DF"/>
    <w:multiLevelType w:val="hybridMultilevel"/>
    <w:tmpl w:val="DF30CD6A"/>
    <w:lvl w:ilvl="0" w:tplc="D8C8EAC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3290926"/>
    <w:multiLevelType w:val="multilevel"/>
    <w:tmpl w:val="E8BAE50A"/>
    <w:numStyleLink w:val="VariantaA-odrky"/>
  </w:abstractNum>
  <w:abstractNum w:abstractNumId="36" w15:restartNumberingAfterBreak="0">
    <w:nsid w:val="533902EA"/>
    <w:multiLevelType w:val="multilevel"/>
    <w:tmpl w:val="E8BAE50A"/>
    <w:numStyleLink w:val="VariantaA-odrky"/>
  </w:abstractNum>
  <w:abstractNum w:abstractNumId="37" w15:restartNumberingAfterBreak="0">
    <w:nsid w:val="571C11E2"/>
    <w:multiLevelType w:val="multilevel"/>
    <w:tmpl w:val="E8A48D7C"/>
    <w:numStyleLink w:val="VariantaA-sla"/>
  </w:abstractNum>
  <w:abstractNum w:abstractNumId="38"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9" w15:restartNumberingAfterBreak="0">
    <w:nsid w:val="5AF35F43"/>
    <w:multiLevelType w:val="multilevel"/>
    <w:tmpl w:val="0D8ABE32"/>
    <w:numStyleLink w:val="VariantaB-sla"/>
  </w:abstractNum>
  <w:abstractNum w:abstractNumId="40" w15:restartNumberingAfterBreak="0">
    <w:nsid w:val="694B20A2"/>
    <w:multiLevelType w:val="hybridMultilevel"/>
    <w:tmpl w:val="23C21238"/>
    <w:lvl w:ilvl="0" w:tplc="D8C8EAC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1" w15:restartNumberingAfterBreak="0">
    <w:nsid w:val="74EC49C9"/>
    <w:multiLevelType w:val="hybridMultilevel"/>
    <w:tmpl w:val="F39E944A"/>
    <w:lvl w:ilvl="0" w:tplc="1D50FC8E">
      <w:start w:val="1"/>
      <w:numFmt w:val="decimal"/>
      <w:lvlText w:val="%1."/>
      <w:lvlJc w:val="left"/>
      <w:pPr>
        <w:ind w:left="720" w:hanging="360"/>
      </w:pPr>
      <w:rPr>
        <w:rFonts w:eastAsia="Times New Roman" w:cs="Tahom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3B279B"/>
    <w:multiLevelType w:val="hybridMultilevel"/>
    <w:tmpl w:val="EFBC7E50"/>
    <w:lvl w:ilvl="0" w:tplc="D8C8EAC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3" w15:restartNumberingAfterBreak="0">
    <w:nsid w:val="7840793C"/>
    <w:multiLevelType w:val="hybridMultilevel"/>
    <w:tmpl w:val="B0C05BF8"/>
    <w:lvl w:ilvl="0" w:tplc="74DEF586">
      <w:start w:val="1"/>
      <w:numFmt w:val="decimal"/>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44" w15:restartNumberingAfterBreak="0">
    <w:nsid w:val="79477DAD"/>
    <w:multiLevelType w:val="hybridMultilevel"/>
    <w:tmpl w:val="BB4836E0"/>
    <w:lvl w:ilvl="0" w:tplc="9BE429FA">
      <w:start w:val="1"/>
      <w:numFmt w:val="lowerLetter"/>
      <w:lvlText w:val="%1)"/>
      <w:lvlJc w:val="left"/>
      <w:pPr>
        <w:ind w:left="1080" w:hanging="360"/>
      </w:pPr>
      <w:rPr>
        <w:rFonts w:eastAsia="Times New Roman" w:cs="Tahoma"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7"/>
  </w:num>
  <w:num w:numId="2">
    <w:abstractNumId w:val="38"/>
  </w:num>
  <w:num w:numId="3">
    <w:abstractNumId w:val="20"/>
  </w:num>
  <w:num w:numId="4">
    <w:abstractNumId w:val="15"/>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34"/>
  </w:num>
  <w:num w:numId="7">
    <w:abstractNumId w:val="7"/>
  </w:num>
  <w:num w:numId="8">
    <w:abstractNumId w:val="37"/>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6"/>
  </w:num>
  <w:num w:numId="14">
    <w:abstractNumId w:val="4"/>
  </w:num>
  <w:num w:numId="15">
    <w:abstractNumId w:val="3"/>
  </w:num>
  <w:num w:numId="16">
    <w:abstractNumId w:val="34"/>
  </w:num>
  <w:num w:numId="17">
    <w:abstractNumId w:val="21"/>
  </w:num>
  <w:num w:numId="18">
    <w:abstractNumId w:val="6"/>
  </w:num>
  <w:num w:numId="19">
    <w:abstractNumId w:val="12"/>
  </w:num>
  <w:num w:numId="20">
    <w:abstractNumId w:val="8"/>
  </w:num>
  <w:num w:numId="21">
    <w:abstractNumId w:val="29"/>
  </w:num>
  <w:num w:numId="22">
    <w:abstractNumId w:val="10"/>
  </w:num>
  <w:num w:numId="23">
    <w:abstractNumId w:val="22"/>
  </w:num>
  <w:num w:numId="24">
    <w:abstractNumId w:val="11"/>
  </w:num>
  <w:num w:numId="25">
    <w:abstractNumId w:val="16"/>
  </w:num>
  <w:num w:numId="26">
    <w:abstractNumId w:val="32"/>
  </w:num>
  <w:num w:numId="27">
    <w:abstractNumId w:val="27"/>
  </w:num>
  <w:num w:numId="28">
    <w:abstractNumId w:val="26"/>
  </w:num>
  <w:num w:numId="29">
    <w:abstractNumId w:val="19"/>
  </w:num>
  <w:num w:numId="30">
    <w:abstractNumId w:val="35"/>
  </w:num>
  <w:num w:numId="31">
    <w:abstractNumId w:val="39"/>
  </w:num>
  <w:num w:numId="32">
    <w:abstractNumId w:val="24"/>
  </w:num>
  <w:num w:numId="33">
    <w:abstractNumId w:val="18"/>
  </w:num>
  <w:num w:numId="34">
    <w:abstractNumId w:val="9"/>
  </w:num>
  <w:num w:numId="35">
    <w:abstractNumId w:val="25"/>
  </w:num>
  <w:num w:numId="36">
    <w:abstractNumId w:val="14"/>
  </w:num>
  <w:num w:numId="37">
    <w:abstractNumId w:val="23"/>
  </w:num>
  <w:num w:numId="38">
    <w:abstractNumId w:val="44"/>
  </w:num>
  <w:num w:numId="39">
    <w:abstractNumId w:val="31"/>
  </w:num>
  <w:num w:numId="40">
    <w:abstractNumId w:val="13"/>
  </w:num>
  <w:num w:numId="41">
    <w:abstractNumId w:val="41"/>
  </w:num>
  <w:num w:numId="42">
    <w:abstractNumId w:val="40"/>
  </w:num>
  <w:num w:numId="43">
    <w:abstractNumId w:val="42"/>
  </w:num>
  <w:num w:numId="44">
    <w:abstractNumId w:val="30"/>
  </w:num>
  <w:num w:numId="45">
    <w:abstractNumId w:val="33"/>
  </w:num>
  <w:num w:numId="46">
    <w:abstractNumId w:val="43"/>
  </w:num>
  <w:num w:numId="47">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F1"/>
    <w:rsid w:val="00015306"/>
    <w:rsid w:val="0002674B"/>
    <w:rsid w:val="0004162E"/>
    <w:rsid w:val="0004786B"/>
    <w:rsid w:val="00063405"/>
    <w:rsid w:val="000809B9"/>
    <w:rsid w:val="00090B40"/>
    <w:rsid w:val="00095A0A"/>
    <w:rsid w:val="000B1B3D"/>
    <w:rsid w:val="000B286F"/>
    <w:rsid w:val="000C4CAF"/>
    <w:rsid w:val="001055AD"/>
    <w:rsid w:val="00121485"/>
    <w:rsid w:val="0018051B"/>
    <w:rsid w:val="001847F8"/>
    <w:rsid w:val="001B1E4A"/>
    <w:rsid w:val="001D27C0"/>
    <w:rsid w:val="001E74C3"/>
    <w:rsid w:val="001F6937"/>
    <w:rsid w:val="00220DE3"/>
    <w:rsid w:val="0025290D"/>
    <w:rsid w:val="00260372"/>
    <w:rsid w:val="00262DAF"/>
    <w:rsid w:val="00285AED"/>
    <w:rsid w:val="002E2442"/>
    <w:rsid w:val="002F0A67"/>
    <w:rsid w:val="002F0E8C"/>
    <w:rsid w:val="00310FA0"/>
    <w:rsid w:val="00320481"/>
    <w:rsid w:val="003250CB"/>
    <w:rsid w:val="00331ED1"/>
    <w:rsid w:val="00363201"/>
    <w:rsid w:val="0039063C"/>
    <w:rsid w:val="00396FE1"/>
    <w:rsid w:val="003A46A8"/>
    <w:rsid w:val="003A51AA"/>
    <w:rsid w:val="003B565A"/>
    <w:rsid w:val="003D00A1"/>
    <w:rsid w:val="0041427F"/>
    <w:rsid w:val="004509E5"/>
    <w:rsid w:val="0047132E"/>
    <w:rsid w:val="00486FB9"/>
    <w:rsid w:val="004B0FA4"/>
    <w:rsid w:val="004C212A"/>
    <w:rsid w:val="00500232"/>
    <w:rsid w:val="00504668"/>
    <w:rsid w:val="005455E1"/>
    <w:rsid w:val="005502BD"/>
    <w:rsid w:val="00556787"/>
    <w:rsid w:val="00564EF1"/>
    <w:rsid w:val="00577683"/>
    <w:rsid w:val="005C2560"/>
    <w:rsid w:val="005F7585"/>
    <w:rsid w:val="00605759"/>
    <w:rsid w:val="00622C96"/>
    <w:rsid w:val="00650C6C"/>
    <w:rsid w:val="00652FE6"/>
    <w:rsid w:val="00667898"/>
    <w:rsid w:val="006C62E1"/>
    <w:rsid w:val="006D04EF"/>
    <w:rsid w:val="006E2FB0"/>
    <w:rsid w:val="007102D2"/>
    <w:rsid w:val="00713948"/>
    <w:rsid w:val="00753A27"/>
    <w:rsid w:val="00760F5F"/>
    <w:rsid w:val="0079342A"/>
    <w:rsid w:val="007B4949"/>
    <w:rsid w:val="007C4AA9"/>
    <w:rsid w:val="007F0BC6"/>
    <w:rsid w:val="007F49F4"/>
    <w:rsid w:val="00831374"/>
    <w:rsid w:val="00853E5F"/>
    <w:rsid w:val="00857580"/>
    <w:rsid w:val="00865238"/>
    <w:rsid w:val="008667BF"/>
    <w:rsid w:val="0087022B"/>
    <w:rsid w:val="00895645"/>
    <w:rsid w:val="008C3782"/>
    <w:rsid w:val="008D0FAE"/>
    <w:rsid w:val="008D4A32"/>
    <w:rsid w:val="008D593A"/>
    <w:rsid w:val="008E7760"/>
    <w:rsid w:val="008F5706"/>
    <w:rsid w:val="00903DCE"/>
    <w:rsid w:val="00922001"/>
    <w:rsid w:val="00922C17"/>
    <w:rsid w:val="00942DDD"/>
    <w:rsid w:val="009516A8"/>
    <w:rsid w:val="0097705C"/>
    <w:rsid w:val="009E0587"/>
    <w:rsid w:val="009F393D"/>
    <w:rsid w:val="009F65CD"/>
    <w:rsid w:val="009F7F46"/>
    <w:rsid w:val="00A000BF"/>
    <w:rsid w:val="00A0587E"/>
    <w:rsid w:val="00A2135D"/>
    <w:rsid w:val="00A275BC"/>
    <w:rsid w:val="00A464B4"/>
    <w:rsid w:val="00A63D6B"/>
    <w:rsid w:val="00A84B52"/>
    <w:rsid w:val="00A8660F"/>
    <w:rsid w:val="00A95C48"/>
    <w:rsid w:val="00AA7056"/>
    <w:rsid w:val="00AB31C6"/>
    <w:rsid w:val="00AB523B"/>
    <w:rsid w:val="00AD7E40"/>
    <w:rsid w:val="00AE13EF"/>
    <w:rsid w:val="00B1477A"/>
    <w:rsid w:val="00B20993"/>
    <w:rsid w:val="00B42E96"/>
    <w:rsid w:val="00B50EE6"/>
    <w:rsid w:val="00B52185"/>
    <w:rsid w:val="00B9753A"/>
    <w:rsid w:val="00BA40E2"/>
    <w:rsid w:val="00BB479C"/>
    <w:rsid w:val="00BC4720"/>
    <w:rsid w:val="00BD75A2"/>
    <w:rsid w:val="00C2017A"/>
    <w:rsid w:val="00C2026B"/>
    <w:rsid w:val="00C20470"/>
    <w:rsid w:val="00C34B2F"/>
    <w:rsid w:val="00C4049D"/>
    <w:rsid w:val="00C4641B"/>
    <w:rsid w:val="00C6690E"/>
    <w:rsid w:val="00C703C5"/>
    <w:rsid w:val="00C805F2"/>
    <w:rsid w:val="00CC5E40"/>
    <w:rsid w:val="00D1569F"/>
    <w:rsid w:val="00D20B1E"/>
    <w:rsid w:val="00D22462"/>
    <w:rsid w:val="00D230AC"/>
    <w:rsid w:val="00D32489"/>
    <w:rsid w:val="00D3349E"/>
    <w:rsid w:val="00D73CB8"/>
    <w:rsid w:val="00DA7591"/>
    <w:rsid w:val="00DF14DD"/>
    <w:rsid w:val="00E32798"/>
    <w:rsid w:val="00E51C91"/>
    <w:rsid w:val="00E667C1"/>
    <w:rsid w:val="00E82A8C"/>
    <w:rsid w:val="00EC3F88"/>
    <w:rsid w:val="00ED1A54"/>
    <w:rsid w:val="00ED36D8"/>
    <w:rsid w:val="00EE6BD7"/>
    <w:rsid w:val="00F0689D"/>
    <w:rsid w:val="00F12CF1"/>
    <w:rsid w:val="00F90620"/>
    <w:rsid w:val="00FA3299"/>
    <w:rsid w:val="00FB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719A"/>
  <w15:chartTrackingRefBased/>
  <w15:docId w15:val="{E24B12D6-AE6D-4A58-B112-728E7BDE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2CF1"/>
    <w:pPr>
      <w:overflowPunct w:val="0"/>
      <w:autoSpaceDE w:val="0"/>
      <w:autoSpaceDN w:val="0"/>
      <w:adjustRightInd w:val="0"/>
      <w:spacing w:after="160" w:line="340" w:lineRule="exact"/>
      <w:textAlignment w:val="baseline"/>
    </w:pPr>
    <w:rPr>
      <w:rFonts w:eastAsia="Times New Roman" w:cs="Times New Roman"/>
      <w:szCs w:val="20"/>
      <w:lang w:eastAsia="cs-CZ"/>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spacing w:after="0"/>
    </w:pPr>
  </w:style>
  <w:style w:type="paragraph" w:styleId="slovanseznam2">
    <w:name w:val="List Number 2"/>
    <w:aliases w:val="Číslovaný seznam A 2"/>
    <w:basedOn w:val="Normln"/>
    <w:uiPriority w:val="15"/>
    <w:qFormat/>
    <w:rsid w:val="001B1E4A"/>
    <w:pPr>
      <w:numPr>
        <w:ilvl w:val="1"/>
        <w:numId w:val="33"/>
      </w:numPr>
      <w:spacing w:after="0"/>
      <w:contextualSpacing/>
    </w:pPr>
  </w:style>
  <w:style w:type="paragraph" w:styleId="slovanseznam3">
    <w:name w:val="List Number 3"/>
    <w:aliases w:val="Číslovaný seznam A 3"/>
    <w:basedOn w:val="Normln"/>
    <w:uiPriority w:val="15"/>
    <w:qFormat/>
    <w:rsid w:val="001B1E4A"/>
    <w:pPr>
      <w:numPr>
        <w:ilvl w:val="2"/>
        <w:numId w:val="33"/>
      </w:numPr>
      <w:spacing w:after="0"/>
      <w:contextualSpacing/>
    </w:pPr>
  </w:style>
  <w:style w:type="paragraph" w:styleId="slovanseznam4">
    <w:name w:val="List Number 4"/>
    <w:aliases w:val="Číslovaný seznam A 4"/>
    <w:basedOn w:val="Normln"/>
    <w:uiPriority w:val="15"/>
    <w:qFormat/>
    <w:rsid w:val="001B1E4A"/>
    <w:pPr>
      <w:numPr>
        <w:ilvl w:val="3"/>
        <w:numId w:val="33"/>
      </w:numPr>
      <w:spacing w:after="0"/>
      <w:contextualSpacing/>
    </w:pPr>
  </w:style>
  <w:style w:type="paragraph" w:styleId="slovanseznam5">
    <w:name w:val="List Number 5"/>
    <w:aliases w:val="Číslovaný seznam A 5"/>
    <w:basedOn w:val="Normln"/>
    <w:uiPriority w:val="15"/>
    <w:qFormat/>
    <w:rsid w:val="001B1E4A"/>
    <w:pPr>
      <w:numPr>
        <w:ilvl w:val="4"/>
        <w:numId w:val="33"/>
      </w:numPr>
      <w:spacing w:after="0"/>
      <w:contextualSpacing/>
    </w:pPr>
  </w:style>
  <w:style w:type="paragraph" w:customStyle="1" w:styleId="slovanseznamB">
    <w:name w:val="Číslovaný seznam B"/>
    <w:basedOn w:val="Normln"/>
    <w:uiPriority w:val="16"/>
    <w:qFormat/>
    <w:rsid w:val="009F7F46"/>
    <w:pPr>
      <w:numPr>
        <w:numId w:val="31"/>
      </w:numPr>
      <w:spacing w:after="0"/>
    </w:pPr>
  </w:style>
  <w:style w:type="paragraph" w:customStyle="1" w:styleId="slovanseznamB2">
    <w:name w:val="Číslovaný seznam B 2"/>
    <w:basedOn w:val="Normln"/>
    <w:uiPriority w:val="16"/>
    <w:qFormat/>
    <w:rsid w:val="009F7F46"/>
    <w:pPr>
      <w:numPr>
        <w:ilvl w:val="1"/>
        <w:numId w:val="31"/>
      </w:numPr>
      <w:spacing w:after="0"/>
    </w:pPr>
  </w:style>
  <w:style w:type="paragraph" w:customStyle="1" w:styleId="slovanseznamB3">
    <w:name w:val="Číslovaný seznam B 3"/>
    <w:basedOn w:val="Normln"/>
    <w:uiPriority w:val="16"/>
    <w:qFormat/>
    <w:rsid w:val="009F7F46"/>
    <w:pPr>
      <w:numPr>
        <w:ilvl w:val="2"/>
        <w:numId w:val="31"/>
      </w:numPr>
      <w:spacing w:after="0"/>
    </w:pPr>
  </w:style>
  <w:style w:type="paragraph" w:customStyle="1" w:styleId="slovanseznamB4">
    <w:name w:val="Číslovaný seznam B 4"/>
    <w:basedOn w:val="Normln"/>
    <w:uiPriority w:val="16"/>
    <w:qFormat/>
    <w:rsid w:val="009F7F46"/>
    <w:pPr>
      <w:numPr>
        <w:ilvl w:val="3"/>
        <w:numId w:val="31"/>
      </w:numPr>
      <w:spacing w:after="0"/>
    </w:pPr>
  </w:style>
  <w:style w:type="paragraph" w:customStyle="1" w:styleId="slovanseznamB5">
    <w:name w:val="Číslovaný seznam B 5"/>
    <w:basedOn w:val="Normln"/>
    <w:uiPriority w:val="16"/>
    <w:qFormat/>
    <w:rsid w:val="009F7F46"/>
    <w:pPr>
      <w:numPr>
        <w:ilvl w:val="4"/>
        <w:numId w:val="31"/>
      </w:numPr>
      <w:spacing w:after="0"/>
    </w:pPr>
  </w:style>
  <w:style w:type="paragraph" w:styleId="Seznamsodrkami3">
    <w:name w:val="List Bullet 3"/>
    <w:aliases w:val="Seznam s odrážkami A 3"/>
    <w:basedOn w:val="Normln"/>
    <w:uiPriority w:val="10"/>
    <w:qFormat/>
    <w:rsid w:val="00262DAF"/>
    <w:pPr>
      <w:numPr>
        <w:ilvl w:val="2"/>
        <w:numId w:val="32"/>
      </w:numPr>
      <w:spacing w:after="0"/>
      <w:contextualSpacing/>
    </w:pPr>
  </w:style>
  <w:style w:type="paragraph" w:styleId="Seznamsodrkami4">
    <w:name w:val="List Bullet 4"/>
    <w:aliases w:val="Seznam s odrážkami A 4"/>
    <w:basedOn w:val="Normln"/>
    <w:uiPriority w:val="10"/>
    <w:qFormat/>
    <w:rsid w:val="00262DAF"/>
    <w:pPr>
      <w:numPr>
        <w:ilvl w:val="3"/>
        <w:numId w:val="32"/>
      </w:numPr>
      <w:spacing w:after="0"/>
      <w:contextualSpacing/>
    </w:pPr>
  </w:style>
  <w:style w:type="paragraph" w:styleId="Seznamsodrkami5">
    <w:name w:val="List Bullet 5"/>
    <w:aliases w:val="Seznam s odrážkami A 5"/>
    <w:basedOn w:val="Normln"/>
    <w:uiPriority w:val="10"/>
    <w:qFormat/>
    <w:rsid w:val="00262DAF"/>
    <w:pPr>
      <w:numPr>
        <w:ilvl w:val="4"/>
        <w:numId w:val="32"/>
      </w:numPr>
      <w:spacing w:after="0"/>
    </w:pPr>
  </w:style>
  <w:style w:type="paragraph" w:styleId="Seznamsodrkami">
    <w:name w:val="List Bullet"/>
    <w:aliases w:val="Seznam s odrážkami A"/>
    <w:basedOn w:val="Normln"/>
    <w:uiPriority w:val="10"/>
    <w:qFormat/>
    <w:rsid w:val="00262DAF"/>
    <w:pPr>
      <w:numPr>
        <w:numId w:val="32"/>
      </w:numPr>
      <w:spacing w:after="0"/>
      <w:contextualSpacing/>
    </w:pPr>
  </w:style>
  <w:style w:type="paragraph" w:styleId="Seznamsodrkami2">
    <w:name w:val="List Bullet 2"/>
    <w:aliases w:val="Seznam s odrážkami A 2"/>
    <w:basedOn w:val="Normln"/>
    <w:uiPriority w:val="10"/>
    <w:qFormat/>
    <w:rsid w:val="00262DAF"/>
    <w:pPr>
      <w:numPr>
        <w:ilvl w:val="1"/>
        <w:numId w:val="32"/>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titul">
    <w:name w:val="Subtitle"/>
    <w:basedOn w:val="Normln"/>
    <w:next w:val="Normln"/>
    <w:link w:val="PodtitulChar"/>
    <w:uiPriority w:val="5"/>
    <w:qFormat/>
    <w:rsid w:val="008D4A32"/>
    <w:pPr>
      <w:numPr>
        <w:ilvl w:val="1"/>
      </w:numPr>
    </w:pPr>
    <w:rPr>
      <w:rFonts w:eastAsiaTheme="minorEastAsia"/>
      <w:color w:val="595959" w:themeColor="text1" w:themeTint="A6"/>
      <w:spacing w:val="15"/>
      <w:sz w:val="28"/>
    </w:rPr>
  </w:style>
  <w:style w:type="character" w:customStyle="1" w:styleId="PodtitulChar">
    <w:name w:val="Podtitul Char"/>
    <w:basedOn w:val="Standardnpsmoodstavce"/>
    <w:link w:val="Podtitul"/>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rsid w:val="009F393D"/>
  </w:style>
  <w:style w:type="character" w:customStyle="1" w:styleId="ZkladntextChar">
    <w:name w:val="Základní text Char"/>
    <w:basedOn w:val="Standardnpsmoodstavce"/>
    <w:link w:val="Zkladntext"/>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spacing w:after="0"/>
    </w:pPr>
  </w:style>
  <w:style w:type="paragraph" w:customStyle="1" w:styleId="SeznamsodrkamiB2">
    <w:name w:val="Seznam s odrážkami B 2"/>
    <w:basedOn w:val="Normln"/>
    <w:uiPriority w:val="11"/>
    <w:qFormat/>
    <w:rsid w:val="007102D2"/>
    <w:pPr>
      <w:numPr>
        <w:ilvl w:val="1"/>
        <w:numId w:val="36"/>
      </w:numPr>
      <w:spacing w:after="0"/>
    </w:pPr>
  </w:style>
  <w:style w:type="paragraph" w:customStyle="1" w:styleId="SeznamsodrkamiB3">
    <w:name w:val="Seznam s odrážkami B 3"/>
    <w:basedOn w:val="Normln"/>
    <w:uiPriority w:val="11"/>
    <w:qFormat/>
    <w:rsid w:val="007102D2"/>
    <w:pPr>
      <w:numPr>
        <w:ilvl w:val="2"/>
        <w:numId w:val="36"/>
      </w:numPr>
      <w:spacing w:after="0"/>
    </w:pPr>
  </w:style>
  <w:style w:type="paragraph" w:customStyle="1" w:styleId="SeznamsodrkamiB4">
    <w:name w:val="Seznam s odrážkami B 4"/>
    <w:basedOn w:val="Normln"/>
    <w:uiPriority w:val="11"/>
    <w:qFormat/>
    <w:rsid w:val="007102D2"/>
    <w:pPr>
      <w:numPr>
        <w:ilvl w:val="3"/>
        <w:numId w:val="36"/>
      </w:numPr>
      <w:spacing w:after="0"/>
    </w:pPr>
  </w:style>
  <w:style w:type="paragraph" w:customStyle="1" w:styleId="SeznamsodrkamiB5">
    <w:name w:val="Seznam s odrážkami B 5"/>
    <w:basedOn w:val="Normln"/>
    <w:uiPriority w:val="11"/>
    <w:qFormat/>
    <w:rsid w:val="007102D2"/>
    <w:pPr>
      <w:numPr>
        <w:ilvl w:val="4"/>
        <w:numId w:val="36"/>
      </w:numPr>
      <w:spacing w:after="0"/>
    </w:pPr>
  </w:style>
  <w:style w:type="character" w:customStyle="1" w:styleId="nowrap">
    <w:name w:val="nowrap"/>
    <w:basedOn w:val="Standardnpsmoodstavce"/>
    <w:rsid w:val="0087022B"/>
  </w:style>
  <w:style w:type="character" w:styleId="Odkaznakoment">
    <w:name w:val="annotation reference"/>
    <w:basedOn w:val="Standardnpsmoodstavce"/>
    <w:uiPriority w:val="99"/>
    <w:semiHidden/>
    <w:unhideWhenUsed/>
    <w:rsid w:val="006C62E1"/>
    <w:rPr>
      <w:sz w:val="16"/>
      <w:szCs w:val="16"/>
    </w:rPr>
  </w:style>
  <w:style w:type="paragraph" w:styleId="Textkomente">
    <w:name w:val="annotation text"/>
    <w:basedOn w:val="Normln"/>
    <w:link w:val="TextkomenteChar"/>
    <w:uiPriority w:val="99"/>
    <w:semiHidden/>
    <w:unhideWhenUsed/>
    <w:rsid w:val="006C62E1"/>
    <w:pPr>
      <w:spacing w:line="240" w:lineRule="auto"/>
    </w:pPr>
    <w:rPr>
      <w:sz w:val="20"/>
    </w:rPr>
  </w:style>
  <w:style w:type="character" w:customStyle="1" w:styleId="TextkomenteChar">
    <w:name w:val="Text komentáře Char"/>
    <w:basedOn w:val="Standardnpsmoodstavce"/>
    <w:link w:val="Textkomente"/>
    <w:uiPriority w:val="99"/>
    <w:semiHidden/>
    <w:rsid w:val="006C62E1"/>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C62E1"/>
    <w:rPr>
      <w:b/>
      <w:bCs/>
    </w:rPr>
  </w:style>
  <w:style w:type="character" w:customStyle="1" w:styleId="PedmtkomenteChar">
    <w:name w:val="Předmět komentáře Char"/>
    <w:basedOn w:val="TextkomenteChar"/>
    <w:link w:val="Pedmtkomente"/>
    <w:uiPriority w:val="99"/>
    <w:semiHidden/>
    <w:rsid w:val="006C62E1"/>
    <w:rPr>
      <w:rFonts w:eastAsia="Times New Roman" w:cs="Times New Roman"/>
      <w:b/>
      <w:bCs/>
      <w:sz w:val="20"/>
      <w:szCs w:val="20"/>
      <w:lang w:eastAsia="cs-CZ"/>
    </w:rPr>
  </w:style>
  <w:style w:type="paragraph" w:styleId="Revize">
    <w:name w:val="Revision"/>
    <w:hidden/>
    <w:uiPriority w:val="99"/>
    <w:semiHidden/>
    <w:rsid w:val="006C62E1"/>
    <w:pPr>
      <w:spacing w:after="0" w:line="240" w:lineRule="auto"/>
    </w:pPr>
    <w:rPr>
      <w:rFonts w:eastAsia="Times New Roman" w:cs="Times New Roman"/>
      <w:szCs w:val="20"/>
      <w:lang w:eastAsia="cs-CZ"/>
    </w:rPr>
  </w:style>
  <w:style w:type="paragraph" w:styleId="Textbubliny">
    <w:name w:val="Balloon Text"/>
    <w:basedOn w:val="Normln"/>
    <w:link w:val="TextbublinyChar"/>
    <w:uiPriority w:val="99"/>
    <w:semiHidden/>
    <w:unhideWhenUsed/>
    <w:rsid w:val="006C62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62E1"/>
    <w:rPr>
      <w:rFonts w:ascii="Segoe UI" w:eastAsia="Times New Roman" w:hAnsi="Segoe UI" w:cs="Segoe UI"/>
      <w:sz w:val="18"/>
      <w:szCs w:val="18"/>
      <w:lang w:eastAsia="cs-CZ"/>
    </w:rPr>
  </w:style>
  <w:style w:type="paragraph" w:customStyle="1" w:styleId="Style4">
    <w:name w:val="Style4"/>
    <w:basedOn w:val="Normln"/>
    <w:uiPriority w:val="99"/>
    <w:rsid w:val="00BA40E2"/>
    <w:pPr>
      <w:widowControl w:val="0"/>
      <w:overflowPunct/>
      <w:spacing w:after="0" w:line="281" w:lineRule="exact"/>
      <w:jc w:val="both"/>
      <w:textAlignment w:val="auto"/>
    </w:pPr>
    <w:rPr>
      <w:rFonts w:ascii="Georgia" w:hAnsi="Georgia"/>
      <w:sz w:val="24"/>
      <w:szCs w:val="24"/>
    </w:rPr>
  </w:style>
  <w:style w:type="character" w:customStyle="1" w:styleId="FontStyle15">
    <w:name w:val="Font Style15"/>
    <w:uiPriority w:val="99"/>
    <w:rsid w:val="00BA40E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42338-6749-4393-805F-B860754D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7134DD1C.dotm</Template>
  <TotalTime>1</TotalTime>
  <Pages>4</Pages>
  <Words>1431</Words>
  <Characters>8449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Normal MPO B&amp;W</vt:lpstr>
    </vt:vector>
  </TitlesOfParts>
  <Company>Ministerstvo průmyslu a obchodu</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MPO B&amp;W</dc:title>
  <dc:subject>Prázdná šablona obsahující styly v černobílém provedení</dc:subject>
  <dc:creator>Knöpfelmacherová Gabriela</dc:creator>
  <cp:keywords/>
  <dc:description/>
  <cp:lastModifiedBy>Knöpfelmacherová Gabriela</cp:lastModifiedBy>
  <cp:revision>2</cp:revision>
  <cp:lastPrinted>2017-06-07T07:42:00Z</cp:lastPrinted>
  <dcterms:created xsi:type="dcterms:W3CDTF">2017-12-14T14:11:00Z</dcterms:created>
  <dcterms:modified xsi:type="dcterms:W3CDTF">2017-12-14T14:11:00Z</dcterms:modified>
</cp:coreProperties>
</file>