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98" w:rsidRPr="002378A7" w:rsidRDefault="00ED1E98" w:rsidP="00ED1E98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2378A7">
        <w:rPr>
          <w:rFonts w:ascii="Arial" w:hAnsi="Arial" w:cs="Arial"/>
          <w:b/>
          <w:sz w:val="28"/>
          <w:szCs w:val="28"/>
        </w:rPr>
        <w:t xml:space="preserve">odatek č. </w:t>
      </w:r>
      <w:r w:rsidRPr="007F7C69">
        <w:rPr>
          <w:rFonts w:ascii="Arial" w:hAnsi="Arial" w:cs="Arial"/>
          <w:b/>
          <w:noProof/>
          <w:sz w:val="28"/>
          <w:szCs w:val="28"/>
        </w:rPr>
        <w:t>10</w:t>
      </w:r>
    </w:p>
    <w:p w:rsidR="00ED1E98" w:rsidRPr="002378A7" w:rsidRDefault="00ED1E98" w:rsidP="00ED1E98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ED1E98" w:rsidRPr="002378A7" w:rsidRDefault="00ED1E98" w:rsidP="00ED1E98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ED1E98" w:rsidRPr="002378A7" w:rsidRDefault="00ED1E98" w:rsidP="00ED1E98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7F7C69">
        <w:rPr>
          <w:rFonts w:ascii="Arial" w:hAnsi="Arial" w:cs="Arial"/>
          <w:noProof/>
          <w:sz w:val="18"/>
        </w:rPr>
        <w:t>5L50W003</w:t>
      </w:r>
      <w:r w:rsidRPr="002378A7">
        <w:rPr>
          <w:rFonts w:ascii="Arial" w:hAnsi="Arial" w:cs="Arial"/>
          <w:sz w:val="18"/>
        </w:rPr>
        <w:t xml:space="preserve"> (dále jen „Zvláštní smlouva“) </w:t>
      </w:r>
    </w:p>
    <w:p w:rsidR="00ED1E98" w:rsidRPr="002378A7" w:rsidRDefault="00ED1E98" w:rsidP="00ED1E98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ED1E98" w:rsidRDefault="00ED1E98" w:rsidP="00ED1E98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1E98" w:rsidRPr="000A731B" w:rsidTr="000D531C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Sociální služby města Mimoň, p.o.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Mimoń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Pražská 273</w:t>
            </w:r>
            <w:r w:rsidRPr="00CF1EFB">
              <w:rPr>
                <w:rFonts w:ascii="Arial" w:hAnsi="Arial" w:cs="Arial"/>
                <w:sz w:val="18"/>
                <w:szCs w:val="18"/>
              </w:rPr>
              <w:t xml:space="preserve">   PSČ  </w:t>
            </w: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471 24</w:t>
            </w:r>
          </w:p>
        </w:tc>
      </w:tr>
      <w:tr w:rsidR="00ED1E98" w:rsidRPr="000A731B" w:rsidTr="000D531C">
        <w:trPr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ED1E98" w:rsidRPr="00CF1EFB" w:rsidRDefault="00ED1E98" w:rsidP="000D531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Kraj.soud Ústí n.L., Oddíl Pr, vložka 516, den 8.7.2004</w:t>
            </w:r>
          </w:p>
          <w:p w:rsidR="00ED1E98" w:rsidRPr="00CF1EFB" w:rsidRDefault="00ED1E98" w:rsidP="000D531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ED1E98" w:rsidRPr="000A731B" w:rsidTr="000D531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Ing.Jiří Tichý, ředitel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48282901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noProof/>
                <w:sz w:val="18"/>
                <w:szCs w:val="18"/>
              </w:rPr>
              <w:t>50307000</w:t>
            </w:r>
          </w:p>
        </w:tc>
      </w:tr>
    </w:tbl>
    <w:p w:rsidR="00ED1E98" w:rsidRPr="000A731B" w:rsidRDefault="00ED1E98" w:rsidP="00ED1E98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ED1E98" w:rsidRPr="000A731B" w:rsidRDefault="00ED1E98" w:rsidP="00ED1E98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1E98" w:rsidRPr="000A731B" w:rsidTr="000D531C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E98" w:rsidRPr="00CF1EFB" w:rsidRDefault="00ED1E98" w:rsidP="000D531C">
            <w:pPr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Ústecký a Liberecký</w:t>
            </w:r>
          </w:p>
        </w:tc>
      </w:tr>
      <w:tr w:rsidR="00ED1E98" w:rsidRPr="000A731B" w:rsidTr="000D531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sz w:val="18"/>
                <w:szCs w:val="18"/>
              </w:rPr>
              <w:t>Ing. Blanka Vajrychová</w:t>
            </w:r>
          </w:p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sz w:val="18"/>
                <w:szCs w:val="18"/>
              </w:rPr>
              <w:t>VZP ČR Teplice</w:t>
            </w:r>
          </w:p>
        </w:tc>
      </w:tr>
      <w:tr w:rsidR="00ED1E98" w:rsidRPr="000A731B" w:rsidTr="000D531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F1EF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:rsidR="00ED1E98" w:rsidRPr="00CF1EFB" w:rsidRDefault="00ED1E98" w:rsidP="000D53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F1EFB">
              <w:rPr>
                <w:rFonts w:ascii="Arial" w:hAnsi="Arial" w:cs="Arial"/>
                <w:sz w:val="18"/>
                <w:szCs w:val="18"/>
              </w:rPr>
              <w:t>P.O.BOX 15,  415 01</w:t>
            </w:r>
          </w:p>
        </w:tc>
      </w:tr>
    </w:tbl>
    <w:p w:rsidR="00ED1E98" w:rsidRPr="000A731B" w:rsidRDefault="00ED1E98" w:rsidP="00ED1E98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ED1E98" w:rsidRPr="002378A7" w:rsidRDefault="00ED1E98" w:rsidP="00ED1E98">
      <w:pPr>
        <w:overflowPunct/>
        <w:autoSpaceDE/>
        <w:autoSpaceDN/>
        <w:adjustRightInd/>
        <w:spacing w:before="480" w:after="120"/>
        <w:ind w:left="2517" w:hanging="2517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I.</w:t>
      </w:r>
    </w:p>
    <w:p w:rsidR="00ED1E98" w:rsidRPr="001473EC" w:rsidRDefault="00ED1E98" w:rsidP="00ED1E98">
      <w:pPr>
        <w:tabs>
          <w:tab w:val="left" w:pos="567"/>
        </w:tabs>
        <w:overflowPunct/>
        <w:autoSpaceDE/>
        <w:autoSpaceDN/>
        <w:adjustRightInd/>
        <w:spacing w:after="200"/>
        <w:ind w:left="567" w:hanging="567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1473EC">
        <w:rPr>
          <w:rFonts w:ascii="Arial" w:eastAsia="Calibri" w:hAnsi="Arial" w:cs="Arial"/>
          <w:sz w:val="18"/>
          <w:szCs w:val="18"/>
        </w:rPr>
        <w:t>1.</w:t>
      </w:r>
      <w:r w:rsidRPr="001473EC">
        <w:rPr>
          <w:rFonts w:ascii="Arial" w:eastAsia="Calibri" w:hAnsi="Arial" w:cs="Arial"/>
          <w:sz w:val="18"/>
          <w:szCs w:val="18"/>
        </w:rPr>
        <w:tab/>
        <w:t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1.</w:t>
      </w:r>
      <w:r>
        <w:rPr>
          <w:rFonts w:ascii="Arial" w:eastAsia="Calibri" w:hAnsi="Arial" w:cs="Arial"/>
          <w:sz w:val="18"/>
          <w:szCs w:val="18"/>
        </w:rPr>
        <w:t> </w:t>
      </w:r>
      <w:r w:rsidRPr="001473EC">
        <w:rPr>
          <w:rFonts w:ascii="Arial" w:eastAsia="Calibri" w:hAnsi="Arial" w:cs="Arial"/>
          <w:sz w:val="18"/>
          <w:szCs w:val="18"/>
        </w:rPr>
        <w:t>1.</w:t>
      </w:r>
      <w:r>
        <w:rPr>
          <w:rFonts w:ascii="Arial" w:eastAsia="Calibri" w:hAnsi="Arial" w:cs="Arial"/>
          <w:sz w:val="18"/>
          <w:szCs w:val="18"/>
        </w:rPr>
        <w:t> </w:t>
      </w:r>
      <w:r w:rsidRPr="001473EC">
        <w:rPr>
          <w:rFonts w:ascii="Arial" w:eastAsia="Calibri" w:hAnsi="Arial" w:cs="Arial"/>
          <w:sz w:val="18"/>
          <w:szCs w:val="18"/>
        </w:rPr>
        <w:t xml:space="preserve"> 201</w:t>
      </w:r>
      <w:r>
        <w:rPr>
          <w:rFonts w:ascii="Arial" w:eastAsia="Calibri" w:hAnsi="Arial" w:cs="Arial"/>
          <w:sz w:val="18"/>
          <w:szCs w:val="18"/>
        </w:rPr>
        <w:t>8</w:t>
      </w:r>
      <w:r w:rsidRPr="001473EC">
        <w:rPr>
          <w:rFonts w:ascii="Arial" w:eastAsia="Calibri" w:hAnsi="Arial" w:cs="Arial"/>
          <w:sz w:val="18"/>
          <w:szCs w:val="18"/>
        </w:rPr>
        <w:t xml:space="preserve"> do 31. 12. 201</w:t>
      </w:r>
      <w:r>
        <w:rPr>
          <w:rFonts w:ascii="Arial" w:eastAsia="Calibri" w:hAnsi="Arial" w:cs="Arial"/>
          <w:sz w:val="18"/>
          <w:szCs w:val="18"/>
        </w:rPr>
        <w:t>8</w:t>
      </w:r>
      <w:r w:rsidRPr="001473EC">
        <w:rPr>
          <w:rFonts w:ascii="Arial" w:eastAsia="Calibri" w:hAnsi="Arial" w:cs="Arial"/>
          <w:sz w:val="18"/>
          <w:szCs w:val="18"/>
        </w:rPr>
        <w:t xml:space="preserve"> bude prováděna způsobem dále uvedeným v tomto Dodatku.</w:t>
      </w:r>
    </w:p>
    <w:p w:rsidR="00ED1E98" w:rsidRPr="00EA0F22" w:rsidRDefault="00ED1E98" w:rsidP="00ED1E98">
      <w:pPr>
        <w:pStyle w:val="Odstavecseseznamem"/>
        <w:tabs>
          <w:tab w:val="left" w:pos="567"/>
        </w:tabs>
        <w:overflowPunct/>
        <w:autoSpaceDE/>
        <w:autoSpaceDN/>
        <w:adjustRightInd/>
        <w:spacing w:after="200"/>
        <w:ind w:left="567" w:hanging="567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1473EC">
        <w:rPr>
          <w:rFonts w:ascii="Arial" w:eastAsia="Calibri" w:hAnsi="Arial" w:cs="Arial"/>
          <w:sz w:val="18"/>
          <w:szCs w:val="18"/>
        </w:rPr>
        <w:t>2.</w:t>
      </w:r>
      <w:r w:rsidRPr="001473EC">
        <w:rPr>
          <w:rFonts w:ascii="Arial" w:eastAsia="Calibri" w:hAnsi="Arial" w:cs="Arial"/>
          <w:sz w:val="18"/>
          <w:szCs w:val="18"/>
        </w:rPr>
        <w:tab/>
      </w:r>
      <w:r w:rsidRPr="00EA0F22">
        <w:rPr>
          <w:rFonts w:ascii="Arial" w:eastAsia="Calibri" w:hAnsi="Arial" w:cs="Arial"/>
          <w:sz w:val="18"/>
          <w:szCs w:val="18"/>
        </w:rPr>
        <w:t>Zveřejněním tohoto Dodatku smluvní strany plní svou povinnost dle § 17a odst. 2</w:t>
      </w:r>
      <w:r>
        <w:rPr>
          <w:rFonts w:ascii="Arial" w:eastAsia="Calibri" w:hAnsi="Arial" w:cs="Arial"/>
          <w:sz w:val="18"/>
          <w:szCs w:val="18"/>
        </w:rPr>
        <w:t>.</w:t>
      </w:r>
      <w:r w:rsidRPr="00EA0F22">
        <w:rPr>
          <w:rFonts w:ascii="Arial" w:eastAsia="Calibri" w:hAnsi="Arial" w:cs="Arial"/>
          <w:sz w:val="18"/>
          <w:szCs w:val="18"/>
        </w:rPr>
        <w:t xml:space="preserve"> ZVZP.</w:t>
      </w:r>
    </w:p>
    <w:p w:rsidR="00ED1E98" w:rsidRDefault="00ED1E98" w:rsidP="00ED1E98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:rsidR="00ED1E98" w:rsidRPr="009A1CA3" w:rsidRDefault="00ED1E98" w:rsidP="00ED1E98">
      <w:pPr>
        <w:pStyle w:val="Odstavecseseznamem"/>
        <w:numPr>
          <w:ilvl w:val="0"/>
          <w:numId w:val="5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9A1CA3">
        <w:rPr>
          <w:rFonts w:ascii="Arial" w:hAnsi="Arial" w:cs="Arial"/>
          <w:sz w:val="18"/>
          <w:szCs w:val="18"/>
        </w:rPr>
        <w:t>Smluvní strany si sjednávají, že v období od 1. 1. 2018 do 31. 12. 2018 jsou hrazené služby poskytované podle ustanovení § 22 písm. e) zákona č. 48/1997 Sb., o veřejném zdravotním pojištění, ve znění pozdějších předpisů, v Pobytovém zařízení vykazovány v souladu s platným zněním vyhlášky</w:t>
      </w:r>
      <w:r>
        <w:rPr>
          <w:rFonts w:ascii="Arial" w:hAnsi="Arial" w:cs="Arial"/>
          <w:sz w:val="18"/>
          <w:szCs w:val="18"/>
        </w:rPr>
        <w:t> </w:t>
      </w:r>
      <w:r w:rsidRPr="009A1CA3">
        <w:rPr>
          <w:rFonts w:ascii="Arial" w:hAnsi="Arial" w:cs="Arial"/>
          <w:sz w:val="18"/>
          <w:szCs w:val="18"/>
        </w:rPr>
        <w:t>č. 134/1998 Sb., kterou se vydává seznam zdravotních výkonů s bodovými hodnotami (dále jen „seznam zdravotních výkonů“), ve znění pozdějších předpisů a Metodikou pro pořizování a předávání dokladů VZP ČR (dále jen „Metodika“).</w:t>
      </w:r>
    </w:p>
    <w:p w:rsidR="00ED1E98" w:rsidRPr="009A1CA3" w:rsidRDefault="00ED1E98" w:rsidP="00ED1E98">
      <w:pPr>
        <w:pStyle w:val="Odstavecseseznamem"/>
        <w:numPr>
          <w:ilvl w:val="0"/>
          <w:numId w:val="5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9A1CA3">
        <w:rPr>
          <w:rFonts w:ascii="Arial" w:hAnsi="Arial" w:cs="Arial"/>
          <w:sz w:val="18"/>
          <w:szCs w:val="18"/>
        </w:rPr>
        <w:lastRenderedPageBreak/>
        <w:t>Smluvní strany se dohodly, že výše úhrady se stanoví podle seznamu zdravotních výkonů za poskytnuté zdravotní výkony s hodnotou bodu ve výši 1,05 Kč, přičemž celková výše úhrady nepřekročí částku, která se vypočte takto: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jc w:val="center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max{POPzpo x PUROo x 1,3</w:t>
      </w:r>
      <w:r>
        <w:rPr>
          <w:rFonts w:ascii="Arial" w:hAnsi="Arial" w:cs="Arial"/>
          <w:sz w:val="18"/>
          <w:szCs w:val="18"/>
        </w:rPr>
        <w:t>4</w:t>
      </w:r>
      <w:r w:rsidRPr="00811DA8">
        <w:rPr>
          <w:rFonts w:ascii="Arial" w:hAnsi="Arial" w:cs="Arial"/>
          <w:sz w:val="18"/>
          <w:szCs w:val="18"/>
        </w:rPr>
        <w:t>; PBho x HBmin + KPho}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kde: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POPzpo</w:t>
      </w:r>
      <w:r w:rsidRPr="00811DA8">
        <w:rPr>
          <w:rFonts w:ascii="Arial" w:hAnsi="Arial" w:cs="Arial"/>
          <w:sz w:val="18"/>
          <w:szCs w:val="18"/>
        </w:rPr>
        <w:tab/>
        <w:t>počet unikátních pojištěnců ošetřených v Pobytovém zařízení v hodnoceném období,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1416" w:hanging="849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PUROo</w:t>
      </w:r>
      <w:r w:rsidRPr="00811DA8">
        <w:rPr>
          <w:rFonts w:ascii="Arial" w:hAnsi="Arial" w:cs="Arial"/>
          <w:sz w:val="18"/>
          <w:szCs w:val="18"/>
        </w:rPr>
        <w:tab/>
        <w:t>průměrná úhrada za výkony, včetně zvlášť účtovaného materiálu a zvlášť účtovaných léčivých přípravků, na jednoho unikátního pojištěnce ošetřeného v Pobytovém zařízení v roce 201</w:t>
      </w:r>
      <w:r>
        <w:rPr>
          <w:rFonts w:ascii="Arial" w:hAnsi="Arial" w:cs="Arial"/>
          <w:sz w:val="18"/>
          <w:szCs w:val="18"/>
        </w:rPr>
        <w:t>6</w:t>
      </w:r>
      <w:r w:rsidRPr="00811DA8">
        <w:rPr>
          <w:rFonts w:ascii="Arial" w:hAnsi="Arial" w:cs="Arial"/>
          <w:sz w:val="18"/>
          <w:szCs w:val="18"/>
        </w:rPr>
        <w:t>,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1416" w:hanging="849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PBho</w:t>
      </w:r>
      <w:r w:rsidRPr="00811DA8">
        <w:rPr>
          <w:rFonts w:ascii="Arial" w:hAnsi="Arial" w:cs="Arial"/>
          <w:sz w:val="18"/>
          <w:szCs w:val="18"/>
        </w:rPr>
        <w:tab/>
        <w:t>celkový počet Pobytovým zařízením vykázaných a zdravotní pojišťovnou uznaných bodů v hodnoceném období,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HBmin</w:t>
      </w:r>
      <w:r w:rsidRPr="00811DA8">
        <w:rPr>
          <w:rFonts w:ascii="Arial" w:hAnsi="Arial" w:cs="Arial"/>
          <w:sz w:val="18"/>
          <w:szCs w:val="18"/>
        </w:rPr>
        <w:tab/>
        <w:t>minimální hodnota bodu, která se stanoví ve výši 0,52 Kč,</w:t>
      </w:r>
    </w:p>
    <w:p w:rsidR="00ED1E98" w:rsidRPr="00811DA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KPho</w:t>
      </w:r>
      <w:r w:rsidRPr="00811DA8">
        <w:rPr>
          <w:rFonts w:ascii="Arial" w:hAnsi="Arial" w:cs="Arial"/>
          <w:sz w:val="18"/>
          <w:szCs w:val="18"/>
        </w:rPr>
        <w:tab/>
        <w:t>hodnota korunových položek v hodnoceném období,</w:t>
      </w:r>
    </w:p>
    <w:p w:rsidR="00ED1E9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 w:rsidRPr="00811DA8">
        <w:rPr>
          <w:rFonts w:ascii="Arial" w:hAnsi="Arial" w:cs="Arial"/>
          <w:sz w:val="18"/>
          <w:szCs w:val="18"/>
        </w:rPr>
        <w:t>max</w:t>
      </w:r>
      <w:r w:rsidRPr="00811DA8">
        <w:rPr>
          <w:rFonts w:ascii="Arial" w:hAnsi="Arial" w:cs="Arial"/>
          <w:sz w:val="18"/>
          <w:szCs w:val="18"/>
        </w:rPr>
        <w:tab/>
        <w:t>funkce maximum vybere z oboru hodnot hodnotu nejvyšší.</w:t>
      </w:r>
    </w:p>
    <w:p w:rsidR="00ED1E98" w:rsidRDefault="00ED1E98" w:rsidP="00ED1E98">
      <w:pPr>
        <w:tabs>
          <w:tab w:val="left" w:pos="567"/>
        </w:tabs>
        <w:overflowPunct/>
        <w:autoSpaceDE/>
        <w:autoSpaceDN/>
        <w:adjustRightInd/>
        <w:spacing w:before="120" w:after="120"/>
        <w:ind w:left="56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Unikátním pojištěncem se rozumí pojištěnec Pojišťovny ošetřený Pobytovým zařízením v konkrétní odbornosti v hodnoceném nebo referenčním období alespoň jednou. Pokud byl pojištěnec Pobytovým zařízením v konkrétní odbornosti ošetřen v hodnoceném období nebo referenčním období vícekrát, zahrnuje se do počtu unikátních pojištěnců Pojišťovny ošetřených v konkrétní odbornosti pouze jednou. V případě sloučení zdravotních pojišťoven se počet unikátních pojištěnců spočte jako součet unikátních pojištěnců zdravotních pojišťoven, které se sloučily. Pokud byl pojištěnec v referenčním období pojištěncem více než jedné zdravotní pojišťovny, do počtu unikátních ošetřených pojištěnců se započítává pouze jednou.</w:t>
      </w:r>
    </w:p>
    <w:p w:rsidR="00ED1E98" w:rsidRPr="009A1CA3" w:rsidRDefault="00ED1E98" w:rsidP="00ED1E98">
      <w:pPr>
        <w:pStyle w:val="Odstavecseseznamem"/>
        <w:numPr>
          <w:ilvl w:val="0"/>
          <w:numId w:val="5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9A1CA3">
        <w:rPr>
          <w:rFonts w:ascii="Arial" w:hAnsi="Arial" w:cs="Arial"/>
          <w:sz w:val="18"/>
          <w:szCs w:val="18"/>
        </w:rPr>
        <w:t xml:space="preserve">V případě, že Pobytové zařízení v  hodnoceném </w:t>
      </w:r>
      <w:r>
        <w:rPr>
          <w:rFonts w:ascii="Arial" w:hAnsi="Arial" w:cs="Arial"/>
          <w:sz w:val="18"/>
          <w:szCs w:val="18"/>
        </w:rPr>
        <w:t xml:space="preserve">nebo referenčním </w:t>
      </w:r>
      <w:r w:rsidRPr="009A1CA3">
        <w:rPr>
          <w:rFonts w:ascii="Arial" w:hAnsi="Arial" w:cs="Arial"/>
          <w:sz w:val="18"/>
          <w:szCs w:val="18"/>
        </w:rPr>
        <w:t>období ošetř</w:t>
      </w:r>
      <w:r>
        <w:rPr>
          <w:rFonts w:ascii="Arial" w:hAnsi="Arial" w:cs="Arial"/>
          <w:sz w:val="18"/>
          <w:szCs w:val="18"/>
        </w:rPr>
        <w:t>í</w:t>
      </w:r>
      <w:r w:rsidRPr="009A1CA3">
        <w:rPr>
          <w:rFonts w:ascii="Arial" w:hAnsi="Arial" w:cs="Arial"/>
          <w:sz w:val="18"/>
          <w:szCs w:val="18"/>
        </w:rPr>
        <w:t xml:space="preserve"> 30</w:t>
      </w:r>
      <w:r>
        <w:rPr>
          <w:rFonts w:ascii="Arial" w:hAnsi="Arial" w:cs="Arial"/>
          <w:sz w:val="18"/>
          <w:szCs w:val="18"/>
        </w:rPr>
        <w:t xml:space="preserve"> a méně</w:t>
      </w:r>
      <w:r w:rsidRPr="009A1CA3">
        <w:rPr>
          <w:rFonts w:ascii="Arial" w:hAnsi="Arial" w:cs="Arial"/>
          <w:sz w:val="18"/>
          <w:szCs w:val="18"/>
        </w:rPr>
        <w:t xml:space="preserve"> unikátních pojištěnců Pojišťovny, výpočet celkové výše úhrady podle </w:t>
      </w:r>
      <w:r>
        <w:rPr>
          <w:rFonts w:ascii="Arial" w:hAnsi="Arial" w:cs="Arial"/>
          <w:sz w:val="18"/>
          <w:szCs w:val="18"/>
        </w:rPr>
        <w:t>odst</w:t>
      </w:r>
      <w:r w:rsidRPr="009A1CA3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.</w:t>
      </w:r>
      <w:r w:rsidRPr="009A1CA3">
        <w:rPr>
          <w:rFonts w:ascii="Arial" w:hAnsi="Arial" w:cs="Arial"/>
          <w:sz w:val="18"/>
          <w:szCs w:val="18"/>
        </w:rPr>
        <w:t xml:space="preserve"> se nepoužije, a tyto hrazené služby se hradí podle seznamu zdravotních výkonů s hodnotou bodu ve výši 1,05 Kč.</w:t>
      </w:r>
    </w:p>
    <w:p w:rsidR="00ED1E98" w:rsidRPr="009A1CA3" w:rsidRDefault="00ED1E98" w:rsidP="00ED1E98">
      <w:pPr>
        <w:pStyle w:val="Odstavecseseznamem"/>
        <w:numPr>
          <w:ilvl w:val="0"/>
          <w:numId w:val="5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9A1CA3">
        <w:rPr>
          <w:rFonts w:ascii="Arial" w:hAnsi="Arial" w:cs="Arial"/>
          <w:sz w:val="18"/>
          <w:szCs w:val="18"/>
        </w:rPr>
        <w:t>Změny v rozsahu a struktuře poskytovaných hrazených služeb ve srovnání s referenčním obdobím musí být mezi Pobytovým zařízením a Pojišťovnou dohodnuty předem ve Zvláštní smlouvě, a to včetně souvisejících změn ve výpočtu úhrady.</w:t>
      </w:r>
    </w:p>
    <w:p w:rsidR="00ED1E98" w:rsidRPr="002378A7" w:rsidRDefault="00ED1E98" w:rsidP="00ED1E98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I</w:t>
      </w:r>
      <w:r w:rsidRPr="002378A7">
        <w:rPr>
          <w:rFonts w:ascii="Arial" w:hAnsi="Arial" w:cs="Arial"/>
          <w:b/>
        </w:rPr>
        <w:t>I.</w:t>
      </w:r>
    </w:p>
    <w:p w:rsidR="00ED1E98" w:rsidRPr="002378A7" w:rsidRDefault="00ED1E98" w:rsidP="00ED1E9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Základním fakturačním obdobím je kalendářní měsíc. Pobytové zařízení předkládá Pojišťovně faktury za poskytnuté hrazené služby v termínech dohodnutých ve Smlouvě. Pojišťovna provede úhradu hrazených služeb formou předběžné měsíční úhrady a ročního finančního vypořádání.</w:t>
      </w:r>
    </w:p>
    <w:p w:rsidR="00ED1E98" w:rsidRPr="002378A7" w:rsidRDefault="00ED1E98" w:rsidP="00ED1E9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sz w:val="18"/>
          <w:szCs w:val="18"/>
        </w:rPr>
        <w:t>Pojišťovna poskytne Pobytovému zařízení předběžnou měsíční úhradu, která bu</w:t>
      </w:r>
      <w:r>
        <w:rPr>
          <w:rFonts w:ascii="Arial" w:hAnsi="Arial" w:cs="Arial"/>
          <w:sz w:val="18"/>
          <w:szCs w:val="18"/>
        </w:rPr>
        <w:t xml:space="preserve">de odpovídat fakturované částce, maximálně však částce </w:t>
      </w:r>
      <w:r w:rsidRPr="007F7C69">
        <w:rPr>
          <w:rFonts w:ascii="Arial" w:hAnsi="Arial" w:cs="Arial"/>
          <w:b/>
          <w:noProof/>
          <w:sz w:val="18"/>
          <w:szCs w:val="18"/>
        </w:rPr>
        <w:t>297 164,-</w:t>
      </w:r>
      <w:r w:rsidRPr="005F7A74">
        <w:rPr>
          <w:rFonts w:ascii="Arial" w:hAnsi="Arial" w:cs="Arial"/>
          <w:b/>
          <w:sz w:val="18"/>
          <w:szCs w:val="18"/>
        </w:rPr>
        <w:t> Kč měsíčně.</w:t>
      </w:r>
      <w:r w:rsidRPr="001C04D4">
        <w:rPr>
          <w:rFonts w:ascii="Arial" w:hAnsi="Arial" w:cs="Arial"/>
          <w:sz w:val="18"/>
          <w:szCs w:val="18"/>
        </w:rPr>
        <w:t xml:space="preserve"> </w:t>
      </w:r>
      <w:r w:rsidRPr="002378A7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</w:t>
      </w:r>
      <w:r>
        <w:rPr>
          <w:rFonts w:ascii="Arial" w:hAnsi="Arial" w:cs="Arial"/>
          <w:sz w:val="18"/>
          <w:szCs w:val="18"/>
        </w:rPr>
        <w:t xml:space="preserve">maximální limit </w:t>
      </w:r>
      <w:r w:rsidRPr="002378A7">
        <w:rPr>
          <w:rFonts w:ascii="Arial" w:hAnsi="Arial" w:cs="Arial"/>
          <w:sz w:val="18"/>
          <w:szCs w:val="18"/>
        </w:rPr>
        <w:t>předběžn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měsíční úhrad</w:t>
      </w:r>
      <w:r>
        <w:rPr>
          <w:rFonts w:ascii="Arial" w:hAnsi="Arial" w:cs="Arial"/>
          <w:sz w:val="18"/>
          <w:szCs w:val="18"/>
        </w:rPr>
        <w:t>y</w:t>
      </w:r>
      <w:r w:rsidRPr="00237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sjednaný</w:t>
      </w:r>
      <w:r w:rsidRPr="002378A7">
        <w:rPr>
          <w:rFonts w:ascii="Arial" w:hAnsi="Arial" w:cs="Arial"/>
          <w:sz w:val="18"/>
          <w:szCs w:val="18"/>
        </w:rPr>
        <w:t xml:space="preserve"> pro rok 201</w:t>
      </w:r>
      <w:r>
        <w:rPr>
          <w:rFonts w:ascii="Arial" w:hAnsi="Arial" w:cs="Arial"/>
          <w:sz w:val="18"/>
          <w:szCs w:val="18"/>
        </w:rPr>
        <w:t>8.</w:t>
      </w:r>
    </w:p>
    <w:p w:rsidR="00ED1E98" w:rsidRPr="002378A7" w:rsidRDefault="00ED1E98" w:rsidP="00ED1E9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Předložení faktury na částku převyšující </w:t>
      </w:r>
      <w:r>
        <w:rPr>
          <w:rFonts w:ascii="Arial" w:hAnsi="Arial" w:cs="Arial"/>
          <w:sz w:val="18"/>
          <w:szCs w:val="18"/>
        </w:rPr>
        <w:t>maximální limit</w:t>
      </w:r>
      <w:r w:rsidRPr="002378A7">
        <w:rPr>
          <w:rFonts w:ascii="Arial" w:hAnsi="Arial" w:cs="Arial"/>
          <w:sz w:val="18"/>
          <w:szCs w:val="18"/>
        </w:rPr>
        <w:t xml:space="preserve"> předběžn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měsíční úhrad</w:t>
      </w:r>
      <w:r>
        <w:rPr>
          <w:rFonts w:ascii="Arial" w:hAnsi="Arial" w:cs="Arial"/>
          <w:sz w:val="18"/>
          <w:szCs w:val="18"/>
        </w:rPr>
        <w:t>y</w:t>
      </w:r>
      <w:r w:rsidRPr="002378A7">
        <w:rPr>
          <w:rFonts w:ascii="Arial" w:hAnsi="Arial" w:cs="Arial"/>
          <w:sz w:val="18"/>
          <w:szCs w:val="18"/>
        </w:rPr>
        <w:t xml:space="preserve">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:rsidR="00ED1E98" w:rsidRPr="009D08AE" w:rsidRDefault="00ED1E98" w:rsidP="00ED1E98">
      <w:pPr>
        <w:pStyle w:val="Odstavecseseznamem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9D08AE">
        <w:rPr>
          <w:rFonts w:ascii="Arial" w:hAnsi="Arial" w:cs="Arial"/>
          <w:sz w:val="18"/>
          <w:szCs w:val="18"/>
        </w:rPr>
        <w:t xml:space="preserve">Předběžné měsíční úhrady za rok 2018 se považují za zálohy a budou finančně vypořádány v rámci celkového finančního vypořádání, včetně regulačních omezení, a to v termínu do 180 dnů po dni skončení hodnoceného období. </w:t>
      </w:r>
    </w:p>
    <w:p w:rsidR="00ED1E98" w:rsidRPr="002378A7" w:rsidRDefault="00ED1E98" w:rsidP="00ED1E9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outlineLvl w:val="0"/>
        <w:rPr>
          <w:rFonts w:ascii="Arial" w:hAnsi="Arial" w:cs="Arial"/>
          <w:b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</w:t>
      </w:r>
      <w:r>
        <w:rPr>
          <w:rFonts w:ascii="Arial" w:hAnsi="Arial" w:cs="Arial"/>
          <w:sz w:val="18"/>
          <w:szCs w:val="18"/>
        </w:rPr>
        <w:t> </w:t>
      </w:r>
      <w:r w:rsidRPr="002378A7">
        <w:rPr>
          <w:rFonts w:ascii="Arial" w:hAnsi="Arial" w:cs="Arial"/>
          <w:sz w:val="18"/>
          <w:szCs w:val="18"/>
        </w:rPr>
        <w:t>němž bude přeplatek uveden.</w:t>
      </w:r>
    </w:p>
    <w:p w:rsidR="00ED1E98" w:rsidRPr="002378A7" w:rsidRDefault="00ED1E98" w:rsidP="00ED1E98">
      <w:pPr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before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8</w:t>
      </w:r>
      <w:r w:rsidRPr="002378A7">
        <w:rPr>
          <w:rFonts w:ascii="Arial" w:hAnsi="Arial" w:cs="Arial"/>
          <w:sz w:val="18"/>
          <w:szCs w:val="18"/>
        </w:rPr>
        <w:t xml:space="preserve"> jsou vykazovány a hrazeny způsobem dohodnutým ve Zvláštní smlouvě. Pro úhradu těchto hrazených služeb platí úhradová ujednání platná pro příslušné kalendářní období, ve kterém byly hrazené služby poskytnuty.</w:t>
      </w:r>
    </w:p>
    <w:p w:rsidR="00ED1E98" w:rsidRPr="002378A7" w:rsidRDefault="00ED1E98" w:rsidP="00ED1E98">
      <w:pPr>
        <w:keepNext/>
        <w:keepLines/>
        <w:tabs>
          <w:tab w:val="left" w:pos="567"/>
        </w:tabs>
        <w:overflowPunct/>
        <w:autoSpaceDE/>
        <w:autoSpaceDN/>
        <w:adjustRightInd/>
        <w:spacing w:before="240" w:after="120" w:line="276" w:lineRule="auto"/>
        <w:ind w:left="567" w:hanging="567"/>
        <w:jc w:val="center"/>
        <w:textAlignment w:val="auto"/>
        <w:outlineLvl w:val="1"/>
        <w:rPr>
          <w:rFonts w:ascii="Arial" w:hAnsi="Arial" w:cs="Arial"/>
          <w:b/>
          <w:bCs/>
          <w:lang w:eastAsia="en-US"/>
        </w:rPr>
      </w:pPr>
      <w:r w:rsidRPr="002378A7">
        <w:rPr>
          <w:rFonts w:ascii="Arial" w:hAnsi="Arial" w:cs="Arial"/>
          <w:b/>
          <w:bCs/>
          <w:lang w:eastAsia="en-US"/>
        </w:rPr>
        <w:t>Článek I</w:t>
      </w:r>
      <w:r>
        <w:rPr>
          <w:rFonts w:ascii="Arial" w:hAnsi="Arial" w:cs="Arial"/>
          <w:b/>
          <w:bCs/>
          <w:lang w:eastAsia="en-US"/>
        </w:rPr>
        <w:t>V</w:t>
      </w:r>
      <w:r w:rsidRPr="002378A7">
        <w:rPr>
          <w:rFonts w:ascii="Arial" w:hAnsi="Arial" w:cs="Arial"/>
          <w:b/>
          <w:bCs/>
          <w:lang w:eastAsia="en-US"/>
        </w:rPr>
        <w:t>.</w:t>
      </w:r>
    </w:p>
    <w:p w:rsidR="00ED1E98" w:rsidRDefault="00ED1E98" w:rsidP="00ED1E98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Hrazené služby poskytnuté zahraničním pojištěncům vykazuje Pobytové zařízení výkonovým způsobem podle </w:t>
      </w:r>
      <w:r>
        <w:rPr>
          <w:rFonts w:ascii="Arial" w:hAnsi="Arial" w:cs="Arial"/>
          <w:sz w:val="18"/>
          <w:szCs w:val="18"/>
        </w:rPr>
        <w:t>s</w:t>
      </w:r>
      <w:r w:rsidRPr="002378A7">
        <w:rPr>
          <w:rFonts w:ascii="Arial" w:hAnsi="Arial" w:cs="Arial"/>
          <w:sz w:val="18"/>
          <w:szCs w:val="18"/>
        </w:rPr>
        <w:t>eznam</w:t>
      </w:r>
      <w:r>
        <w:rPr>
          <w:rFonts w:ascii="Arial" w:hAnsi="Arial" w:cs="Arial"/>
          <w:sz w:val="18"/>
          <w:szCs w:val="18"/>
        </w:rPr>
        <w:t>u</w:t>
      </w:r>
      <w:r w:rsidRPr="002378A7">
        <w:rPr>
          <w:rFonts w:ascii="Arial" w:hAnsi="Arial" w:cs="Arial"/>
          <w:sz w:val="18"/>
          <w:szCs w:val="18"/>
        </w:rPr>
        <w:t xml:space="preserve"> zdravotních výkonů samostatnou fakturou, doloženou dávkami dokladů.</w:t>
      </w:r>
    </w:p>
    <w:p w:rsidR="00ED1E98" w:rsidRPr="002378A7" w:rsidRDefault="00ED1E98" w:rsidP="00ED1E98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Hrazené služby poskytnuté zahraničním pojištěncům jsou hrazeny s hodnotou bodu ve výši 1,05 Kč a nezahrnují se do výpočtu celkové výše úhrady podle Článku II odst. 2.</w:t>
      </w:r>
    </w:p>
    <w:p w:rsidR="00ED1E98" w:rsidRPr="002378A7" w:rsidRDefault="00ED1E98" w:rsidP="00ED1E98">
      <w:pPr>
        <w:numPr>
          <w:ilvl w:val="0"/>
          <w:numId w:val="2"/>
        </w:numPr>
        <w:overflowPunct/>
        <w:autoSpaceDE/>
        <w:autoSpaceDN/>
        <w:adjustRightInd/>
        <w:spacing w:before="60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lastRenderedPageBreak/>
        <w:t>Zahraničním pojištěncem se rozumí pojištěnec definovaný v § 1 vyhlášky</w:t>
      </w:r>
      <w:r>
        <w:rPr>
          <w:rFonts w:ascii="Arial" w:hAnsi="Arial" w:cs="Arial"/>
          <w:sz w:val="18"/>
          <w:szCs w:val="18"/>
        </w:rPr>
        <w:t xml:space="preserve"> č. 353/2017 Sb. </w:t>
      </w:r>
      <w:r w:rsidRPr="00A85DE0">
        <w:rPr>
          <w:rFonts w:ascii="Arial" w:hAnsi="Arial" w:cs="Arial"/>
          <w:sz w:val="18"/>
          <w:szCs w:val="18"/>
        </w:rPr>
        <w:t>o stanovení hodnot bodu, výše úhrad hrazených služeb a regulačních omezení pro rok 2018</w:t>
      </w:r>
      <w:r>
        <w:rPr>
          <w:rFonts w:ascii="Arial" w:hAnsi="Arial" w:cs="Arial"/>
          <w:sz w:val="18"/>
          <w:szCs w:val="18"/>
        </w:rPr>
        <w:t xml:space="preserve">. </w:t>
      </w:r>
    </w:p>
    <w:p w:rsidR="00ED1E98" w:rsidRPr="002378A7" w:rsidRDefault="00ED1E98" w:rsidP="00ED1E98">
      <w:pPr>
        <w:tabs>
          <w:tab w:val="left" w:pos="567"/>
        </w:tabs>
        <w:overflowPunct/>
        <w:autoSpaceDE/>
        <w:autoSpaceDN/>
        <w:adjustRightInd/>
        <w:spacing w:before="240" w:after="120"/>
        <w:ind w:left="567" w:hanging="567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V.</w:t>
      </w:r>
    </w:p>
    <w:p w:rsidR="00ED1E98" w:rsidRPr="002378A7" w:rsidRDefault="00ED1E98" w:rsidP="00ED1E98">
      <w:pPr>
        <w:numPr>
          <w:ilvl w:val="0"/>
          <w:numId w:val="3"/>
        </w:numPr>
        <w:tabs>
          <w:tab w:val="left" w:pos="142"/>
          <w:tab w:val="left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:rsidR="00ED1E98" w:rsidRPr="002378A7" w:rsidRDefault="00ED1E98" w:rsidP="00ED1E98">
      <w:pPr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8</w:t>
      </w:r>
      <w:r w:rsidRPr="002378A7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8</w:t>
      </w:r>
      <w:r w:rsidRPr="002378A7">
        <w:rPr>
          <w:rFonts w:ascii="Arial" w:hAnsi="Arial" w:cs="Arial"/>
          <w:sz w:val="18"/>
          <w:szCs w:val="18"/>
        </w:rPr>
        <w:t>.</w:t>
      </w:r>
    </w:p>
    <w:p w:rsidR="00ED1E98" w:rsidRPr="002378A7" w:rsidRDefault="00ED1E98" w:rsidP="00ED1E98">
      <w:pPr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ED1E98" w:rsidRPr="002378A7" w:rsidRDefault="00ED1E98" w:rsidP="00ED1E98">
      <w:pPr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after="1200"/>
        <w:ind w:left="567" w:hanging="567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ED1E98" w:rsidRPr="00756819" w:rsidTr="000D531C">
        <w:tc>
          <w:tcPr>
            <w:tcW w:w="4648" w:type="dxa"/>
          </w:tcPr>
          <w:p w:rsidR="00ED1E98" w:rsidRPr="00756819" w:rsidRDefault="00ED1E98" w:rsidP="000D531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7C69">
              <w:rPr>
                <w:rFonts w:ascii="Arial" w:hAnsi="Arial" w:cs="Arial"/>
                <w:noProof/>
                <w:sz w:val="18"/>
                <w:szCs w:val="18"/>
              </w:rPr>
              <w:t>Mimoń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F7C69">
              <w:rPr>
                <w:rFonts w:ascii="Arial" w:hAnsi="Arial" w:cs="Arial"/>
                <w:noProof/>
                <w:sz w:val="18"/>
                <w:szCs w:val="18"/>
              </w:rPr>
              <w:t>Ing.Jiří Tichý, ředitel</w:t>
            </w:r>
          </w:p>
        </w:tc>
        <w:tc>
          <w:tcPr>
            <w:tcW w:w="4640" w:type="dxa"/>
          </w:tcPr>
          <w:p w:rsidR="00ED1E98" w:rsidRPr="00756819" w:rsidRDefault="00ED1E98" w:rsidP="000D531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Teplice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Blanka Vajrychová</w:t>
            </w:r>
          </w:p>
          <w:p w:rsidR="00ED1E98" w:rsidRPr="00756819" w:rsidRDefault="00ED1E98" w:rsidP="000D53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ED1E98" w:rsidRDefault="00ED1E98" w:rsidP="00ED1E9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3D1CD2" w:rsidRDefault="003D1CD2">
      <w:bookmarkStart w:id="0" w:name="_GoBack"/>
      <w:bookmarkEnd w:id="0"/>
    </w:p>
    <w:sectPr w:rsidR="003D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B3C"/>
    <w:multiLevelType w:val="hybridMultilevel"/>
    <w:tmpl w:val="F74EF1E8"/>
    <w:lvl w:ilvl="0" w:tplc="1DA0C69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15C2"/>
    <w:multiLevelType w:val="hybridMultilevel"/>
    <w:tmpl w:val="F9060CC4"/>
    <w:lvl w:ilvl="0" w:tplc="3A589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98"/>
    <w:rsid w:val="003D1CD2"/>
    <w:rsid w:val="00E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E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E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Vodrážková</dc:creator>
  <cp:lastModifiedBy>Šárka Vodrážková</cp:lastModifiedBy>
  <cp:revision>1</cp:revision>
  <dcterms:created xsi:type="dcterms:W3CDTF">2017-12-13T08:12:00Z</dcterms:created>
  <dcterms:modified xsi:type="dcterms:W3CDTF">2017-12-13T08:12:00Z</dcterms:modified>
</cp:coreProperties>
</file>