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6" w:rsidRPr="00484EE7" w:rsidRDefault="00C32D36" w:rsidP="000327F5">
      <w:pPr>
        <w:pStyle w:val="Title"/>
        <w:spacing w:before="0" w:after="100" w:afterAutospacing="1"/>
        <w:rPr>
          <w:rFonts w:ascii="Times New Roman" w:hAnsi="Times New Roman"/>
          <w:szCs w:val="32"/>
        </w:rPr>
      </w:pPr>
      <w:r w:rsidRPr="00484EE7">
        <w:rPr>
          <w:rFonts w:ascii="Times New Roman" w:hAnsi="Times New Roman"/>
          <w:szCs w:val="32"/>
        </w:rPr>
        <w:t xml:space="preserve">Dodatek č. </w:t>
      </w:r>
      <w:r>
        <w:rPr>
          <w:rFonts w:ascii="Times New Roman" w:hAnsi="Times New Roman"/>
          <w:szCs w:val="32"/>
        </w:rPr>
        <w:t>5</w:t>
      </w:r>
      <w:r w:rsidRPr="00484EE7">
        <w:rPr>
          <w:rFonts w:ascii="Times New Roman" w:hAnsi="Times New Roman"/>
          <w:szCs w:val="32"/>
        </w:rPr>
        <w:t xml:space="preserve"> ke smlouvě o dílo </w:t>
      </w:r>
    </w:p>
    <w:p w:rsidR="00C32D36" w:rsidRPr="00052E64" w:rsidRDefault="00C32D36" w:rsidP="003D7F93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052E64">
        <w:rPr>
          <w:rFonts w:ascii="Times New Roman" w:hAnsi="Times New Roman"/>
          <w:b w:val="0"/>
          <w:bCs/>
          <w:sz w:val="24"/>
          <w:szCs w:val="24"/>
        </w:rPr>
        <w:t>č. 0328/59700/13</w:t>
      </w:r>
      <w:r w:rsidRPr="00052E64">
        <w:rPr>
          <w:rFonts w:ascii="Times New Roman" w:hAnsi="Times New Roman"/>
          <w:b w:val="0"/>
          <w:sz w:val="24"/>
          <w:szCs w:val="24"/>
        </w:rPr>
        <w:t xml:space="preserve"> (</w:t>
      </w:r>
      <w:r w:rsidRPr="00052E64">
        <w:rPr>
          <w:rFonts w:ascii="Times New Roman" w:hAnsi="Times New Roman"/>
          <w:b w:val="0"/>
          <w:bCs/>
          <w:sz w:val="24"/>
          <w:szCs w:val="24"/>
        </w:rPr>
        <w:t xml:space="preserve">objednatele) </w:t>
      </w:r>
    </w:p>
    <w:p w:rsidR="00C32D36" w:rsidRPr="00052E64" w:rsidRDefault="00C32D36" w:rsidP="003D7F93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052E64">
        <w:rPr>
          <w:rFonts w:ascii="Times New Roman" w:hAnsi="Times New Roman"/>
          <w:b w:val="0"/>
          <w:bCs/>
          <w:sz w:val="24"/>
          <w:szCs w:val="24"/>
        </w:rPr>
        <w:t>w221282/A242/00 (</w:t>
      </w:r>
      <w:r>
        <w:rPr>
          <w:rFonts w:ascii="Times New Roman" w:hAnsi="Times New Roman"/>
          <w:b w:val="0"/>
          <w:bCs/>
          <w:sz w:val="24"/>
          <w:szCs w:val="24"/>
        </w:rPr>
        <w:t>z</w:t>
      </w:r>
      <w:r w:rsidRPr="00052E64">
        <w:rPr>
          <w:rFonts w:ascii="Times New Roman" w:hAnsi="Times New Roman"/>
          <w:b w:val="0"/>
          <w:bCs/>
          <w:sz w:val="24"/>
          <w:szCs w:val="24"/>
        </w:rPr>
        <w:t>hotovitele)</w:t>
      </w:r>
    </w:p>
    <w:p w:rsidR="00C32D36" w:rsidRPr="0088465E" w:rsidRDefault="00C32D36" w:rsidP="00511E99">
      <w:pPr>
        <w:pStyle w:val="Title"/>
        <w:spacing w:before="0" w:after="0"/>
        <w:ind w:left="2832" w:firstLine="99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8465E">
        <w:rPr>
          <w:rFonts w:ascii="Times New Roman" w:hAnsi="Times New Roman"/>
          <w:b w:val="0"/>
          <w:bCs/>
          <w:sz w:val="24"/>
          <w:szCs w:val="24"/>
        </w:rPr>
        <w:t>ze dne 9.6.2014</w:t>
      </w:r>
    </w:p>
    <w:p w:rsidR="00C32D36" w:rsidRDefault="00C32D36" w:rsidP="00E93D7F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5708FD">
        <w:rPr>
          <w:rFonts w:ascii="Times New Roman" w:hAnsi="Times New Roman"/>
          <w:b w:val="0"/>
          <w:bCs/>
          <w:sz w:val="24"/>
          <w:szCs w:val="24"/>
        </w:rPr>
        <w:t xml:space="preserve">ve znění dodatku č. 1 ze dne 20.7.2015, </w:t>
      </w:r>
    </w:p>
    <w:p w:rsidR="00C32D36" w:rsidRDefault="00C32D36" w:rsidP="00E93D7F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5708FD">
        <w:rPr>
          <w:rFonts w:ascii="Times New Roman" w:hAnsi="Times New Roman"/>
          <w:b w:val="0"/>
          <w:bCs/>
          <w:sz w:val="24"/>
          <w:szCs w:val="24"/>
        </w:rPr>
        <w:t>dodatku č. 2 ze dne 30.6.2016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 w:rsidRPr="005708F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C32D36" w:rsidRDefault="00C32D36" w:rsidP="00E93D7F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5708FD">
        <w:rPr>
          <w:rFonts w:ascii="Times New Roman" w:hAnsi="Times New Roman"/>
          <w:b w:val="0"/>
          <w:bCs/>
          <w:sz w:val="24"/>
          <w:szCs w:val="24"/>
        </w:rPr>
        <w:t>dodatku č. 3 ze dne 19.6.2017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</w:t>
      </w:r>
    </w:p>
    <w:p w:rsidR="00C32D36" w:rsidRPr="005708FD" w:rsidRDefault="00C32D36" w:rsidP="00E93D7F">
      <w:pPr>
        <w:pStyle w:val="Titl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dodatku č. 4 ze dne 28.8.2017 </w:t>
      </w:r>
    </w:p>
    <w:p w:rsidR="00C32D36" w:rsidRPr="0088465E" w:rsidRDefault="00C32D36" w:rsidP="00B22643">
      <w:pPr>
        <w:pStyle w:val="Title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C32D36" w:rsidRPr="0088465E" w:rsidRDefault="00C32D36" w:rsidP="00F75461">
      <w:pPr>
        <w:pStyle w:val="Titl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65E">
        <w:rPr>
          <w:rFonts w:ascii="Times New Roman" w:hAnsi="Times New Roman"/>
          <w:b w:val="0"/>
          <w:bCs/>
          <w:sz w:val="24"/>
          <w:szCs w:val="24"/>
        </w:rPr>
        <w:t xml:space="preserve">na stavbu: </w:t>
      </w:r>
      <w:r w:rsidRPr="0088465E">
        <w:rPr>
          <w:rFonts w:ascii="Times New Roman" w:hAnsi="Times New Roman"/>
          <w:bCs/>
          <w:sz w:val="24"/>
          <w:szCs w:val="24"/>
        </w:rPr>
        <w:t>„</w:t>
      </w:r>
      <w:r w:rsidRPr="0088465E">
        <w:rPr>
          <w:rFonts w:ascii="Times New Roman" w:hAnsi="Times New Roman"/>
          <w:sz w:val="24"/>
          <w:szCs w:val="24"/>
        </w:rPr>
        <w:t>PČOV Miškovice - modernizace“</w:t>
      </w:r>
    </w:p>
    <w:p w:rsidR="00C32D36" w:rsidRPr="0088465E" w:rsidRDefault="00C32D36" w:rsidP="00F75461">
      <w:pPr>
        <w:pStyle w:val="ListNumber"/>
        <w:ind w:left="1134" w:firstLine="284"/>
        <w:rPr>
          <w:rFonts w:ascii="Times New Roman" w:hAnsi="Times New Roman"/>
          <w:bCs/>
          <w:sz w:val="24"/>
          <w:szCs w:val="24"/>
        </w:rPr>
      </w:pPr>
      <w:r w:rsidRPr="0088465E">
        <w:rPr>
          <w:rFonts w:ascii="Times New Roman" w:hAnsi="Times New Roman"/>
          <w:bCs/>
          <w:sz w:val="24"/>
          <w:szCs w:val="24"/>
        </w:rPr>
        <w:t xml:space="preserve">      číslo investiční akce 1/3/597/00</w:t>
      </w:r>
    </w:p>
    <w:p w:rsidR="00C32D36" w:rsidRPr="0088465E" w:rsidRDefault="00C32D36" w:rsidP="00F75461">
      <w:pPr>
        <w:pStyle w:val="ListNumber"/>
        <w:ind w:left="0" w:firstLine="993"/>
        <w:rPr>
          <w:rFonts w:ascii="Times New Roman" w:hAnsi="Times New Roman"/>
          <w:sz w:val="24"/>
          <w:szCs w:val="24"/>
        </w:rPr>
      </w:pPr>
    </w:p>
    <w:p w:rsidR="00C32D36" w:rsidRPr="0088465E" w:rsidRDefault="00C32D36" w:rsidP="00DC25B8">
      <w:pPr>
        <w:pStyle w:val="Heading2"/>
        <w:ind w:hanging="360"/>
        <w:rPr>
          <w:kern w:val="28"/>
        </w:rPr>
      </w:pPr>
      <w:r w:rsidRPr="0088465E">
        <w:rPr>
          <w:kern w:val="28"/>
        </w:rPr>
        <w:t>Smluvní strany</w:t>
      </w:r>
    </w:p>
    <w:p w:rsidR="00C32D36" w:rsidRPr="0088465E" w:rsidRDefault="00C32D36">
      <w:pPr>
        <w:rPr>
          <w:b/>
        </w:rPr>
      </w:pPr>
    </w:p>
    <w:p w:rsidR="00C32D36" w:rsidRPr="00336C82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  <w:r w:rsidRPr="00336C82">
        <w:rPr>
          <w:b/>
          <w:sz w:val="24"/>
          <w:szCs w:val="24"/>
          <w:lang w:eastAsia="en-US"/>
        </w:rPr>
        <w:t xml:space="preserve">Pražská vodohospodářská společnost a.s., </w:t>
      </w:r>
      <w:r w:rsidRPr="00336C82">
        <w:rPr>
          <w:sz w:val="24"/>
          <w:szCs w:val="24"/>
          <w:lang w:eastAsia="en-US"/>
        </w:rPr>
        <w:t>IČ: 256 56 112, DIČ: CZ25656112</w:t>
      </w:r>
    </w:p>
    <w:p w:rsidR="00C32D36" w:rsidRPr="00336C82" w:rsidRDefault="00C32D36" w:rsidP="0088465E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336C82">
        <w:rPr>
          <w:sz w:val="24"/>
          <w:szCs w:val="24"/>
          <w:lang w:eastAsia="en-US"/>
        </w:rPr>
        <w:t>se sídlem Praha 1 - Staré Město, Žatecká 110/2, PSČ 110 00</w:t>
      </w:r>
    </w:p>
    <w:p w:rsidR="00C32D36" w:rsidRPr="00336C82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36C82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:rsidR="00C32D36" w:rsidRPr="00336C82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336C82">
        <w:rPr>
          <w:sz w:val="24"/>
          <w:szCs w:val="24"/>
          <w:lang w:eastAsia="en-US"/>
        </w:rPr>
        <w:t>zastoupena:</w:t>
      </w:r>
      <w:r w:rsidRPr="00336C82">
        <w:rPr>
          <w:sz w:val="24"/>
          <w:szCs w:val="24"/>
          <w:lang w:eastAsia="en-US"/>
        </w:rPr>
        <w:tab/>
      </w:r>
      <w:r w:rsidRPr="00336C82">
        <w:rPr>
          <w:sz w:val="24"/>
          <w:szCs w:val="24"/>
        </w:rPr>
        <w:t>dle obchodního rejstříku z</w:t>
      </w:r>
      <w:r w:rsidRPr="00336C82">
        <w:rPr>
          <w:rStyle w:val="platne1"/>
          <w:sz w:val="24"/>
          <w:szCs w:val="24"/>
        </w:rPr>
        <w:t>a společnost podepisují dva členové představenstva společně</w:t>
      </w:r>
    </w:p>
    <w:p w:rsidR="00C32D36" w:rsidRPr="00560927" w:rsidRDefault="00C32D36" w:rsidP="00630D59">
      <w:r w:rsidRPr="00560927">
        <w:t>(dále jen „</w:t>
      </w:r>
      <w:r w:rsidRPr="00560927">
        <w:rPr>
          <w:b/>
        </w:rPr>
        <w:t>Objednatel</w:t>
      </w:r>
      <w:r w:rsidRPr="00560927">
        <w:t>“)</w:t>
      </w:r>
    </w:p>
    <w:p w:rsidR="00C32D36" w:rsidRPr="0088465E" w:rsidRDefault="00C32D36" w:rsidP="00033A8B"/>
    <w:p w:rsidR="00C32D36" w:rsidRPr="0088465E" w:rsidRDefault="00C32D36" w:rsidP="00033A8B">
      <w:r w:rsidRPr="0088465E">
        <w:t>a</w:t>
      </w:r>
    </w:p>
    <w:p w:rsidR="00C32D36" w:rsidRPr="0088465E" w:rsidRDefault="00C32D36" w:rsidP="00033A8B"/>
    <w:p w:rsidR="00C32D36" w:rsidRPr="0088465E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88465E">
        <w:rPr>
          <w:b/>
          <w:sz w:val="24"/>
          <w:szCs w:val="24"/>
          <w:lang w:eastAsia="en-US"/>
        </w:rPr>
        <w:t>OHL ŽS, a.s.</w:t>
      </w:r>
      <w:r w:rsidRPr="0088465E">
        <w:rPr>
          <w:sz w:val="24"/>
          <w:szCs w:val="24"/>
          <w:lang w:eastAsia="en-US"/>
        </w:rPr>
        <w:t>, IČ: 463 42 796 DIČ: CZ463 42 796</w:t>
      </w:r>
    </w:p>
    <w:p w:rsidR="00C32D36" w:rsidRPr="0088465E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88465E">
        <w:rPr>
          <w:sz w:val="24"/>
          <w:szCs w:val="24"/>
          <w:lang w:eastAsia="en-US"/>
        </w:rPr>
        <w:t>se sídlem 602 00 Brno, Veveří, Burešova 938/17</w:t>
      </w:r>
    </w:p>
    <w:p w:rsidR="00C32D36" w:rsidRPr="0088465E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88465E">
        <w:rPr>
          <w:sz w:val="24"/>
          <w:szCs w:val="24"/>
          <w:lang w:eastAsia="en-US"/>
        </w:rPr>
        <w:t>zapsaná v obchodním rejstříku vedeném Městským soudem v Brně, oddíl </w:t>
      </w:r>
      <w:r w:rsidRPr="0088465E">
        <w:rPr>
          <w:sz w:val="24"/>
          <w:szCs w:val="24"/>
        </w:rPr>
        <w:t>B, vložka 695</w:t>
      </w:r>
    </w:p>
    <w:p w:rsidR="00C32D36" w:rsidRPr="0088465E" w:rsidRDefault="00C32D36" w:rsidP="00101A93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88465E">
        <w:rPr>
          <w:sz w:val="24"/>
          <w:szCs w:val="24"/>
          <w:lang w:eastAsia="en-US"/>
        </w:rPr>
        <w:t xml:space="preserve">zastoupená </w:t>
      </w:r>
      <w:r>
        <w:rPr>
          <w:sz w:val="24"/>
          <w:szCs w:val="24"/>
          <w:lang w:eastAsia="en-US"/>
        </w:rPr>
        <w:t>na základě plné moci</w:t>
      </w:r>
    </w:p>
    <w:p w:rsidR="00C32D36" w:rsidRPr="0088465E" w:rsidRDefault="00C32D36" w:rsidP="00101A93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88465E">
        <w:rPr>
          <w:sz w:val="24"/>
          <w:szCs w:val="24"/>
        </w:rPr>
        <w:t>(dále jen „</w:t>
      </w:r>
      <w:r w:rsidRPr="0088465E">
        <w:rPr>
          <w:b/>
          <w:sz w:val="24"/>
          <w:szCs w:val="24"/>
        </w:rPr>
        <w:t>Zhotovitel</w:t>
      </w:r>
      <w:r w:rsidRPr="0088465E">
        <w:rPr>
          <w:sz w:val="24"/>
          <w:szCs w:val="24"/>
        </w:rPr>
        <w:t>“),</w:t>
      </w:r>
    </w:p>
    <w:p w:rsidR="00C32D36" w:rsidRPr="00AE5034" w:rsidRDefault="00C32D36" w:rsidP="00ED0925">
      <w:pPr>
        <w:jc w:val="center"/>
        <w:rPr>
          <w:b/>
        </w:rPr>
      </w:pPr>
      <w:r w:rsidRPr="00AE5034">
        <w:rPr>
          <w:b/>
        </w:rPr>
        <w:t>Preambule</w:t>
      </w:r>
    </w:p>
    <w:p w:rsidR="00C32D36" w:rsidRPr="00AE5034" w:rsidRDefault="00C32D36" w:rsidP="00ED0925">
      <w:pPr>
        <w:jc w:val="center"/>
        <w:rPr>
          <w:b/>
        </w:rPr>
      </w:pPr>
    </w:p>
    <w:p w:rsidR="00C32D36" w:rsidRPr="0088465E" w:rsidRDefault="00C32D36" w:rsidP="003413D1">
      <w:pPr>
        <w:pStyle w:val="BodyText"/>
        <w:tabs>
          <w:tab w:val="left" w:pos="0"/>
        </w:tabs>
        <w:jc w:val="both"/>
      </w:pPr>
      <w:r w:rsidRPr="0088465E">
        <w:t xml:space="preserve">Smluvní strany se dohodly na sepsání tohoto dodatku č. </w:t>
      </w:r>
      <w:r>
        <w:t>5</w:t>
      </w:r>
      <w:r w:rsidRPr="0088465E">
        <w:t xml:space="preserve">. Předmětem dodatku jsou dodatečné stavební práce, které </w:t>
      </w:r>
      <w:r>
        <w:t>jsou vyvolané skutečným stavem objektů, které nebylo možné předpokládat při zpracování dokumentace DPS.</w:t>
      </w:r>
      <w:r w:rsidRPr="0088465E">
        <w:t xml:space="preserve"> </w:t>
      </w:r>
      <w:r>
        <w:t>Předmětem dodatku č. 5 jsou také neprovedené stavební práce.</w:t>
      </w:r>
      <w:bookmarkStart w:id="0" w:name="_GoBack"/>
      <w:bookmarkEnd w:id="0"/>
      <w:r>
        <w:t xml:space="preserve"> </w:t>
      </w:r>
    </w:p>
    <w:p w:rsidR="00C32D36" w:rsidRDefault="00C32D36" w:rsidP="00946F61">
      <w:pPr>
        <w:pStyle w:val="BodyText"/>
        <w:tabs>
          <w:tab w:val="left" w:pos="0"/>
        </w:tabs>
        <w:jc w:val="both"/>
      </w:pPr>
      <w:r w:rsidRPr="0088465E">
        <w:t xml:space="preserve">Soupis a zdůvodnění dodatečných stavebních prací </w:t>
      </w:r>
      <w:r>
        <w:t xml:space="preserve">je uveden v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prací neprovedených </w:t>
      </w:r>
      <w:r w:rsidRPr="0088465E">
        <w:t xml:space="preserve">v příloze č. </w:t>
      </w:r>
      <w:r>
        <w:t>2</w:t>
      </w:r>
      <w:r w:rsidRPr="0088465E">
        <w:t xml:space="preserve"> tohoto dodatku.</w:t>
      </w:r>
    </w:p>
    <w:p w:rsidR="00C32D36" w:rsidRPr="0088465E" w:rsidRDefault="00C32D36" w:rsidP="00ED51E4">
      <w:pPr>
        <w:pStyle w:val="BodyText"/>
        <w:tabs>
          <w:tab w:val="left" w:pos="0"/>
        </w:tabs>
        <w:spacing w:after="0"/>
        <w:jc w:val="both"/>
      </w:pPr>
    </w:p>
    <w:p w:rsidR="00C32D36" w:rsidRPr="0088465E" w:rsidRDefault="00C32D36" w:rsidP="00847501">
      <w:pPr>
        <w:spacing w:after="100" w:afterAutospacing="1"/>
        <w:jc w:val="center"/>
        <w:rPr>
          <w:b/>
        </w:rPr>
      </w:pPr>
      <w:r w:rsidRPr="0088465E">
        <w:rPr>
          <w:b/>
        </w:rPr>
        <w:t>Článek I.</w:t>
      </w:r>
    </w:p>
    <w:p w:rsidR="00C32D36" w:rsidRPr="0088465E" w:rsidRDefault="00C32D36" w:rsidP="00CA1012">
      <w:pPr>
        <w:pStyle w:val="ListNumber"/>
        <w:numPr>
          <w:ilvl w:val="0"/>
          <w:numId w:val="8"/>
        </w:numPr>
        <w:spacing w:after="100" w:afterAutospacing="1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 xml:space="preserve">Ustanovení </w:t>
      </w:r>
      <w:r w:rsidRPr="0088465E">
        <w:rPr>
          <w:rFonts w:ascii="Times New Roman" w:hAnsi="Times New Roman"/>
          <w:b/>
          <w:sz w:val="24"/>
          <w:szCs w:val="24"/>
        </w:rPr>
        <w:t>čl. 2. Předmět smlouvy</w:t>
      </w:r>
      <w:r w:rsidRPr="0088465E">
        <w:rPr>
          <w:rFonts w:ascii="Times New Roman" w:hAnsi="Times New Roman"/>
          <w:sz w:val="24"/>
          <w:szCs w:val="24"/>
        </w:rPr>
        <w:t xml:space="preserve"> se rozšiřuje o nov</w:t>
      </w:r>
      <w:r>
        <w:rPr>
          <w:rFonts w:ascii="Times New Roman" w:hAnsi="Times New Roman"/>
          <w:sz w:val="24"/>
          <w:szCs w:val="24"/>
        </w:rPr>
        <w:t>é</w:t>
      </w:r>
      <w:r w:rsidRPr="0088465E">
        <w:rPr>
          <w:rFonts w:ascii="Times New Roman" w:hAnsi="Times New Roman"/>
          <w:sz w:val="24"/>
          <w:szCs w:val="24"/>
        </w:rPr>
        <w:t xml:space="preserve"> odstavc</w:t>
      </w:r>
      <w:r>
        <w:rPr>
          <w:rFonts w:ascii="Times New Roman" w:hAnsi="Times New Roman"/>
          <w:sz w:val="24"/>
          <w:szCs w:val="24"/>
        </w:rPr>
        <w:t>e</w:t>
      </w:r>
      <w:r w:rsidRPr="0088465E">
        <w:rPr>
          <w:rFonts w:ascii="Times New Roman" w:hAnsi="Times New Roman"/>
          <w:sz w:val="24"/>
          <w:szCs w:val="24"/>
        </w:rPr>
        <w:t xml:space="preserve"> 2.1.</w:t>
      </w:r>
      <w:r>
        <w:rPr>
          <w:rFonts w:ascii="Times New Roman" w:hAnsi="Times New Roman"/>
          <w:sz w:val="24"/>
          <w:szCs w:val="24"/>
        </w:rPr>
        <w:t>6 a 2.1.7</w:t>
      </w:r>
      <w:r w:rsidRPr="008846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65E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>é</w:t>
      </w:r>
      <w:r w:rsidRPr="0088465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ějí</w:t>
      </w:r>
      <w:r w:rsidRPr="0088465E">
        <w:rPr>
          <w:rFonts w:ascii="Times New Roman" w:hAnsi="Times New Roman"/>
          <w:sz w:val="24"/>
          <w:szCs w:val="24"/>
        </w:rPr>
        <w:t>:</w:t>
      </w:r>
    </w:p>
    <w:p w:rsidR="00C32D36" w:rsidRPr="0088465E" w:rsidRDefault="00C32D36" w:rsidP="00691197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993" w:right="15" w:hanging="993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ab/>
        <w:t>„2.1.</w:t>
      </w:r>
      <w:r>
        <w:rPr>
          <w:rFonts w:ascii="Times New Roman" w:hAnsi="Times New Roman"/>
          <w:sz w:val="24"/>
          <w:szCs w:val="24"/>
        </w:rPr>
        <w:t>6</w:t>
      </w:r>
      <w:r w:rsidRPr="0088465E">
        <w:rPr>
          <w:rFonts w:ascii="Times New Roman" w:hAnsi="Times New Roman"/>
          <w:sz w:val="24"/>
          <w:szCs w:val="24"/>
        </w:rPr>
        <w:t xml:space="preserve"> zhotovitel provede tyto dodatečné stavební práce</w:t>
      </w:r>
    </w:p>
    <w:p w:rsidR="00C32D36" w:rsidRDefault="00C32D36" w:rsidP="00CE695F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suppressAutoHyphens/>
        <w:spacing w:after="120"/>
        <w:ind w:left="0" w:firstLine="426"/>
        <w:contextualSpacing w:val="0"/>
        <w:jc w:val="both"/>
        <w:rPr>
          <w:bCs/>
        </w:rPr>
      </w:pPr>
      <w:r>
        <w:rPr>
          <w:bCs/>
        </w:rPr>
        <w:t>úpravy technologie stávající čerpací stanice</w:t>
      </w:r>
    </w:p>
    <w:p w:rsidR="00C32D36" w:rsidRDefault="00C32D36" w:rsidP="00CE695F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suppressAutoHyphens/>
        <w:spacing w:after="120"/>
        <w:ind w:left="0" w:firstLine="426"/>
        <w:contextualSpacing w:val="0"/>
        <w:jc w:val="both"/>
        <w:rPr>
          <w:bCs/>
        </w:rPr>
      </w:pPr>
      <w:r>
        <w:rPr>
          <w:bCs/>
        </w:rPr>
        <w:t>demolici a výstavbu nové nádrže SO05 linka č. 2</w:t>
      </w:r>
    </w:p>
    <w:p w:rsidR="00C32D36" w:rsidRDefault="00C32D36" w:rsidP="00CE695F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suppressAutoHyphens/>
        <w:spacing w:after="120"/>
        <w:ind w:left="0" w:firstLine="426"/>
        <w:contextualSpacing w:val="0"/>
        <w:jc w:val="both"/>
        <w:rPr>
          <w:bCs/>
        </w:rPr>
      </w:pPr>
      <w:r>
        <w:rPr>
          <w:bCs/>
        </w:rPr>
        <w:t>fasády objektů- silikonová omítka</w:t>
      </w:r>
    </w:p>
    <w:p w:rsidR="00C32D36" w:rsidRDefault="00C32D36" w:rsidP="00CE695F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suppressAutoHyphens/>
        <w:spacing w:after="120"/>
        <w:ind w:left="0" w:firstLine="426"/>
        <w:contextualSpacing w:val="0"/>
        <w:jc w:val="both"/>
        <w:rPr>
          <w:bCs/>
        </w:rPr>
      </w:pPr>
      <w:r>
        <w:rPr>
          <w:bCs/>
        </w:rPr>
        <w:t>úpravu komunikací a zpevněných ploch</w:t>
      </w:r>
    </w:p>
    <w:p w:rsidR="00C32D36" w:rsidRPr="00BA5F82" w:rsidRDefault="00C32D36" w:rsidP="00CE695F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suppressAutoHyphens/>
        <w:spacing w:after="120"/>
        <w:ind w:left="0" w:firstLine="426"/>
        <w:contextualSpacing w:val="0"/>
        <w:jc w:val="both"/>
        <w:rPr>
          <w:bCs/>
        </w:rPr>
      </w:pPr>
      <w:r>
        <w:rPr>
          <w:bCs/>
        </w:rPr>
        <w:t>sanaci betonových konstrukcí – liniová a plošná injektáž“</w:t>
      </w:r>
    </w:p>
    <w:p w:rsidR="00C32D36" w:rsidRPr="006315BB" w:rsidRDefault="00C32D36" w:rsidP="006315BB">
      <w:pPr>
        <w:widowControl w:val="0"/>
        <w:tabs>
          <w:tab w:val="left" w:pos="0"/>
        </w:tabs>
        <w:suppressAutoHyphens/>
        <w:spacing w:after="120"/>
        <w:ind w:left="420"/>
        <w:jc w:val="both"/>
        <w:rPr>
          <w:bCs/>
        </w:rPr>
      </w:pPr>
    </w:p>
    <w:p w:rsidR="00C32D36" w:rsidRPr="00E93D7F" w:rsidRDefault="00C32D36" w:rsidP="00691197">
      <w:pPr>
        <w:pStyle w:val="ListParagraph"/>
        <w:widowControl w:val="0"/>
        <w:numPr>
          <w:ilvl w:val="2"/>
          <w:numId w:val="39"/>
        </w:numPr>
        <w:tabs>
          <w:tab w:val="left" w:pos="0"/>
        </w:tabs>
        <w:suppressAutoHyphens/>
        <w:spacing w:after="120"/>
        <w:ind w:left="1134" w:hanging="708"/>
        <w:jc w:val="both"/>
        <w:rPr>
          <w:bCs/>
        </w:rPr>
      </w:pPr>
      <w:r w:rsidRPr="00E93D7F">
        <w:rPr>
          <w:bCs/>
        </w:rPr>
        <w:t>zhotovitel neprovede tyto stavební práce</w:t>
      </w:r>
    </w:p>
    <w:p w:rsidR="00C32D36" w:rsidRDefault="00C32D36" w:rsidP="00691197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120"/>
        <w:ind w:left="851" w:hanging="431"/>
        <w:jc w:val="both"/>
        <w:rPr>
          <w:bCs/>
        </w:rPr>
      </w:pPr>
      <w:r>
        <w:rPr>
          <w:bCs/>
        </w:rPr>
        <w:t>fasády objektů – fasádní nátěr</w:t>
      </w:r>
    </w:p>
    <w:p w:rsidR="00C32D36" w:rsidRDefault="00C32D36" w:rsidP="00691197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120"/>
        <w:ind w:left="851" w:hanging="431"/>
        <w:jc w:val="both"/>
        <w:rPr>
          <w:bCs/>
        </w:rPr>
      </w:pPr>
      <w:r>
        <w:rPr>
          <w:bCs/>
        </w:rPr>
        <w:t xml:space="preserve">stavební úpravy objektu SO </w:t>
      </w:r>
      <w:smartTag w:uri="urn:schemas-microsoft-com:office:smarttags" w:element="metricconverter">
        <w:smartTagPr>
          <w:attr w:name="ProductID" w:val="03 a"/>
        </w:smartTagPr>
        <w:r>
          <w:rPr>
            <w:bCs/>
          </w:rPr>
          <w:t>03 a</w:t>
        </w:r>
      </w:smartTag>
      <w:r>
        <w:rPr>
          <w:bCs/>
        </w:rPr>
        <w:t xml:space="preserve"> SO 04</w:t>
      </w:r>
    </w:p>
    <w:p w:rsidR="00C32D36" w:rsidRPr="00315370" w:rsidRDefault="00C32D36" w:rsidP="00691197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120"/>
        <w:ind w:left="851" w:hanging="431"/>
        <w:jc w:val="both"/>
        <w:rPr>
          <w:bCs/>
        </w:rPr>
      </w:pPr>
      <w:r>
        <w:rPr>
          <w:bCs/>
        </w:rPr>
        <w:t xml:space="preserve">sanaci betonových konstrukcí </w:t>
      </w:r>
    </w:p>
    <w:p w:rsidR="00C32D36" w:rsidRPr="0088465E" w:rsidRDefault="00C32D36" w:rsidP="00AD59B2">
      <w:pPr>
        <w:widowControl w:val="0"/>
        <w:tabs>
          <w:tab w:val="left" w:pos="0"/>
        </w:tabs>
        <w:suppressAutoHyphens/>
        <w:spacing w:after="120"/>
        <w:ind w:left="780"/>
        <w:jc w:val="both"/>
        <w:rPr>
          <w:bCs/>
        </w:rPr>
      </w:pPr>
    </w:p>
    <w:p w:rsidR="00C32D36" w:rsidRPr="0088465E" w:rsidRDefault="00C32D36" w:rsidP="004453A4">
      <w:pPr>
        <w:numPr>
          <w:ilvl w:val="0"/>
          <w:numId w:val="8"/>
        </w:numPr>
        <w:spacing w:after="100" w:afterAutospacing="1"/>
        <w:ind w:left="357" w:hanging="357"/>
        <w:jc w:val="both"/>
      </w:pPr>
      <w:r w:rsidRPr="0088465E">
        <w:t xml:space="preserve">Ustanovení čl. </w:t>
      </w:r>
      <w:r w:rsidRPr="0088465E">
        <w:rPr>
          <w:b/>
        </w:rPr>
        <w:t xml:space="preserve">5. Cena za provedení díla </w:t>
      </w:r>
      <w:r w:rsidRPr="0088465E">
        <w:t>se rozšiřuje o nový odstavec 5.1.</w:t>
      </w:r>
      <w:r>
        <w:t>4</w:t>
      </w:r>
      <w:r w:rsidRPr="0088465E">
        <w:t>, který zní:</w:t>
      </w:r>
    </w:p>
    <w:p w:rsidR="00C32D36" w:rsidRPr="004453A4" w:rsidRDefault="00C32D36" w:rsidP="004453A4">
      <w:pPr>
        <w:pStyle w:val="Text"/>
        <w:tabs>
          <w:tab w:val="right" w:pos="9923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ab/>
      </w:r>
      <w:r w:rsidRPr="0088465E"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sz w:val="24"/>
          <w:szCs w:val="24"/>
        </w:rPr>
        <w:t>„5.1.</w:t>
      </w:r>
      <w:r>
        <w:rPr>
          <w:rFonts w:ascii="Times New Roman" w:hAnsi="Times New Roman"/>
          <w:sz w:val="24"/>
          <w:szCs w:val="24"/>
        </w:rPr>
        <w:t>4</w:t>
      </w:r>
      <w:r w:rsidRPr="004453A4">
        <w:rPr>
          <w:rFonts w:ascii="Times New Roman" w:hAnsi="Times New Roman"/>
          <w:sz w:val="24"/>
          <w:szCs w:val="24"/>
        </w:rPr>
        <w:t xml:space="preserve"> Cena díla dle ust. čl. 2.1.</w:t>
      </w:r>
      <w:r>
        <w:rPr>
          <w:rFonts w:ascii="Times New Roman" w:hAnsi="Times New Roman"/>
          <w:sz w:val="24"/>
          <w:szCs w:val="24"/>
        </w:rPr>
        <w:t>6 a 2.1.7</w:t>
      </w:r>
      <w:r w:rsidRPr="004453A4">
        <w:rPr>
          <w:rFonts w:ascii="Times New Roman" w:hAnsi="Times New Roman"/>
          <w:sz w:val="24"/>
          <w:szCs w:val="24"/>
        </w:rPr>
        <w:t xml:space="preserve"> činí bez DPH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453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12.067.215,00</w:t>
      </w:r>
      <w:r w:rsidRPr="004453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3A4">
        <w:rPr>
          <w:rFonts w:ascii="Times New Roman" w:hAnsi="Times New Roman"/>
          <w:b/>
          <w:sz w:val="24"/>
          <w:szCs w:val="24"/>
        </w:rPr>
        <w:t>Kč</w:t>
      </w:r>
      <w:r w:rsidRPr="004453A4">
        <w:rPr>
          <w:rFonts w:ascii="Times New Roman" w:hAnsi="Times New Roman"/>
          <w:b/>
          <w:bCs/>
          <w:sz w:val="24"/>
          <w:szCs w:val="24"/>
        </w:rPr>
        <w:t>“</w:t>
      </w:r>
    </w:p>
    <w:p w:rsidR="00C32D36" w:rsidRPr="004453A4" w:rsidRDefault="00C32D36" w:rsidP="004453A4">
      <w:pPr>
        <w:pStyle w:val="Druhrove1"/>
        <w:numPr>
          <w:ilvl w:val="0"/>
          <w:numId w:val="0"/>
        </w:numPr>
        <w:tabs>
          <w:tab w:val="right" w:pos="9781"/>
        </w:tabs>
        <w:spacing w:after="0"/>
        <w:ind w:left="425" w:right="141"/>
        <w:rPr>
          <w:sz w:val="24"/>
          <w:szCs w:val="24"/>
        </w:rPr>
      </w:pPr>
      <w:r w:rsidRPr="004453A4">
        <w:rPr>
          <w:sz w:val="24"/>
          <w:szCs w:val="24"/>
        </w:rPr>
        <w:t>z toho cena dle čl. 2.1.</w:t>
      </w:r>
      <w:r>
        <w:rPr>
          <w:sz w:val="24"/>
          <w:szCs w:val="24"/>
        </w:rPr>
        <w:t>6</w:t>
      </w:r>
      <w:r w:rsidRPr="004453A4">
        <w:rPr>
          <w:sz w:val="24"/>
          <w:szCs w:val="24"/>
        </w:rPr>
        <w:tab/>
      </w:r>
      <w:r>
        <w:rPr>
          <w:sz w:val="24"/>
          <w:szCs w:val="24"/>
        </w:rPr>
        <w:t>14.208.950,00</w:t>
      </w:r>
      <w:r w:rsidRPr="004453A4">
        <w:rPr>
          <w:sz w:val="24"/>
          <w:szCs w:val="24"/>
        </w:rPr>
        <w:t xml:space="preserve"> Kč</w:t>
      </w:r>
    </w:p>
    <w:p w:rsidR="00C32D36" w:rsidRDefault="00C32D36" w:rsidP="004453A4">
      <w:pPr>
        <w:pStyle w:val="Druhrove1"/>
        <w:numPr>
          <w:ilvl w:val="0"/>
          <w:numId w:val="0"/>
        </w:numPr>
        <w:tabs>
          <w:tab w:val="right" w:pos="9781"/>
        </w:tabs>
        <w:spacing w:after="0"/>
        <w:ind w:left="425"/>
        <w:rPr>
          <w:sz w:val="24"/>
          <w:szCs w:val="24"/>
        </w:rPr>
      </w:pPr>
      <w:r w:rsidRPr="004453A4">
        <w:rPr>
          <w:sz w:val="24"/>
          <w:szCs w:val="24"/>
        </w:rPr>
        <w:t>a cena dle čl. 2.1.</w:t>
      </w:r>
      <w:r>
        <w:rPr>
          <w:sz w:val="24"/>
          <w:szCs w:val="24"/>
        </w:rPr>
        <w:t>7</w:t>
      </w:r>
      <w:r w:rsidRPr="004453A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- 2.141.735,00</w:t>
      </w:r>
      <w:r w:rsidRPr="004453A4">
        <w:rPr>
          <w:bCs/>
          <w:sz w:val="24"/>
          <w:szCs w:val="24"/>
        </w:rPr>
        <w:t xml:space="preserve"> </w:t>
      </w:r>
      <w:r w:rsidRPr="004453A4">
        <w:rPr>
          <w:sz w:val="24"/>
          <w:szCs w:val="24"/>
        </w:rPr>
        <w:t>Kč</w:t>
      </w:r>
    </w:p>
    <w:p w:rsidR="00C32D36" w:rsidRPr="004453A4" w:rsidRDefault="00C32D36" w:rsidP="004453A4">
      <w:pPr>
        <w:pStyle w:val="Druhrove1"/>
        <w:numPr>
          <w:ilvl w:val="0"/>
          <w:numId w:val="0"/>
        </w:numPr>
        <w:tabs>
          <w:tab w:val="right" w:pos="9781"/>
        </w:tabs>
        <w:spacing w:after="0"/>
        <w:ind w:left="425"/>
        <w:rPr>
          <w:sz w:val="24"/>
          <w:szCs w:val="24"/>
        </w:rPr>
      </w:pPr>
    </w:p>
    <w:p w:rsidR="00C32D36" w:rsidRPr="004453A4" w:rsidRDefault="00C32D36" w:rsidP="004453A4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4453A4">
        <w:rPr>
          <w:rFonts w:ascii="Times New Roman" w:hAnsi="Times New Roman"/>
          <w:sz w:val="24"/>
          <w:szCs w:val="24"/>
        </w:rPr>
        <w:t>oložkový rozpočet dodatečných a neprovedených st</w:t>
      </w:r>
      <w:r>
        <w:rPr>
          <w:rFonts w:ascii="Times New Roman" w:hAnsi="Times New Roman"/>
          <w:sz w:val="24"/>
          <w:szCs w:val="24"/>
        </w:rPr>
        <w:t>avebních prací – viz příloha č.3</w:t>
      </w:r>
      <w:r w:rsidRPr="004453A4">
        <w:rPr>
          <w:rFonts w:ascii="Times New Roman" w:hAnsi="Times New Roman"/>
          <w:sz w:val="24"/>
          <w:szCs w:val="24"/>
        </w:rPr>
        <w:t>.</w:t>
      </w:r>
    </w:p>
    <w:p w:rsidR="00C32D36" w:rsidRPr="0088465E" w:rsidRDefault="00C32D36" w:rsidP="000327F5">
      <w:pPr>
        <w:pStyle w:val="Text"/>
        <w:tabs>
          <w:tab w:val="right" w:pos="9498"/>
        </w:tabs>
        <w:spacing w:line="240" w:lineRule="auto"/>
        <w:ind w:left="426" w:right="157" w:hanging="426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b/>
          <w:bCs/>
          <w:sz w:val="24"/>
          <w:szCs w:val="24"/>
        </w:rPr>
        <w:tab/>
      </w:r>
      <w:r w:rsidRPr="0088465E">
        <w:rPr>
          <w:rFonts w:ascii="Times New Roman" w:hAnsi="Times New Roman"/>
          <w:b/>
          <w:bCs/>
          <w:sz w:val="24"/>
          <w:szCs w:val="24"/>
        </w:rPr>
        <w:tab/>
      </w:r>
    </w:p>
    <w:p w:rsidR="00C32D36" w:rsidRPr="0088465E" w:rsidRDefault="00C32D36" w:rsidP="00007052">
      <w:pPr>
        <w:pStyle w:val="ListNumber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ab/>
      </w:r>
      <w:r w:rsidRPr="0088465E">
        <w:rPr>
          <w:rFonts w:ascii="Times New Roman" w:hAnsi="Times New Roman"/>
          <w:sz w:val="24"/>
          <w:szCs w:val="24"/>
        </w:rPr>
        <w:tab/>
      </w:r>
    </w:p>
    <w:p w:rsidR="00C32D36" w:rsidRPr="0088465E" w:rsidRDefault="00C32D36" w:rsidP="00007052">
      <w:pPr>
        <w:pStyle w:val="ListNumber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ab/>
      </w:r>
      <w:r w:rsidRPr="0088465E">
        <w:rPr>
          <w:rFonts w:ascii="Times New Roman" w:hAnsi="Times New Roman"/>
          <w:sz w:val="24"/>
          <w:szCs w:val="24"/>
        </w:rPr>
        <w:tab/>
        <w:t>Celková cena díla ve znění SoD a dodatk</w:t>
      </w:r>
      <w:r>
        <w:rPr>
          <w:rFonts w:ascii="Times New Roman" w:hAnsi="Times New Roman"/>
          <w:sz w:val="24"/>
          <w:szCs w:val="24"/>
        </w:rPr>
        <w:t>ů</w:t>
      </w:r>
      <w:r w:rsidRPr="0088465E">
        <w:rPr>
          <w:rFonts w:ascii="Times New Roman" w:hAnsi="Times New Roman"/>
          <w:sz w:val="24"/>
          <w:szCs w:val="24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Pr="0088465E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2</w:t>
      </w:r>
      <w:r w:rsidRPr="0088465E">
        <w:rPr>
          <w:rFonts w:ascii="Times New Roman" w:hAnsi="Times New Roman"/>
          <w:sz w:val="24"/>
          <w:szCs w:val="24"/>
        </w:rPr>
        <w:t xml:space="preserve"> pak činí</w:t>
      </w:r>
    </w:p>
    <w:p w:rsidR="00C32D36" w:rsidRPr="004453A4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>Původní cena za dílo bez DPH</w:t>
      </w:r>
      <w:r w:rsidRPr="0088465E"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sz w:val="24"/>
          <w:szCs w:val="24"/>
        </w:rPr>
        <w:t>147.987.304,00 Kč</w:t>
      </w:r>
    </w:p>
    <w:p w:rsidR="00C32D36" w:rsidRPr="004453A4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4453A4">
        <w:rPr>
          <w:rFonts w:ascii="Times New Roman" w:hAnsi="Times New Roman"/>
          <w:sz w:val="24"/>
          <w:szCs w:val="24"/>
        </w:rPr>
        <w:t>Cena dle dodatku č. 1 bez DPH</w:t>
      </w:r>
      <w:r w:rsidRPr="004453A4"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bCs/>
          <w:sz w:val="24"/>
          <w:szCs w:val="24"/>
        </w:rPr>
        <w:t xml:space="preserve">5.454.297,00 </w:t>
      </w:r>
      <w:r w:rsidRPr="004453A4">
        <w:rPr>
          <w:rFonts w:ascii="Times New Roman" w:hAnsi="Times New Roman"/>
          <w:sz w:val="24"/>
          <w:szCs w:val="24"/>
        </w:rPr>
        <w:t>Kč</w:t>
      </w:r>
    </w:p>
    <w:p w:rsidR="00C32D36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4453A4">
        <w:rPr>
          <w:rFonts w:ascii="Times New Roman" w:hAnsi="Times New Roman"/>
          <w:sz w:val="24"/>
          <w:szCs w:val="24"/>
        </w:rPr>
        <w:t>Cena dle dodatku č. 2 bez DPH</w:t>
      </w:r>
      <w:r w:rsidRPr="004453A4">
        <w:rPr>
          <w:rFonts w:ascii="Times New Roman" w:hAnsi="Times New Roman"/>
          <w:sz w:val="24"/>
          <w:szCs w:val="24"/>
        </w:rPr>
        <w:tab/>
        <w:t>15.014.684,00 Kč</w:t>
      </w:r>
    </w:p>
    <w:p w:rsidR="00C32D36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3 bez DPH</w:t>
      </w:r>
      <w:r>
        <w:rPr>
          <w:rFonts w:ascii="Times New Roman" w:hAnsi="Times New Roman"/>
          <w:sz w:val="24"/>
          <w:szCs w:val="24"/>
        </w:rPr>
        <w:tab/>
        <w:t>4.416.719,00 Kč</w:t>
      </w:r>
    </w:p>
    <w:p w:rsidR="00C32D36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4 bez DPH</w:t>
      </w:r>
      <w:r>
        <w:rPr>
          <w:rFonts w:ascii="Times New Roman" w:hAnsi="Times New Roman"/>
          <w:sz w:val="24"/>
          <w:szCs w:val="24"/>
        </w:rPr>
        <w:tab/>
        <w:t>0,00 Kč</w:t>
      </w:r>
    </w:p>
    <w:p w:rsidR="00C32D36" w:rsidRPr="004453A4" w:rsidRDefault="00C32D36" w:rsidP="00007052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dle dodatku č. 5 bez DPH</w:t>
      </w:r>
      <w:r>
        <w:rPr>
          <w:rFonts w:ascii="Times New Roman" w:hAnsi="Times New Roman"/>
          <w:sz w:val="24"/>
          <w:szCs w:val="24"/>
        </w:rPr>
        <w:tab/>
        <w:t>12.067.215,00 Kč</w:t>
      </w:r>
    </w:p>
    <w:p w:rsidR="00C32D36" w:rsidRPr="004453A4" w:rsidRDefault="00C32D36" w:rsidP="007A03A9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4453A4">
        <w:rPr>
          <w:rFonts w:ascii="Times New Roman" w:hAnsi="Times New Roman"/>
          <w:sz w:val="24"/>
          <w:szCs w:val="24"/>
        </w:rPr>
        <w:t>Celková cena bez DPH:</w:t>
      </w:r>
      <w:r w:rsidRPr="004453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184.940.219,00</w:t>
      </w:r>
      <w:r w:rsidRPr="004453A4">
        <w:rPr>
          <w:rFonts w:ascii="Times New Roman" w:hAnsi="Times New Roman"/>
          <w:sz w:val="24"/>
          <w:szCs w:val="24"/>
        </w:rPr>
        <w:t xml:space="preserve"> Kč</w:t>
      </w:r>
    </w:p>
    <w:p w:rsidR="00C32D36" w:rsidRPr="0088465E" w:rsidRDefault="00C32D36" w:rsidP="00007052">
      <w:pPr>
        <w:tabs>
          <w:tab w:val="num" w:pos="567"/>
        </w:tabs>
        <w:jc w:val="both"/>
      </w:pPr>
      <w:r w:rsidRPr="004453A4">
        <w:tab/>
        <w:t>DPH 21 %</w:t>
      </w:r>
    </w:p>
    <w:p w:rsidR="00C32D36" w:rsidRDefault="00C32D36" w:rsidP="00007052">
      <w:pPr>
        <w:tabs>
          <w:tab w:val="num" w:pos="567"/>
        </w:tabs>
        <w:jc w:val="both"/>
      </w:pPr>
    </w:p>
    <w:p w:rsidR="00C32D36" w:rsidRDefault="00C32D36" w:rsidP="00007052">
      <w:pPr>
        <w:tabs>
          <w:tab w:val="num" w:pos="567"/>
        </w:tabs>
        <w:jc w:val="both"/>
      </w:pPr>
    </w:p>
    <w:p w:rsidR="00C32D36" w:rsidRPr="0088465E" w:rsidRDefault="00C32D36" w:rsidP="00691197">
      <w:pPr>
        <w:pStyle w:val="PrvnrovesmlouvyNadpis"/>
        <w:numPr>
          <w:ilvl w:val="0"/>
          <w:numId w:val="8"/>
        </w:numPr>
        <w:spacing w:before="120" w:after="0"/>
      </w:pPr>
      <w:r>
        <w:rPr>
          <w:b w:val="0"/>
          <w:caps w:val="0"/>
        </w:rPr>
        <w:t xml:space="preserve">Ustanovení bodu 23.10. ve </w:t>
      </w:r>
      <w:r w:rsidRPr="00691197">
        <w:rPr>
          <w:caps w:val="0"/>
        </w:rPr>
        <w:t>Všeobecných obchodních podmínkách Pražské vodohospodářské společnosti a.s</w:t>
      </w:r>
      <w:r>
        <w:rPr>
          <w:b w:val="0"/>
          <w:caps w:val="0"/>
        </w:rPr>
        <w:t>. pro stavby platné od 1.7.2013 se mění následovně:</w:t>
      </w:r>
      <w:r w:rsidRPr="005F40F3">
        <w:rPr>
          <w:b w:val="0"/>
        </w:rPr>
        <w:t xml:space="preserve">  </w:t>
      </w:r>
    </w:p>
    <w:p w:rsidR="00C32D36" w:rsidRDefault="00C32D36" w:rsidP="00DA6A74">
      <w:pPr>
        <w:pStyle w:val="BodyText2"/>
        <w:rPr>
          <w:szCs w:val="24"/>
        </w:rPr>
      </w:pPr>
    </w:p>
    <w:p w:rsidR="00C32D36" w:rsidRPr="00587570" w:rsidRDefault="00C32D36" w:rsidP="00691197">
      <w:pPr>
        <w:pStyle w:val="Druhrovesmlouvy"/>
        <w:numPr>
          <w:ilvl w:val="1"/>
          <w:numId w:val="40"/>
        </w:numPr>
        <w:tabs>
          <w:tab w:val="clear" w:pos="1440"/>
        </w:tabs>
        <w:rPr>
          <w:b/>
          <w:bCs/>
          <w:i/>
          <w:iCs/>
        </w:rPr>
      </w:pPr>
      <w:r w:rsidRPr="00587570">
        <w:t xml:space="preserve">Zhotovitel se zavazuje předat Objednateli originál dokumentu každé bankovní </w:t>
      </w:r>
      <w:r>
        <w:t xml:space="preserve">Garanční </w:t>
      </w:r>
      <w:r w:rsidRPr="00587570">
        <w:t>záruky sjednané ve prospěch Objednatele v dohodnuté výši</w:t>
      </w:r>
      <w:r>
        <w:t xml:space="preserve"> </w:t>
      </w:r>
      <w:r w:rsidRPr="00587570">
        <w:t xml:space="preserve">a to nejpozději do </w:t>
      </w:r>
      <w:r>
        <w:t>6</w:t>
      </w:r>
      <w:r w:rsidRPr="00587570">
        <w:t>0 dnů od předání Díla Zhotovitelem a jeho převzetí Objednatelem.</w:t>
      </w:r>
    </w:p>
    <w:p w:rsidR="00C32D36" w:rsidRDefault="00C32D36" w:rsidP="00DA6A74">
      <w:pPr>
        <w:pStyle w:val="BodyText2"/>
        <w:rPr>
          <w:szCs w:val="24"/>
        </w:rPr>
      </w:pPr>
    </w:p>
    <w:p w:rsidR="00C32D36" w:rsidRDefault="00C32D36" w:rsidP="00DA6A74">
      <w:pPr>
        <w:pStyle w:val="BodyText2"/>
        <w:rPr>
          <w:szCs w:val="24"/>
        </w:rPr>
      </w:pPr>
    </w:p>
    <w:p w:rsidR="00C32D36" w:rsidRPr="0088465E" w:rsidRDefault="00C32D36" w:rsidP="00DA6A74">
      <w:pPr>
        <w:pStyle w:val="BodyText2"/>
        <w:rPr>
          <w:szCs w:val="24"/>
        </w:rPr>
      </w:pPr>
    </w:p>
    <w:p w:rsidR="00C32D36" w:rsidRPr="0088465E" w:rsidRDefault="00C32D36" w:rsidP="00847501">
      <w:pPr>
        <w:spacing w:after="100" w:afterAutospacing="1"/>
        <w:ind w:left="357"/>
        <w:jc w:val="center"/>
        <w:rPr>
          <w:b/>
        </w:rPr>
      </w:pPr>
      <w:r w:rsidRPr="0088465E">
        <w:rPr>
          <w:b/>
        </w:rPr>
        <w:t>Článek II.</w:t>
      </w:r>
    </w:p>
    <w:p w:rsidR="00C32D36" w:rsidRPr="0088465E" w:rsidRDefault="00C32D36" w:rsidP="00847501">
      <w:pPr>
        <w:ind w:left="360" w:hanging="360"/>
        <w:jc w:val="both"/>
      </w:pPr>
      <w:r w:rsidRPr="0088465E">
        <w:t>Ostatní ustanovení Smlouvy o dílo</w:t>
      </w:r>
      <w:r>
        <w:t xml:space="preserve"> a dodatků</w:t>
      </w:r>
      <w:r w:rsidRPr="0088465E">
        <w:t xml:space="preserve"> se nemění.</w:t>
      </w:r>
    </w:p>
    <w:p w:rsidR="00C32D36" w:rsidRPr="0088465E" w:rsidRDefault="00C32D36" w:rsidP="00C05164">
      <w:pPr>
        <w:ind w:left="360"/>
        <w:jc w:val="center"/>
        <w:rPr>
          <w:b/>
        </w:rPr>
      </w:pPr>
    </w:p>
    <w:p w:rsidR="00C32D36" w:rsidRPr="0088465E" w:rsidRDefault="00C32D36" w:rsidP="00C05164">
      <w:pPr>
        <w:ind w:left="360"/>
        <w:jc w:val="center"/>
        <w:rPr>
          <w:b/>
        </w:rPr>
      </w:pPr>
    </w:p>
    <w:p w:rsidR="00C32D36" w:rsidRDefault="00C32D36" w:rsidP="00CE695F">
      <w:pPr>
        <w:spacing w:after="100" w:afterAutospacing="1"/>
        <w:ind w:left="357"/>
        <w:jc w:val="center"/>
        <w:rPr>
          <w:b/>
        </w:rPr>
      </w:pPr>
    </w:p>
    <w:p w:rsidR="00C32D36" w:rsidRPr="0088465E" w:rsidRDefault="00C32D36" w:rsidP="00CE695F">
      <w:pPr>
        <w:spacing w:after="100" w:afterAutospacing="1"/>
        <w:ind w:left="357"/>
        <w:jc w:val="center"/>
        <w:rPr>
          <w:b/>
        </w:rPr>
      </w:pPr>
      <w:r w:rsidRPr="0088465E">
        <w:rPr>
          <w:b/>
        </w:rPr>
        <w:t>Článek III.</w:t>
      </w:r>
    </w:p>
    <w:p w:rsidR="00C32D36" w:rsidRPr="0088465E" w:rsidRDefault="00C32D36" w:rsidP="00787044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 xml:space="preserve">Tento Dodatek je vyhotoven ve </w:t>
      </w:r>
      <w:r>
        <w:rPr>
          <w:rFonts w:ascii="Times New Roman" w:hAnsi="Times New Roman"/>
          <w:sz w:val="24"/>
          <w:szCs w:val="24"/>
        </w:rPr>
        <w:t xml:space="preserve">dvou </w:t>
      </w:r>
      <w:r w:rsidRPr="0088465E">
        <w:rPr>
          <w:rFonts w:ascii="Times New Roman" w:hAnsi="Times New Roman"/>
          <w:sz w:val="24"/>
          <w:szCs w:val="24"/>
        </w:rPr>
        <w:t>vyhotoveních v českém jazyce. Každá ze Smluvních stran obdrží po jednom (1) vyhotovení.</w:t>
      </w:r>
    </w:p>
    <w:p w:rsidR="00C32D36" w:rsidRPr="0088465E" w:rsidRDefault="00C32D36" w:rsidP="00784BAF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C32D36" w:rsidRPr="0088465E" w:rsidRDefault="00C32D36" w:rsidP="00784BAF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6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>Nedílnou součástí tohoto Dodatku jsou přílohy:</w:t>
      </w:r>
    </w:p>
    <w:p w:rsidR="00C32D36" w:rsidRDefault="00C32D36" w:rsidP="00784BAF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88465E">
        <w:rPr>
          <w:rFonts w:ascii="Times New Roman" w:hAnsi="Times New Roman"/>
          <w:sz w:val="24"/>
          <w:szCs w:val="24"/>
        </w:rPr>
        <w:t xml:space="preserve">č. 1 - </w:t>
      </w:r>
      <w:r>
        <w:rPr>
          <w:rFonts w:ascii="Times New Roman" w:hAnsi="Times New Roman"/>
          <w:sz w:val="24"/>
          <w:szCs w:val="24"/>
        </w:rPr>
        <w:t>S</w:t>
      </w:r>
      <w:r w:rsidRPr="0088465E">
        <w:rPr>
          <w:rFonts w:ascii="Times New Roman" w:hAnsi="Times New Roman"/>
          <w:sz w:val="24"/>
          <w:szCs w:val="24"/>
        </w:rPr>
        <w:t xml:space="preserve">oupis </w:t>
      </w:r>
      <w:r>
        <w:rPr>
          <w:rFonts w:ascii="Times New Roman" w:hAnsi="Times New Roman"/>
          <w:sz w:val="24"/>
          <w:szCs w:val="24"/>
        </w:rPr>
        <w:t xml:space="preserve">a zdůvodnění </w:t>
      </w:r>
      <w:r w:rsidRPr="0088465E">
        <w:rPr>
          <w:rFonts w:ascii="Times New Roman" w:hAnsi="Times New Roman"/>
          <w:sz w:val="24"/>
          <w:szCs w:val="24"/>
        </w:rPr>
        <w:t>dodatečných stavebních prací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D36" w:rsidRPr="00BA5F82" w:rsidRDefault="00C32D36" w:rsidP="00784BAF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2 - </w:t>
      </w:r>
      <w:r w:rsidRPr="00BA5F82">
        <w:rPr>
          <w:rFonts w:ascii="Times New Roman" w:hAnsi="Times New Roman"/>
          <w:sz w:val="24"/>
          <w:szCs w:val="24"/>
        </w:rPr>
        <w:t>Soupis a zdůvodnění stavebních prací neprovedených</w:t>
      </w:r>
    </w:p>
    <w:p w:rsidR="00C32D36" w:rsidRPr="00BA5F82" w:rsidRDefault="00C32D36" w:rsidP="00784BAF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BA5F82">
        <w:rPr>
          <w:rFonts w:ascii="Times New Roman" w:hAnsi="Times New Roman"/>
          <w:sz w:val="24"/>
          <w:szCs w:val="24"/>
        </w:rPr>
        <w:t>č. 3  - Položkový rozpočet dodatečných a neprovedených stavebních prací</w:t>
      </w:r>
    </w:p>
    <w:p w:rsidR="00C32D36" w:rsidRPr="00BA5F82" w:rsidRDefault="00C32D36" w:rsidP="00784BAF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BA5F82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</w:t>
      </w:r>
      <w:r w:rsidRPr="00BA5F82">
        <w:rPr>
          <w:rFonts w:ascii="Times New Roman" w:hAnsi="Times New Roman"/>
          <w:sz w:val="24"/>
          <w:szCs w:val="24"/>
        </w:rPr>
        <w:t xml:space="preserve"> - Seznam Odpovědných osob a čísla účtů zveřejněných v registru plátců DPH</w:t>
      </w:r>
    </w:p>
    <w:p w:rsidR="00C32D36" w:rsidRPr="00BA5F82" w:rsidRDefault="00C32D36" w:rsidP="000327F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C32D36" w:rsidRPr="0088465E" w:rsidRDefault="00C32D36" w:rsidP="000327F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C32D36" w:rsidRPr="0088465E" w:rsidTr="003049DF">
        <w:trPr>
          <w:trHeight w:val="434"/>
        </w:trPr>
        <w:tc>
          <w:tcPr>
            <w:tcW w:w="4464" w:type="dxa"/>
          </w:tcPr>
          <w:p w:rsidR="00C32D36" w:rsidRPr="003049DF" w:rsidRDefault="00C32D36" w:rsidP="003049DF">
            <w:pPr>
              <w:pStyle w:val="BodyText"/>
              <w:spacing w:after="0"/>
              <w:ind w:left="907"/>
              <w:rPr>
                <w:sz w:val="22"/>
                <w:szCs w:val="22"/>
                <w:lang w:val="en-US" w:eastAsia="en-US"/>
              </w:rPr>
            </w:pPr>
            <w:r w:rsidRPr="003049DF">
              <w:rPr>
                <w:sz w:val="22"/>
                <w:szCs w:val="22"/>
                <w:lang w:val="en-US" w:eastAsia="en-US"/>
              </w:rPr>
              <w:t>Za Objednatele,</w:t>
            </w: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3049DF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36C82">
            <w:pPr>
              <w:pStyle w:val="BodyTex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64" w:type="dxa"/>
          </w:tcPr>
          <w:p w:rsidR="00C32D36" w:rsidRPr="003049DF" w:rsidRDefault="00C32D36" w:rsidP="003049DF">
            <w:pPr>
              <w:pStyle w:val="BodyText"/>
              <w:spacing w:after="0"/>
              <w:ind w:left="907"/>
              <w:rPr>
                <w:sz w:val="22"/>
                <w:szCs w:val="22"/>
                <w:lang w:val="en-US" w:eastAsia="en-US"/>
              </w:rPr>
            </w:pPr>
            <w:r w:rsidRPr="003049DF">
              <w:rPr>
                <w:sz w:val="22"/>
                <w:szCs w:val="22"/>
                <w:lang w:val="en-US" w:eastAsia="en-US"/>
              </w:rPr>
              <w:t>Za Zhotovitele,</w:t>
            </w: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3049DF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C32D36" w:rsidRPr="003049DF" w:rsidRDefault="00C32D36" w:rsidP="003049DF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32D36" w:rsidRDefault="00C32D36" w:rsidP="000327F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b/>
          <w:sz w:val="24"/>
          <w:szCs w:val="24"/>
        </w:rPr>
      </w:pPr>
    </w:p>
    <w:p w:rsidR="00C32D36" w:rsidRPr="00174DAC" w:rsidRDefault="00C32D36" w:rsidP="000327F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b/>
          <w:sz w:val="24"/>
          <w:szCs w:val="24"/>
        </w:rPr>
      </w:pPr>
      <w:r w:rsidRPr="00174DAC">
        <w:rPr>
          <w:rFonts w:ascii="Times New Roman" w:hAnsi="Times New Roman"/>
          <w:b/>
          <w:sz w:val="24"/>
          <w:szCs w:val="24"/>
        </w:rPr>
        <w:t>Příloha č. 1 – Soupis a zdůvodnění dodatečných stavebních prací</w:t>
      </w:r>
    </w:p>
    <w:p w:rsidR="00C32D36" w:rsidRDefault="00C32D36" w:rsidP="002B58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C32D36" w:rsidRDefault="00C32D36" w:rsidP="00EB3397">
      <w:pPr>
        <w:pStyle w:val="BodyText"/>
        <w:spacing w:after="240"/>
        <w:jc w:val="both"/>
        <w:rPr>
          <w:b/>
          <w:bCs/>
        </w:rPr>
      </w:pPr>
      <w:r w:rsidRPr="005E3A0C">
        <w:rPr>
          <w:b/>
          <w:bCs/>
        </w:rPr>
        <w:t xml:space="preserve">Soupis dodatečných stavebních prací (nebo dodávek): </w:t>
      </w:r>
      <w:r>
        <w:rPr>
          <w:b/>
          <w:bCs/>
        </w:rPr>
        <w:t xml:space="preserve">– </w:t>
      </w:r>
      <w:r>
        <w:rPr>
          <w:bCs/>
        </w:rPr>
        <w:t>práce jsou specifikovány v ZL43</w:t>
      </w:r>
      <w:r w:rsidRPr="00C80CAB">
        <w:rPr>
          <w:bCs/>
        </w:rPr>
        <w:t xml:space="preserve"> až </w:t>
      </w:r>
      <w:r>
        <w:rPr>
          <w:bCs/>
        </w:rPr>
        <w:t>ZL49, ZL80 až ZL88</w:t>
      </w:r>
      <w:r w:rsidRPr="00C80CAB">
        <w:rPr>
          <w:bCs/>
        </w:rPr>
        <w:t xml:space="preserve"> v následujícím popise</w:t>
      </w:r>
      <w:r>
        <w:rPr>
          <w:bCs/>
        </w:rPr>
        <w:t xml:space="preserve"> a v samostatných listech</w:t>
      </w:r>
      <w:r w:rsidRPr="00C80CAB">
        <w:rPr>
          <w:bCs/>
        </w:rPr>
        <w:t>,</w:t>
      </w:r>
      <w:r>
        <w:rPr>
          <w:b/>
          <w:bCs/>
        </w:rPr>
        <w:t xml:space="preserve"> </w:t>
      </w:r>
    </w:p>
    <w:p w:rsidR="00C32D36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ZL43</w:t>
      </w:r>
      <w:r w:rsidRPr="009011F1">
        <w:rPr>
          <w:b/>
          <w:bCs/>
        </w:rPr>
        <w:tab/>
      </w:r>
      <w:r w:rsidRPr="00877269">
        <w:rPr>
          <w:b/>
          <w:bCs/>
        </w:rPr>
        <w:t>PS 01÷6, 11 Strojně technologická část</w:t>
      </w:r>
      <w:r>
        <w:rPr>
          <w:b/>
          <w:bCs/>
        </w:rPr>
        <w:t xml:space="preserve">, </w:t>
      </w:r>
      <w:r w:rsidRPr="00432863">
        <w:rPr>
          <w:b/>
          <w:bCs/>
        </w:rPr>
        <w:t>Úpravy technologie stávající čerpací stanice</w:t>
      </w:r>
    </w:p>
    <w:p w:rsidR="00C32D36" w:rsidRPr="00432863" w:rsidRDefault="00C32D36" w:rsidP="00EB3397">
      <w:pPr>
        <w:pStyle w:val="BodyText"/>
        <w:spacing w:after="240"/>
        <w:jc w:val="both"/>
        <w:rPr>
          <w:bCs/>
        </w:rPr>
      </w:pPr>
      <w:r w:rsidRPr="00432863">
        <w:rPr>
          <w:bCs/>
        </w:rPr>
        <w:t>V návaznosti na nové řešení některých stavebních objektů rekonstrukce ČOV Miškovice došlo k úpravám projektu nad rámec DPS.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432863">
        <w:rPr>
          <w:bCs/>
        </w:rPr>
        <w:t>U objektu SO 04 Vstupní čerpací stanice se změny dotkly stávajícího objektu čerpací stanice. Ten již nebude propojen s novou čerpací jímkou, ale po rekonstrukci bude sloužit jako rezerva při odstavení nové stanice. Dvě z původních čerpadel se ponechají a bude provedena jejich repase a jejich výtlačná potrubí se propojí s výtlačným potrubím od nových čerpadel. U výkazu výměr, potažmo technické specifikace, dojde k redukci některých položek a některé položky se přidají.                                     Vystrojení stávající manipulační komory k ovládání stávajících čerpadel bude kompletně vyměněné (včetně prostupů a přilehlých částí potrubí). Namontují se taktéž nové uložení pod armatury a potrubí. Do stávající malé jímky podlahové vody v rohu komory se doplní ponorné kalové čerpadlo podlahové vody, jehož výtlačné potrubí se zaústí do nové jímky vstupní čerpací stanice. V případě jejího odstavení bude jedna větev potrubí zaústěna přímo do potrubí odpadní vody z bezpečnostních přelivů směřující do stávající jímky čerpací stanice. Na traverzovou konstrukci nad čerpací jímkou se nainstaluje pojezdový kladkostroj s ruční kočkou. Veškeré  nové potrubní rozvody jsou uvažovány v nerezové oceli tř.17. K prostupům skrze stěny se použijí jádrové vrty s dvojitým pryžovým segmentovým těsněním. Na stávající nosník I140 v objektu manipulační komory se osadí nový kladkostroj s ručním ovládáním pro zvedání armatur. Zároveň bude doplněno řízení nového technologického vybavení vč. nového rozvaděče. Traverzová konstrukce nad stávající otevřenou jímkou se šetrně oddělí od plošiny, ošetří, vhodně upraví a po vytvoření zákrytové betonové desky n</w:t>
      </w:r>
      <w:r>
        <w:rPr>
          <w:bCs/>
        </w:rPr>
        <w:t>ad jímkou se na ni přimontuje.</w:t>
      </w:r>
      <w:r w:rsidRPr="00432863">
        <w:rPr>
          <w:bCs/>
        </w:rPr>
        <w:tab/>
      </w:r>
      <w:r w:rsidRPr="00432863">
        <w:rPr>
          <w:bCs/>
        </w:rPr>
        <w:tab/>
      </w:r>
      <w:r w:rsidRPr="00432863">
        <w:rPr>
          <w:bCs/>
        </w:rPr>
        <w:tab/>
      </w:r>
      <w:r w:rsidRPr="00432863">
        <w:rPr>
          <w:bCs/>
        </w:rPr>
        <w:tab/>
      </w:r>
      <w:r w:rsidRPr="00432863">
        <w:rPr>
          <w:bCs/>
        </w:rPr>
        <w:tab/>
      </w:r>
      <w:r w:rsidRPr="00432863">
        <w:rPr>
          <w:bCs/>
        </w:rPr>
        <w:tab/>
      </w:r>
      <w:r w:rsidRPr="00432863">
        <w:rPr>
          <w:bCs/>
        </w:rPr>
        <w:tab/>
      </w:r>
      <w:r>
        <w:rPr>
          <w:bCs/>
        </w:rPr>
        <w:t xml:space="preserve"> </w:t>
      </w:r>
    </w:p>
    <w:p w:rsidR="00C32D36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ZL44</w:t>
      </w:r>
      <w:r w:rsidRPr="00D804A5">
        <w:rPr>
          <w:b/>
          <w:bCs/>
        </w:rPr>
        <w:tab/>
      </w:r>
      <w:r w:rsidRPr="00432863">
        <w:rPr>
          <w:b/>
          <w:bCs/>
        </w:rPr>
        <w:t>PS 08 Měření a regulace, ASŘ</w:t>
      </w:r>
      <w:r>
        <w:rPr>
          <w:b/>
          <w:bCs/>
        </w:rPr>
        <w:t xml:space="preserve">, </w:t>
      </w:r>
      <w:r w:rsidRPr="00432863">
        <w:rPr>
          <w:b/>
          <w:bCs/>
        </w:rPr>
        <w:t>Napojení srážkoměru do řídícího systému</w:t>
      </w:r>
    </w:p>
    <w:p w:rsidR="00C32D36" w:rsidRPr="00CE0BD8" w:rsidRDefault="00C32D36" w:rsidP="00EB3397">
      <w:pPr>
        <w:pStyle w:val="BodyText"/>
        <w:spacing w:after="240"/>
        <w:jc w:val="both"/>
        <w:rPr>
          <w:bCs/>
        </w:rPr>
      </w:pPr>
      <w:r w:rsidRPr="00432863">
        <w:rPr>
          <w:bCs/>
        </w:rPr>
        <w:t>Objednatel požaduje, aby byla srážkoměrná stanice přemístěna na střechu stávající budovy hrubého předčištění SO 03. Bude zde zároveň zajištěno připojení kabelů (d</w:t>
      </w:r>
      <w:r>
        <w:rPr>
          <w:bCs/>
        </w:rPr>
        <w:t>atový a napájecí kabel).</w:t>
      </w:r>
    </w:p>
    <w:p w:rsidR="00C32D36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ZL45</w:t>
      </w:r>
      <w:r w:rsidRPr="009011F1">
        <w:rPr>
          <w:b/>
          <w:bCs/>
        </w:rPr>
        <w:tab/>
      </w:r>
      <w:r w:rsidRPr="00432863">
        <w:rPr>
          <w:b/>
          <w:bCs/>
        </w:rPr>
        <w:t>PS 08 Měření a regulace, ASŘ</w:t>
      </w:r>
      <w:r>
        <w:rPr>
          <w:b/>
          <w:bCs/>
        </w:rPr>
        <w:t xml:space="preserve">, </w:t>
      </w:r>
      <w:r w:rsidRPr="00432863">
        <w:rPr>
          <w:b/>
          <w:bCs/>
        </w:rPr>
        <w:t>Krytky ultrazvukových sond v měrném žlabu</w:t>
      </w:r>
    </w:p>
    <w:p w:rsidR="00C32D36" w:rsidRPr="00250D07" w:rsidRDefault="00C32D36" w:rsidP="00EB3397">
      <w:pPr>
        <w:pStyle w:val="BodyText"/>
        <w:spacing w:after="240"/>
        <w:jc w:val="both"/>
        <w:rPr>
          <w:bCs/>
        </w:rPr>
      </w:pPr>
      <w:r>
        <w:rPr>
          <w:bCs/>
        </w:rPr>
        <w:t>Z důvodu ovlivnění snímačů osluněním o</w:t>
      </w:r>
      <w:r w:rsidRPr="00432863">
        <w:rPr>
          <w:bCs/>
        </w:rPr>
        <w:t xml:space="preserve">bjednatel požaduje doplnit dodané ultrazvukové </w:t>
      </w:r>
      <w:r>
        <w:rPr>
          <w:bCs/>
        </w:rPr>
        <w:t>sondy o krytky v provedení z nerezu</w:t>
      </w:r>
      <w:r w:rsidRPr="00C00DB9">
        <w:rPr>
          <w:bCs/>
        </w:rPr>
        <w:t>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46</w:t>
      </w:r>
      <w:r w:rsidRPr="00250D07">
        <w:rPr>
          <w:b/>
          <w:bCs/>
        </w:rPr>
        <w:tab/>
      </w:r>
      <w:r w:rsidRPr="00E15533">
        <w:rPr>
          <w:b/>
          <w:bCs/>
        </w:rPr>
        <w:t>PS 01÷6, 11 Strojně technologická část</w:t>
      </w:r>
      <w:r>
        <w:rPr>
          <w:b/>
          <w:bCs/>
        </w:rPr>
        <w:t xml:space="preserve">, </w:t>
      </w:r>
      <w:r w:rsidRPr="00E15533">
        <w:rPr>
          <w:b/>
          <w:bCs/>
        </w:rPr>
        <w:t>Manipulační jeřábky</w:t>
      </w:r>
    </w:p>
    <w:p w:rsidR="00C32D36" w:rsidRPr="00250D07" w:rsidRDefault="00C32D36" w:rsidP="00EB3397">
      <w:pPr>
        <w:pStyle w:val="BodyText"/>
        <w:spacing w:after="240"/>
        <w:jc w:val="both"/>
        <w:rPr>
          <w:bCs/>
        </w:rPr>
      </w:pPr>
      <w:r w:rsidRPr="00E15533">
        <w:rPr>
          <w:bCs/>
        </w:rPr>
        <w:t xml:space="preserve">Vzhledem k tomu, že pomocí jeřábků, které byly definovány v zadávací dokumentaci a již namontovány, nelze demontovat čerpadla a míchadla, požaduje objednatel jejich nahrazení za nové odpovídající </w:t>
      </w:r>
      <w:r>
        <w:rPr>
          <w:bCs/>
        </w:rPr>
        <w:t>požadavkům na bezpečnou obsluhu, montáž a demontáž.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47</w:t>
      </w:r>
      <w:r w:rsidRPr="00250D07">
        <w:rPr>
          <w:b/>
          <w:bCs/>
        </w:rPr>
        <w:tab/>
      </w:r>
      <w:r w:rsidRPr="00E15533">
        <w:rPr>
          <w:b/>
          <w:bCs/>
        </w:rPr>
        <w:t>Prodloužení termínu plnění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E15533">
        <w:rPr>
          <w:bCs/>
        </w:rPr>
        <w:t>Vzhledem k prodloužení termínu dokončení díla o 3 měsíce, kdy vina na tomto prodloužení neleží na straně zhotovitele, žádá zhotovitel o úhradu vzniklých měsíčních nákladů spojených s provozem zařízení staveniště.</w:t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  <w:r w:rsidRPr="00E15533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48</w:t>
      </w:r>
      <w:r w:rsidRPr="00250D07">
        <w:rPr>
          <w:b/>
          <w:bCs/>
        </w:rPr>
        <w:tab/>
      </w:r>
      <w:r w:rsidRPr="00E15533">
        <w:rPr>
          <w:b/>
          <w:bCs/>
        </w:rPr>
        <w:t>SO 05 Denitrifikace I, regenerace</w:t>
      </w:r>
      <w:r>
        <w:rPr>
          <w:b/>
          <w:bCs/>
        </w:rPr>
        <w:t xml:space="preserve">, </w:t>
      </w:r>
      <w:r w:rsidRPr="00E15533">
        <w:rPr>
          <w:b/>
          <w:bCs/>
        </w:rPr>
        <w:t>Demolice a výstavba nové nádrže SO05 linka č.2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E15533">
        <w:rPr>
          <w:bCs/>
        </w:rPr>
        <w:t>Dle vyjádření projektanta bylo zjištěno, že výztuž nádrže SO05 linka č.2 je z dnešního pohledu nedostatečná a v mezním stavu únosnosti. Navíc je v místech jedné trhliny zcela přerušena korozí. Projektant konstatoval, že nádrž bude nutno staticky sanovat pro zajištění její stability v mezním stavu únosnosti. To lze udělat dvěma způsoby - dodatečným předepnutím lany bez soudržnosti nebo demolicí a stavbou nádrže nové. Vzhledem k celkovému stavu nádrže, kvalitě betonu, množství trhlin, které bude třeba sanovat a množství prostupů, požaduje objednatel na základě jednoznačného doporučení projektanta stávající nádrž odstrani</w:t>
      </w:r>
      <w:r>
        <w:rPr>
          <w:bCs/>
        </w:rPr>
        <w:t>t a postavit novou. Rozhodnutí se opírá o provedený</w:t>
      </w:r>
      <w:r w:rsidRPr="00E15533">
        <w:rPr>
          <w:bCs/>
        </w:rPr>
        <w:t xml:space="preserve"> Stavebně technický průzkum</w:t>
      </w:r>
      <w:r>
        <w:rPr>
          <w:bCs/>
        </w:rPr>
        <w:t>,</w:t>
      </w:r>
      <w:r w:rsidRPr="00E15533">
        <w:rPr>
          <w:bCs/>
        </w:rPr>
        <w:t xml:space="preserve"> </w:t>
      </w:r>
      <w:r>
        <w:rPr>
          <w:bCs/>
        </w:rPr>
        <w:t>zpracovaný odbornou firmou.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49</w:t>
      </w:r>
      <w:r w:rsidRPr="00250D07">
        <w:rPr>
          <w:b/>
          <w:bCs/>
        </w:rPr>
        <w:tab/>
      </w:r>
      <w:r w:rsidRPr="00E66A81">
        <w:rPr>
          <w:b/>
          <w:bCs/>
        </w:rPr>
        <w:t>SO 08 Dosazovací nádrže</w:t>
      </w:r>
      <w:r>
        <w:rPr>
          <w:b/>
          <w:bCs/>
        </w:rPr>
        <w:t xml:space="preserve">, </w:t>
      </w:r>
      <w:r w:rsidRPr="00E66A81">
        <w:rPr>
          <w:b/>
          <w:bCs/>
        </w:rPr>
        <w:t>Zábradlí dosazovacích nádrží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E66A81">
        <w:rPr>
          <w:bCs/>
        </w:rPr>
        <w:t>Vzhledem k malému rozdílu výšek mezi chodníkem a zhlavím stěny DN, bude nutno v příslušných úsecí</w:t>
      </w:r>
      <w:r>
        <w:rPr>
          <w:bCs/>
        </w:rPr>
        <w:t>ch</w:t>
      </w:r>
      <w:r w:rsidRPr="00E66A81">
        <w:rPr>
          <w:bCs/>
        </w:rPr>
        <w:t xml:space="preserve"> instalovat zábradlí (materiál pozink).</w:t>
      </w:r>
      <w:r>
        <w:rPr>
          <w:bCs/>
        </w:rPr>
        <w:t xml:space="preserve"> Požadavek vzešel z kontroly BOZP.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80</w:t>
      </w:r>
      <w:r w:rsidRPr="00250D07">
        <w:rPr>
          <w:b/>
          <w:bCs/>
        </w:rPr>
        <w:tab/>
      </w:r>
      <w:r w:rsidRPr="00123790">
        <w:rPr>
          <w:b/>
          <w:bCs/>
        </w:rPr>
        <w:t>SO 02, SO 03, SO 04, SO 05, SO 06, SO 07, SO 08</w:t>
      </w:r>
      <w:r>
        <w:rPr>
          <w:b/>
          <w:bCs/>
        </w:rPr>
        <w:t xml:space="preserve">, </w:t>
      </w:r>
      <w:r w:rsidRPr="00123790">
        <w:rPr>
          <w:b/>
          <w:bCs/>
        </w:rPr>
        <w:t>Fasády objektů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123790">
        <w:rPr>
          <w:bCs/>
        </w:rPr>
        <w:t>Na základě požadavku objednatele budou veškeré fasády stavebních objektů sjednoceny nejenom barevně, ale i materiálově. To znamená, že v případě objektů SO 02 Lapák štěrku a hrubé česle, 03 Úprava hrubého předčištění, 04 Čerpací stanice a 07 Dmychárna, dojde k záměně původně uvažovaného fasádního nátěru za silikonovou omítku odpovídající barevností a strukturou objektům SO08 Čerpací stanice a SO09 Kalové hospodářství a v případě nádrží objektů SO 07 a SO08 dojde k barevnému sjednocení vnějších pohledových ploch s nádrží SO 06 příslušným nátěrem na beton. Nádrže SO 05 budou nově opláštěny trapézovým plechem včetně příslušných doplňkových konstrukcí.</w:t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  <w:r w:rsidRPr="00123790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81</w:t>
      </w:r>
      <w:r w:rsidRPr="00250D07">
        <w:rPr>
          <w:b/>
          <w:bCs/>
        </w:rPr>
        <w:tab/>
      </w:r>
      <w:r w:rsidRPr="00123790">
        <w:rPr>
          <w:b/>
          <w:bCs/>
        </w:rPr>
        <w:t>SO 03 Úprava hrubého předčištění</w:t>
      </w:r>
      <w:r>
        <w:rPr>
          <w:b/>
          <w:bCs/>
        </w:rPr>
        <w:t xml:space="preserve">, </w:t>
      </w:r>
      <w:r w:rsidRPr="00123790">
        <w:rPr>
          <w:b/>
          <w:bCs/>
        </w:rPr>
        <w:t xml:space="preserve">Stavební úpravy objektu SO 03 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7C5407">
        <w:rPr>
          <w:bCs/>
        </w:rPr>
        <w:t xml:space="preserve">Na základě místního šetření byl za přítomnosti objednatele a projektanta upřesněn rozsah stavebních prací na objektu SO 03 Úprava hrubého předčištění. Venkovní sokl bude zvýšen nad úroveň upraveného terénu, budova bude ze dvou stran obkopána a opatřena izolací proti spodní vodě, stávající protihlukové žaluzie budou vyměněny za uzavíratelné větrací žaluzie, protihluková izolace na stěnách provizorní dmychárny bude demontována, podlaha v dmychárně bude vybetonována na výškovou úroveň vstupu, luxfery do skladu budou nahrazeny plastovým oknem, luxfery do místnosti hrubého předčištění budou odstraněny a otvor bude zazděn, stávající dlažba na podlaze v místnosti hrubého předčištění bude odstraněna a nahrazena dlažbou čedičovou (v podlaze bude proveden žlábek na hadici odběru vzorků), střecha a oplechování bude opatřeno nátěrem. </w:t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  <w:r w:rsidRPr="007C5407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82</w:t>
      </w:r>
      <w:r w:rsidRPr="00250D07">
        <w:rPr>
          <w:b/>
          <w:bCs/>
        </w:rPr>
        <w:tab/>
      </w:r>
      <w:r w:rsidRPr="007C5407">
        <w:rPr>
          <w:b/>
          <w:bCs/>
        </w:rPr>
        <w:t>SO 04 Čerpací stanice</w:t>
      </w:r>
      <w:r>
        <w:rPr>
          <w:b/>
          <w:bCs/>
        </w:rPr>
        <w:t xml:space="preserve">, </w:t>
      </w:r>
      <w:r w:rsidRPr="007C5407">
        <w:rPr>
          <w:b/>
          <w:bCs/>
        </w:rPr>
        <w:t xml:space="preserve">Stavební úpravy objektu 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7C5407">
        <w:rPr>
          <w:bCs/>
        </w:rPr>
        <w:t xml:space="preserve">Byl upřesněn rozsah stavebních prací na SO 04 Čerpací stanice – stávající část. Okna ze skleněných tvárnic (luxfery) budou vybourána a nahrazena plastovými okny stejného rozměru s možností větrání, stěny budou opatřeny malbou, venkovní sokl bude zvýšen cca o 20 cm nad upravený terén, klempířské konstrukce budou opatřeny nátěrem. Zároveň v důsledku změny využití stávajícího objektu čerpací stanice došlo ke změně </w:t>
      </w:r>
      <w:r>
        <w:rPr>
          <w:bCs/>
        </w:rPr>
        <w:t>zámečnických konstrukcí.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83</w:t>
      </w:r>
      <w:r w:rsidRPr="00250D07">
        <w:rPr>
          <w:b/>
          <w:bCs/>
        </w:rPr>
        <w:tab/>
      </w:r>
      <w:r w:rsidRPr="007C5407">
        <w:rPr>
          <w:b/>
          <w:bCs/>
        </w:rPr>
        <w:t>SO 12 Komunikace a zpevněné plochy</w:t>
      </w:r>
      <w:r>
        <w:rPr>
          <w:b/>
          <w:bCs/>
        </w:rPr>
        <w:t xml:space="preserve">, </w:t>
      </w:r>
      <w:r w:rsidRPr="007C5407">
        <w:rPr>
          <w:b/>
          <w:bCs/>
        </w:rPr>
        <w:t>Úpravy komunikací a zpevněných ploch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>
        <w:rPr>
          <w:bCs/>
        </w:rPr>
        <w:t>Sanace zemní pláně:</w:t>
      </w:r>
    </w:p>
    <w:p w:rsidR="00C32D36" w:rsidRPr="00FA5C91" w:rsidRDefault="00C32D36" w:rsidP="00EB3397">
      <w:pPr>
        <w:pStyle w:val="BodyText"/>
        <w:spacing w:after="240"/>
        <w:rPr>
          <w:bCs/>
        </w:rPr>
      </w:pPr>
      <w:r w:rsidRPr="00FA5C91">
        <w:rPr>
          <w:bCs/>
        </w:rPr>
        <w:t>Na základě místního šetření projektant stanovil následujících hodnoty:</w:t>
      </w:r>
      <w:r w:rsidRPr="00FA5C91">
        <w:rPr>
          <w:bCs/>
        </w:rPr>
        <w:br/>
        <w:t xml:space="preserve">·       na zemní pláni minimální Edef2=30 MPa, </w:t>
      </w:r>
      <w:r w:rsidRPr="00FA5C91">
        <w:rPr>
          <w:bCs/>
        </w:rPr>
        <w:br/>
        <w:t>·       na vrstvě ŠD 0/63 tl. 200 mm minimální Edef2=50 Mpa.</w:t>
      </w:r>
      <w:r w:rsidRPr="00FA5C91">
        <w:rPr>
          <w:bCs/>
        </w:rPr>
        <w:br/>
        <w:t>V místech, kde nebude dosaženo ani výše uvedených hodnot dojde k sanaci zemní pláně, která bude spočívat ve výměně vrstvy aktivní zóny zemní pláně o tloušťce min. 300 mm.</w:t>
      </w:r>
      <w:r w:rsidRPr="00FA5C91">
        <w:rPr>
          <w:bCs/>
        </w:rPr>
        <w:br/>
        <w:t>Na zemní pláň bude p</w:t>
      </w:r>
      <w:r>
        <w:rPr>
          <w:bCs/>
        </w:rPr>
        <w:t>o</w:t>
      </w:r>
      <w:r w:rsidRPr="00FA5C91">
        <w:rPr>
          <w:bCs/>
        </w:rPr>
        <w:t>ložena separační geotextlie, na ni dvojosá geomříž a na ni budou položeny 2 vrstvy ŠD 0/63, nebo betonového recyklátu 0/63. Každá vrstva bude mít tl. 150 mm a bude hutněna samostatně.</w:t>
      </w:r>
    </w:p>
    <w:p w:rsidR="00C32D36" w:rsidRPr="00FA5C91" w:rsidRDefault="00C32D36" w:rsidP="00CE695F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 xml:space="preserve">Po provedení výše uvedeného návrhu skladby na zkušebním vzorku plochy ve výměře cca 20m2 u objektu SO05 bylo na základě provedených zkoušek zjištěno, že uvedeným opatřením není možno požadovaných hodnot únosnosti dosáhnout. Na základě nového místního šetření byla definována nová skladba (viz Zápis z místního šetření ze dne 20.10.2017), která bude realizována v místech, kde nebude dosaženo požadovaných hodnot. Tato místa jsou vyznačena geodetickým zaměřením (viz příloha č.2) </w:t>
      </w:r>
    </w:p>
    <w:p w:rsidR="00C32D36" w:rsidRPr="00FA5C91" w:rsidRDefault="00C32D36" w:rsidP="00CE695F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>S ohledem na umístění nové komunikace, která částečně zasahuje do stávajícího svahu a na půdní složení svahu tvořený převážně spraši a možnosti nátoku dešťových vod do a pod svah a z důvodu bezpečnosti, bylo rozhodnuto, že svah v délce cca 50m bude opatřený dvojitou gabionovou stěnou o celkové výšce 2m a úhlu náklonu 15°.</w:t>
      </w:r>
    </w:p>
    <w:p w:rsidR="00C32D36" w:rsidRPr="00FA5C91" w:rsidRDefault="00C32D36" w:rsidP="00CE695F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>Autor projektu provedl úpravu návrhu komunikací v místě nových dosazovacích nádrží. Kdy při původním návrhu byly veškeré tyto plochy odváděny do zelených pasů. Bylo zjištěno, že množství dešťových vod je těmto plochám neúměrné, kdy by nedošlo k rovnoměrným vsakům resp. stání vody v zeleni a proto došlo k úpravě komunikací přespádováním. Důsledkem přespádování byla i nutnost snížení c</w:t>
      </w:r>
      <w:r>
        <w:rPr>
          <w:bCs/>
        </w:rPr>
        <w:t>elého tělesa komunikace.</w:t>
      </w:r>
    </w:p>
    <w:p w:rsidR="00C32D36" w:rsidRPr="00FA5C91" w:rsidRDefault="00C32D36" w:rsidP="00CE695F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>Vsaky u SO09 byly zhotoveny ze stejného důvodu, tedy opět neúměrně velké množství dešťových vod z ploch kolem SO09, které by nebylo možné vsakovat standardním způsobem. Z tohoto důvodu byly instalováno celkem 2 vsaky na kaž</w:t>
      </w:r>
      <w:r>
        <w:rPr>
          <w:bCs/>
        </w:rPr>
        <w:t>dé straně SO09 po jednom.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84</w:t>
      </w:r>
      <w:r w:rsidRPr="00250D07">
        <w:rPr>
          <w:b/>
          <w:bCs/>
        </w:rPr>
        <w:tab/>
      </w:r>
      <w:r w:rsidRPr="00FA5C91">
        <w:rPr>
          <w:b/>
          <w:bCs/>
        </w:rPr>
        <w:t>SO 04 Čerpací stanice, SO 07 Dmychárna</w:t>
      </w:r>
      <w:r>
        <w:rPr>
          <w:b/>
          <w:bCs/>
        </w:rPr>
        <w:t xml:space="preserve">, </w:t>
      </w:r>
      <w:r w:rsidRPr="00FA5C91">
        <w:rPr>
          <w:b/>
          <w:bCs/>
        </w:rPr>
        <w:t>Zádržný systém střech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>Objednatel požaduje na střechách budov, kam vede žebřík (tj. SO04 a SO07), provést kotevní body systémem s přenosným pod</w:t>
      </w:r>
      <w:r>
        <w:rPr>
          <w:bCs/>
        </w:rPr>
        <w:t>dajným kotvícím vedením. Požadavek z kontroly BOZP.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85</w:t>
      </w:r>
      <w:r w:rsidRPr="00250D07">
        <w:rPr>
          <w:b/>
          <w:bCs/>
        </w:rPr>
        <w:tab/>
      </w:r>
      <w:r w:rsidRPr="00FA5C91">
        <w:rPr>
          <w:b/>
          <w:bCs/>
        </w:rPr>
        <w:t>SO 04, SO 05, SO 06</w:t>
      </w:r>
      <w:r>
        <w:rPr>
          <w:b/>
          <w:bCs/>
        </w:rPr>
        <w:t xml:space="preserve">, </w:t>
      </w:r>
      <w:r w:rsidRPr="00FA5C91">
        <w:rPr>
          <w:b/>
          <w:bCs/>
        </w:rPr>
        <w:t>Sanace betonových konstrukcí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FA5C91">
        <w:rPr>
          <w:bCs/>
        </w:rPr>
        <w:t>Na základě místního šetření za účasti objednatele a projektanta byl upřesněn způsob sanace konstrukcí stávajícího objektu čerpací stanice v rámci objektu SO04. Bylo rozhodnuto, že bude provedena injektáž spáry mezi základovou deskou objektu a jeho stěnami pro zamezení průsaku podzemní vody do suché jímky. Toto řešení je odlišné oproti řešení uvedenému v zadávací dokumentaci. Při zkušebním napuštění linky č.1 objektu SO05 byly zjištěny značné průsaky konstrukcí nádrže. Po zhodnocení stavu bylo rozhodnuto, že původně navrhované sanační opatření by bylo neúčinné a je nutno jej nahradit za liniovou a plošnou injektáž. Zároveň dle doporučení experta Doc. Dohnálka a na základě stanoviska projektanta bude nádrž opásána třemi lany jmenovitého průřezu 15,7 mm se jmenovitou pevností v tahu 1770 MPa. Po provedení navržených sanačních opatření na nádržích obou linek objektu SO06 byly zjištěny značné průsaky v místech styku stěn nádrží s deskou a v místech prostupů stěn potrubím technologie. Jako dodatečné sanační opatření byla opět určena li</w:t>
      </w:r>
      <w:r>
        <w:rPr>
          <w:bCs/>
        </w:rPr>
        <w:t xml:space="preserve">niová a plošná injektáž. 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86</w:t>
      </w:r>
      <w:r w:rsidRPr="00250D07">
        <w:rPr>
          <w:b/>
          <w:bCs/>
        </w:rPr>
        <w:tab/>
      </w:r>
      <w:r w:rsidRPr="001A4FD2">
        <w:rPr>
          <w:b/>
          <w:bCs/>
        </w:rPr>
        <w:t>SO 02, 04, 07, 08, 09</w:t>
      </w:r>
      <w:r>
        <w:rPr>
          <w:b/>
          <w:bCs/>
        </w:rPr>
        <w:t xml:space="preserve">, </w:t>
      </w:r>
      <w:r w:rsidRPr="007C5407">
        <w:rPr>
          <w:b/>
          <w:bCs/>
        </w:rPr>
        <w:t xml:space="preserve">Stavební úpravy objektu 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1A4FD2">
        <w:rPr>
          <w:bCs/>
        </w:rPr>
        <w:t>Objednatel požaduje stávající i nově osazované dveře doplnit samozavírače, které nebyly požadovány</w:t>
      </w:r>
      <w:r>
        <w:rPr>
          <w:bCs/>
        </w:rPr>
        <w:t xml:space="preserve"> v zadávací dokumentaci.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2D36" w:rsidRDefault="00C32D36" w:rsidP="00EB3397">
      <w:pPr>
        <w:pStyle w:val="BodyText"/>
        <w:spacing w:after="240"/>
        <w:jc w:val="both"/>
        <w:rPr>
          <w:b/>
          <w:bCs/>
        </w:rPr>
      </w:pP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87</w:t>
      </w:r>
      <w:r w:rsidRPr="00250D07">
        <w:rPr>
          <w:b/>
          <w:bCs/>
        </w:rPr>
        <w:tab/>
      </w:r>
      <w:r w:rsidRPr="001A4FD2">
        <w:rPr>
          <w:b/>
          <w:bCs/>
        </w:rPr>
        <w:t>SO 05 Denitrifikace I, regenerace, SO 06 Denitrifikace II</w:t>
      </w:r>
      <w:r>
        <w:rPr>
          <w:b/>
          <w:bCs/>
        </w:rPr>
        <w:t xml:space="preserve">, </w:t>
      </w:r>
      <w:r w:rsidRPr="001A4FD2">
        <w:rPr>
          <w:b/>
          <w:bCs/>
        </w:rPr>
        <w:t>Monolitické konstrukce linky č.1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1A4FD2">
        <w:rPr>
          <w:bCs/>
        </w:rPr>
        <w:t>Při realizaci vnitřních monolitických příček nádrží linky č.1</w:t>
      </w:r>
      <w:r>
        <w:rPr>
          <w:bCs/>
        </w:rPr>
        <w:t xml:space="preserve"> </w:t>
      </w:r>
      <w:r w:rsidRPr="001A4FD2">
        <w:rPr>
          <w:bCs/>
        </w:rPr>
        <w:t xml:space="preserve">objektů SO 05 a SO 06 bylo zjištěno že stávající dno má nižší niveletu, než která byla uvažována v zadávací dokumentaci. Uvedené příčky tak bylo nutné provést s větší výškou, což vedlo k navýšení výměry výztuže, bednění a ukládaného betonu.  </w:t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 88</w:t>
      </w:r>
      <w:r w:rsidRPr="00250D07">
        <w:rPr>
          <w:b/>
          <w:bCs/>
        </w:rPr>
        <w:tab/>
      </w:r>
      <w:r w:rsidRPr="001A4FD2">
        <w:rPr>
          <w:b/>
          <w:bCs/>
        </w:rPr>
        <w:t>SO 06 Denitrifikace II</w:t>
      </w:r>
      <w:r>
        <w:rPr>
          <w:b/>
          <w:bCs/>
        </w:rPr>
        <w:t xml:space="preserve">, </w:t>
      </w:r>
      <w:r w:rsidRPr="001A4FD2">
        <w:rPr>
          <w:b/>
          <w:bCs/>
        </w:rPr>
        <w:t>Sokl nádrže</w:t>
      </w:r>
    </w:p>
    <w:p w:rsidR="00C32D36" w:rsidRDefault="00C32D36" w:rsidP="0072054B">
      <w:pPr>
        <w:pStyle w:val="BodyText"/>
        <w:spacing w:after="240"/>
        <w:jc w:val="both"/>
        <w:rPr>
          <w:bCs/>
        </w:rPr>
      </w:pPr>
      <w:r w:rsidRPr="001A4FD2">
        <w:rPr>
          <w:bCs/>
        </w:rPr>
        <w:t>Při odkrytí betonového soklu nádrže objektu SO 06 linka č.1 bylo zjištěno, že tento je částečně tvořen vrstvou degradované omítky. Vzhledem k tomu, že na tento sokl má být založena obezdívka nádrží, je nutné nahradit degradovanou omítku za únosnou přibetonávku spojenou se stávající konstrukcí základu ocelovými trny.</w:t>
      </w:r>
      <w:r w:rsidRPr="001A4FD2">
        <w:rPr>
          <w:bCs/>
        </w:rPr>
        <w:tab/>
      </w:r>
    </w:p>
    <w:p w:rsidR="00C32D36" w:rsidRDefault="00C32D36" w:rsidP="0072054B">
      <w:pPr>
        <w:pStyle w:val="BodyText"/>
        <w:spacing w:after="240"/>
        <w:jc w:val="both"/>
        <w:rPr>
          <w:bCs/>
        </w:rPr>
      </w:pPr>
    </w:p>
    <w:p w:rsidR="00C32D36" w:rsidRDefault="00C32D36" w:rsidP="0072054B">
      <w:pPr>
        <w:pStyle w:val="BodyText"/>
        <w:spacing w:after="240"/>
        <w:jc w:val="both"/>
        <w:rPr>
          <w:bCs/>
        </w:rPr>
      </w:pPr>
    </w:p>
    <w:p w:rsidR="00C32D36" w:rsidRDefault="00C32D36" w:rsidP="0072054B">
      <w:pPr>
        <w:rPr>
          <w:bCs/>
        </w:rPr>
      </w:pPr>
      <w:r>
        <w:rPr>
          <w:bCs/>
        </w:rPr>
        <w:br w:type="page"/>
      </w:r>
    </w:p>
    <w:p w:rsidR="00C32D36" w:rsidRPr="0072054B" w:rsidRDefault="00C32D36" w:rsidP="0072054B">
      <w:pPr>
        <w:pStyle w:val="BodyText"/>
        <w:spacing w:after="240"/>
        <w:jc w:val="both"/>
        <w:rPr>
          <w:b/>
          <w:bCs/>
        </w:rPr>
      </w:pPr>
      <w:r w:rsidRPr="0072054B">
        <w:rPr>
          <w:b/>
          <w:bCs/>
        </w:rPr>
        <w:t>Příloha č.</w:t>
      </w:r>
      <w:r>
        <w:rPr>
          <w:b/>
          <w:bCs/>
        </w:rPr>
        <w:t xml:space="preserve"> </w:t>
      </w:r>
      <w:r w:rsidRPr="0072054B">
        <w:rPr>
          <w:b/>
          <w:bCs/>
        </w:rPr>
        <w:t xml:space="preserve">2 - </w:t>
      </w:r>
      <w:r>
        <w:rPr>
          <w:b/>
          <w:bCs/>
        </w:rPr>
        <w:t>S</w:t>
      </w:r>
      <w:r w:rsidRPr="0072054B">
        <w:rPr>
          <w:b/>
        </w:rPr>
        <w:t>oupis a zdůvodnění stavebních prací neprovedených</w:t>
      </w:r>
    </w:p>
    <w:p w:rsidR="00C32D36" w:rsidRPr="00250D07" w:rsidRDefault="00C32D36" w:rsidP="00EB3397">
      <w:pPr>
        <w:pStyle w:val="BodyText"/>
        <w:spacing w:after="240"/>
        <w:jc w:val="both"/>
        <w:rPr>
          <w:bCs/>
        </w:rPr>
      </w:pPr>
      <w:r w:rsidRPr="005E3A0C">
        <w:rPr>
          <w:b/>
          <w:bCs/>
        </w:rPr>
        <w:t>Soupis neprováděných prací (nebo dodávek)</w:t>
      </w:r>
      <w:r>
        <w:rPr>
          <w:bCs/>
        </w:rPr>
        <w:t xml:space="preserve"> </w:t>
      </w:r>
      <w:r w:rsidRPr="008219B6">
        <w:rPr>
          <w:bCs/>
        </w:rPr>
        <w:t xml:space="preserve">– </w:t>
      </w:r>
      <w:r>
        <w:rPr>
          <w:bCs/>
        </w:rPr>
        <w:t>práce</w:t>
      </w:r>
      <w:r w:rsidRPr="008219B6">
        <w:rPr>
          <w:bCs/>
        </w:rPr>
        <w:t xml:space="preserve"> jsou specifikovány v ZL </w:t>
      </w:r>
      <w:r>
        <w:rPr>
          <w:bCs/>
        </w:rPr>
        <w:t>58 až ZL66</w:t>
      </w:r>
      <w:r w:rsidRPr="008219B6">
        <w:rPr>
          <w:bCs/>
        </w:rPr>
        <w:t xml:space="preserve"> v následujícím popise a v samostatných listech,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ZL58</w:t>
      </w:r>
      <w:r w:rsidRPr="00250D07">
        <w:rPr>
          <w:b/>
          <w:bCs/>
        </w:rPr>
        <w:tab/>
      </w:r>
      <w:r w:rsidRPr="001A4FD2">
        <w:rPr>
          <w:b/>
          <w:bCs/>
        </w:rPr>
        <w:t>PS 01÷6, 11 Strojně technologická část</w:t>
      </w:r>
      <w:r>
        <w:rPr>
          <w:b/>
          <w:bCs/>
        </w:rPr>
        <w:t xml:space="preserve">, </w:t>
      </w:r>
      <w:r w:rsidRPr="001A4FD2">
        <w:rPr>
          <w:b/>
          <w:bCs/>
        </w:rPr>
        <w:t>Úpravy technologie stávající čerpací stanice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1A4FD2">
        <w:rPr>
          <w:bCs/>
        </w:rPr>
        <w:t>"V návaznosti na nové řešení některých stavebních objektů rekonstrukce ČOV Miškovice došlo k úpravám projektu nad rámec DPS.</w:t>
      </w:r>
    </w:p>
    <w:p w:rsidR="00C32D36" w:rsidRDefault="00C32D36" w:rsidP="00EB3397">
      <w:pPr>
        <w:pStyle w:val="BodyText"/>
        <w:spacing w:after="240"/>
        <w:jc w:val="both"/>
        <w:rPr>
          <w:bCs/>
        </w:rPr>
      </w:pPr>
      <w:r w:rsidRPr="001A4FD2">
        <w:rPr>
          <w:bCs/>
        </w:rPr>
        <w:t>U objektu SO 04 Vstupní čerpací stanice se změny dotkly stávajícího objektu čerpací stanice. Ten již nebude propojen s novou čerpací jímkou, ale po rekonstrukci bude sloužit jako rezerva při odstavení nové stanice. Dvě z původních čerpadel se ponechají a bude provedena jejich repase a jejich výtlačná potrubí se propojí s výtlačným potrubím od nových čerpadel. U výkazu výměr, potažmo technické specifikace, dojde k redukci některých položek a některé položky se přidají.                                     Vystrojení stávající manipulační komory k ovládání stávajících čerpadel bude kompletně vyměněné (včetně prostupů a přilehlých částí potrubí). Namontují se taktéž nové uložení pod armatury a potrubí. Do stávající malé jímky podlahové vody v rohu komory se doplní ponorné kalové čerpadlo podlahové vody, jehož výtlačné potrubí se zaústí do nové jímky vstupní čerpací stanice. V případě jejího odstavení bude jedna větev potrubí zaústěna přímo do potrubí odpadní vody z bezpečnostních přelivů směřující do stávající jímky čerpací stanice. Na traverzovou konstrukci nad čerpací jímkou se nainstaluje pojezdový kladkostroj s ruční kočkou. Veškeré  nové potrubní rozvody jsou uvažovány v nerezové oceli tř.17. K prostupům skrze stěny se použijí jádrové vrty s dvojitým pryžovým segmentovým těsněním. Na stávající nosník I140 v objektu manipulační komory se osadí nový kladkostroj s ručním ovládáním pro zvedání armatur. Zároveň bude doplněno řízení nového technologického vybavení vč. nového rozvaděče. Traverzová konstrukce nad stávající otevřenou jímkou se šetrně oddělí od plošiny, ošetří, vhodně upraví a po vytvoření zákrytové betonové desky nad jímkou se na ni přimontuje."</w:t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  <w:r w:rsidRPr="001A4FD2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ZL59</w:t>
      </w:r>
      <w:r w:rsidRPr="00250D07">
        <w:rPr>
          <w:b/>
          <w:bCs/>
        </w:rPr>
        <w:tab/>
      </w:r>
      <w:r w:rsidRPr="001A4FD2">
        <w:rPr>
          <w:b/>
          <w:bCs/>
        </w:rPr>
        <w:t>PS 01÷6, 11 Strojně technologická část</w:t>
      </w:r>
      <w:r>
        <w:rPr>
          <w:b/>
          <w:bCs/>
        </w:rPr>
        <w:t xml:space="preserve">, </w:t>
      </w:r>
      <w:r w:rsidRPr="003E2A36">
        <w:rPr>
          <w:b/>
          <w:bCs/>
        </w:rPr>
        <w:t>Stavítka v šachtě č.7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Stavítka, která měla být osazena do šachty č. 7, není možné do této šachty osadit. Bude tak proveden odpočet vým</w:t>
      </w:r>
      <w:r>
        <w:rPr>
          <w:bCs/>
        </w:rPr>
        <w:t>ěry v příslušné položce.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ZL60</w:t>
      </w:r>
      <w:r w:rsidRPr="00250D07">
        <w:rPr>
          <w:b/>
          <w:bCs/>
        </w:rPr>
        <w:tab/>
      </w:r>
      <w:r w:rsidRPr="003E2A36">
        <w:rPr>
          <w:b/>
          <w:bCs/>
        </w:rPr>
        <w:t>SO 02, SO 08, SO 09</w:t>
      </w:r>
      <w:r>
        <w:rPr>
          <w:b/>
          <w:bCs/>
        </w:rPr>
        <w:t xml:space="preserve">, </w:t>
      </w:r>
      <w:r w:rsidRPr="003E2A36">
        <w:rPr>
          <w:b/>
          <w:bCs/>
        </w:rPr>
        <w:t>Slaboproud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Provozovatel nepožaduje osazení prvků EZS definovaných v přiloženém změnovém rozpočtu.</w:t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  <w:r w:rsidRPr="003E2A36">
        <w:rPr>
          <w:bCs/>
        </w:rPr>
        <w:tab/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ZL61</w:t>
      </w:r>
      <w:r w:rsidRPr="00250D07">
        <w:rPr>
          <w:b/>
          <w:bCs/>
        </w:rPr>
        <w:tab/>
      </w:r>
      <w:r w:rsidRPr="003E2A36">
        <w:rPr>
          <w:b/>
          <w:bCs/>
        </w:rPr>
        <w:t>SO 02, SO 03, SO 04, SO 05, SO 06, SO 07, SO 08</w:t>
      </w:r>
      <w:r>
        <w:rPr>
          <w:b/>
          <w:bCs/>
        </w:rPr>
        <w:t xml:space="preserve">, </w:t>
      </w:r>
      <w:r w:rsidRPr="003E2A36">
        <w:rPr>
          <w:b/>
          <w:bCs/>
        </w:rPr>
        <w:t>Fasády objektů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Na základě požadavku objednatele budou veškeré fasády stavebních objektů sjednoceny nejenom barevně, ale i materiálově. To znamená, že v případě objektů SO 02 Lapák štěrku a hrubé česle, 03 Úprava hrubého předčištění, 04 Čerpací stanice a 07 Dmychárna, dojde k záměně původně uvažovaného fasádního nátěru za silikonovou omítku odpovídající barevností a strukturou objektům SO08 Čerpací stanice a SO09 Kalové hospodářství a v případě nádrží objektů SO 07 a SO08 dojde k barevnému sjednocení vnějších pohledových ploch s nádrží SO 06 příslušným nátěrem na beton. Nádrže SO 05 budou nově opláštěny trapézovým plechem včetně příslušných</w:t>
      </w:r>
      <w:r>
        <w:rPr>
          <w:bCs/>
        </w:rPr>
        <w:t xml:space="preserve"> doplňkových konstrukcí.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ZL62</w:t>
      </w:r>
      <w:r w:rsidRPr="00250D07">
        <w:rPr>
          <w:b/>
          <w:bCs/>
        </w:rPr>
        <w:tab/>
      </w:r>
      <w:r w:rsidRPr="003E2A36">
        <w:rPr>
          <w:b/>
          <w:bCs/>
        </w:rPr>
        <w:t>SO 03 Úprava hrubého předčištění</w:t>
      </w:r>
      <w:r>
        <w:rPr>
          <w:b/>
          <w:bCs/>
        </w:rPr>
        <w:t xml:space="preserve">, </w:t>
      </w:r>
      <w:r w:rsidRPr="003E2A36">
        <w:rPr>
          <w:b/>
          <w:bCs/>
        </w:rPr>
        <w:t>Stavební úpravy objektu SO 03 Úprava hrubého předčištění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Na základě místního šetření byl za přítomnosti objednatele a projektanta upřesněn rozsah stavebních prací na objektu SO 03 Úprava hrubého předčištění. Venkovní sokl bude zvýšen nad úroveň upraveného terénu, budova bude ze dvou stran obkopána a opatřena izolací proti spodní vodě, stávající protihlukové žaluzie budou vyměněny za uzavíratelné větrací žaluzie, protihluková izolace na stěnách provizorní dmychárny bude demontována, podlaha v dmychárně bude vybetonována na výškovou úroveň vstupu, luxfery do skladu budou nahrazeny plastovým oknem, luxfery do místnosti hrubého předčištění budou odstraněny a otvor bude zazděn, stávající dlažba na podlaze v místnosti hrubého předčištění bude odstraněna a nahrazena dlažbou čedičovou (v podlaze bude proveden žlábek na hadici odběru vzorků), střecha a oplechování</w:t>
      </w:r>
      <w:r>
        <w:rPr>
          <w:bCs/>
        </w:rPr>
        <w:t xml:space="preserve"> bude opatřeno nátěrem. 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ZL63</w:t>
      </w:r>
      <w:r w:rsidRPr="00250D07">
        <w:rPr>
          <w:b/>
          <w:bCs/>
        </w:rPr>
        <w:tab/>
      </w:r>
      <w:r w:rsidRPr="003E2A36">
        <w:rPr>
          <w:b/>
          <w:bCs/>
        </w:rPr>
        <w:t>SO 04 Čerpací stanice</w:t>
      </w:r>
      <w:r>
        <w:rPr>
          <w:b/>
          <w:bCs/>
        </w:rPr>
        <w:t xml:space="preserve">, </w:t>
      </w:r>
      <w:r w:rsidRPr="003E2A36">
        <w:rPr>
          <w:b/>
          <w:bCs/>
        </w:rPr>
        <w:t>Stavební úpravy objektu SO 04 Čerpací stanice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 xml:space="preserve">Byl upřesněn rozsah stavebních prací na SO 04 Čerpací stanice – stávající část. Okna ze skleněných tvárnic (luxfery) budou vybourána a nahrazena plastovými okny stejného rozměru s možností větrání, stěny budou opatřeny malbou, venkovní sokl bude zvýšen cca o 20 cm nad upravený terén, klempířské konstrukce budou opatřeny nátěrem. Zároveň v důsledku změny využití stávajícího objektu čerpací stanice došlo ke změně </w:t>
      </w:r>
      <w:r>
        <w:rPr>
          <w:bCs/>
        </w:rPr>
        <w:t>zámečnických konstrukcí.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ZL64</w:t>
      </w:r>
      <w:r w:rsidRPr="00250D07">
        <w:rPr>
          <w:b/>
          <w:bCs/>
        </w:rPr>
        <w:tab/>
      </w:r>
      <w:r w:rsidRPr="003E2A36">
        <w:rPr>
          <w:b/>
          <w:bCs/>
        </w:rPr>
        <w:t>SO 04, SO 05, SO 06</w:t>
      </w:r>
      <w:r>
        <w:rPr>
          <w:b/>
          <w:bCs/>
        </w:rPr>
        <w:t xml:space="preserve">, </w:t>
      </w:r>
      <w:r w:rsidRPr="003E2A36">
        <w:rPr>
          <w:b/>
          <w:bCs/>
        </w:rPr>
        <w:t>Sanace betonových konstrukcí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Na základě místního šetření za účasti objednatele a projektanta byl upřesněn způsob sanace konstrukcí stávajícího objektu čerpací stanice v rámci objektu SO04. Bylo rozhodnuto, že bude provedena injektáž spáry mezi základovou deskou objektu a jeho stěnami pro zamezení průsaku podzemní vody do suché jímky. Toto řešení je odlišné oproti řešení uvedenému v zadávací dokumentaci. Při zkušebním napuštění linky č.1 objektu SO05 byly zjištěny značné průsaky konstrukcí nádrže. Po zhodnocení stavu bylo rozhodnuto, že původně navrhované sanační opatření by bylo neúčinné a je nutno jej nahradit za liniovou a plošnou injektáž. Zároveň dle doporučení experta a na základě stanoviska projektanta bude nádrž opásána třemi lany jmenovitého průřezu 15,7 mm se jmenovitou pevností v tahu 1770 MPa. Po provedení navržených sanačních opatření na nádržích obou linek objektu SO06 byly zjištěny značné průsaky v místech styku stěn nádrží s deskou a v místech prostupů stěn potrubím technologie. Jako dodatečné sanační opatření byla opět určena li</w:t>
      </w:r>
      <w:r>
        <w:rPr>
          <w:bCs/>
        </w:rPr>
        <w:t xml:space="preserve">niová a plošná injektáž. 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ZL65</w:t>
      </w:r>
      <w:r w:rsidRPr="00250D07">
        <w:rPr>
          <w:b/>
          <w:bCs/>
        </w:rPr>
        <w:tab/>
      </w:r>
      <w:r w:rsidRPr="003E2A36">
        <w:rPr>
          <w:b/>
          <w:bCs/>
        </w:rPr>
        <w:t>SO 12 Komunikace a zpevněné plochy</w:t>
      </w:r>
      <w:r>
        <w:rPr>
          <w:b/>
          <w:bCs/>
        </w:rPr>
        <w:t xml:space="preserve">, </w:t>
      </w:r>
      <w:r w:rsidRPr="003E2A36">
        <w:rPr>
          <w:b/>
          <w:bCs/>
        </w:rPr>
        <w:t>Úpravy komunikací a zpevněných ploch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>
        <w:rPr>
          <w:bCs/>
        </w:rPr>
        <w:t>S ohledem na nové řešení komunikací a zpevněných ploch dochází k odpočtu neprováděných prací zejména v položkách zpevnění svahu, podklad ze štěrkodrtě, dlažba vegetační, dlažby, obrubníky, snížení rozsahu asfaltových ploch.</w:t>
      </w:r>
    </w:p>
    <w:p w:rsidR="00C32D36" w:rsidRPr="00250D07" w:rsidRDefault="00C32D36" w:rsidP="00EB3397">
      <w:pPr>
        <w:pStyle w:val="BodyText"/>
        <w:spacing w:after="240"/>
        <w:jc w:val="both"/>
        <w:rPr>
          <w:b/>
          <w:bCs/>
        </w:rPr>
      </w:pPr>
      <w:r>
        <w:rPr>
          <w:b/>
          <w:bCs/>
        </w:rPr>
        <w:t>ZL66</w:t>
      </w:r>
      <w:r w:rsidRPr="00250D07">
        <w:rPr>
          <w:b/>
          <w:bCs/>
        </w:rPr>
        <w:tab/>
      </w:r>
      <w:r w:rsidRPr="003E2A36">
        <w:rPr>
          <w:b/>
          <w:bCs/>
        </w:rPr>
        <w:t>SO 07, SO 09, SO 13</w:t>
      </w:r>
      <w:r>
        <w:rPr>
          <w:b/>
          <w:bCs/>
        </w:rPr>
        <w:t xml:space="preserve">, </w:t>
      </w:r>
      <w:r w:rsidRPr="003E2A36">
        <w:rPr>
          <w:b/>
          <w:bCs/>
        </w:rPr>
        <w:t>Neprováděné práce v průběhu výstavby</w:t>
      </w:r>
    </w:p>
    <w:p w:rsidR="00C32D36" w:rsidRPr="001A4FD2" w:rsidRDefault="00C32D36" w:rsidP="00EB3397">
      <w:pPr>
        <w:pStyle w:val="BodyText"/>
        <w:spacing w:after="240"/>
        <w:jc w:val="both"/>
        <w:rPr>
          <w:bCs/>
        </w:rPr>
      </w:pPr>
      <w:r w:rsidRPr="003E2A36">
        <w:rPr>
          <w:bCs/>
        </w:rPr>
        <w:t>Zhotovitel předkládá odpočet méněprací vzniklých v průběhu výstavby, které nejsou obsaženy v j</w:t>
      </w:r>
      <w:r>
        <w:rPr>
          <w:bCs/>
        </w:rPr>
        <w:t>iném ze změnových listů.</w:t>
      </w:r>
    </w:p>
    <w:p w:rsidR="00C32D36" w:rsidRPr="0088465E" w:rsidRDefault="00C32D36" w:rsidP="004453A4">
      <w:pPr>
        <w:pStyle w:val="BodyText"/>
        <w:spacing w:after="240"/>
        <w:jc w:val="both"/>
        <w:rPr>
          <w:bCs/>
        </w:rPr>
      </w:pPr>
    </w:p>
    <w:p w:rsidR="00C32D36" w:rsidRPr="0088465E" w:rsidRDefault="00C32D36" w:rsidP="002B58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sectPr w:rsidR="00C32D36" w:rsidRPr="0088465E" w:rsidSect="00691197">
      <w:headerReference w:type="default" r:id="rId7"/>
      <w:footerReference w:type="even" r:id="rId8"/>
      <w:footerReference w:type="default" r:id="rId9"/>
      <w:pgSz w:w="12240" w:h="15840"/>
      <w:pgMar w:top="1102" w:right="1080" w:bottom="1417" w:left="1080" w:header="426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36" w:rsidRDefault="00C32D36">
      <w:r>
        <w:separator/>
      </w:r>
    </w:p>
  </w:endnote>
  <w:endnote w:type="continuationSeparator" w:id="0">
    <w:p w:rsidR="00C32D36" w:rsidRDefault="00C3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6" w:rsidRDefault="00C32D36">
    <w:pPr>
      <w:pStyle w:val="Footer"/>
      <w:framePr w:wrap="around" w:vAnchor="text" w:hAnchor="margin" w:xAlign="center" w:y="1"/>
      <w:rPr>
        <w:rStyle w:val="PageNumber"/>
      </w:rPr>
    </w:pPr>
  </w:p>
  <w:p w:rsidR="00C32D36" w:rsidRDefault="00C32D36">
    <w:pPr>
      <w:pStyle w:val="Footer"/>
    </w:pPr>
    <w:r>
      <w:tab/>
      <w:t xml:space="preserve">- </w:t>
    </w:r>
    <w:fldSimple w:instr=" PAGE ">
      <w:r>
        <w:rPr>
          <w:noProof/>
        </w:rPr>
        <w:t>4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6" w:rsidRDefault="00C32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- </w:t>
    </w:r>
    <w:r w:rsidRPr="00202523">
      <w:rPr>
        <w:rStyle w:val="PageNumber"/>
        <w:rFonts w:ascii="Times New Roman" w:hAnsi="Times New Roman"/>
        <w:sz w:val="18"/>
      </w:rPr>
      <w:fldChar w:fldCharType="begin"/>
    </w:r>
    <w:r w:rsidRPr="00202523">
      <w:rPr>
        <w:rStyle w:val="PageNumber"/>
        <w:rFonts w:ascii="Times New Roman" w:hAnsi="Times New Roman"/>
        <w:sz w:val="18"/>
      </w:rPr>
      <w:instrText xml:space="preserve"> PAGE </w:instrText>
    </w:r>
    <w:r w:rsidRPr="00202523">
      <w:rPr>
        <w:rStyle w:val="PageNumber"/>
        <w:rFonts w:ascii="Times New Roman" w:hAnsi="Times New Roman"/>
        <w:sz w:val="18"/>
      </w:rPr>
      <w:fldChar w:fldCharType="separate"/>
    </w:r>
    <w:r>
      <w:rPr>
        <w:rStyle w:val="PageNumber"/>
        <w:rFonts w:ascii="Times New Roman" w:hAnsi="Times New Roman"/>
        <w:noProof/>
        <w:sz w:val="18"/>
      </w:rPr>
      <w:t>9</w:t>
    </w:r>
    <w:r w:rsidRPr="00202523"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</w:rPr>
      <w:t xml:space="preserve"> -</w:t>
    </w:r>
  </w:p>
  <w:p w:rsidR="00C32D36" w:rsidRDefault="00C32D36">
    <w:pPr>
      <w:pStyle w:val="Footer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36" w:rsidRDefault="00C32D36">
      <w:r>
        <w:separator/>
      </w:r>
    </w:p>
  </w:footnote>
  <w:footnote w:type="continuationSeparator" w:id="0">
    <w:p w:rsidR="00C32D36" w:rsidRDefault="00C3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6" w:rsidRPr="000967FF" w:rsidRDefault="00C32D36">
    <w:pPr>
      <w:pStyle w:val="Header"/>
      <w:rPr>
        <w:sz w:val="22"/>
        <w:szCs w:val="22"/>
      </w:rPr>
    </w:pPr>
    <w:r w:rsidRPr="000967FF">
      <w:rPr>
        <w:sz w:val="22"/>
        <w:szCs w:val="22"/>
      </w:rPr>
      <w:t>PČOV Miškovice – modernizace</w:t>
    </w:r>
    <w:r w:rsidRPr="000967FF">
      <w:rPr>
        <w:sz w:val="22"/>
        <w:szCs w:val="22"/>
      </w:rPr>
      <w:tab/>
    </w:r>
    <w:r w:rsidRPr="000967FF">
      <w:rPr>
        <w:sz w:val="22"/>
        <w:szCs w:val="22"/>
      </w:rPr>
      <w:tab/>
      <w:t>číslo akce 1/3/597/00</w:t>
    </w:r>
    <w:r w:rsidRPr="000967FF">
      <w:rPr>
        <w:sz w:val="22"/>
        <w:szCs w:val="22"/>
      </w:rPr>
      <w:tab/>
    </w:r>
    <w:r w:rsidRPr="000967FF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5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6">
    <w:nsid w:val="03B30DCD"/>
    <w:multiLevelType w:val="multilevel"/>
    <w:tmpl w:val="2CE6BE4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7">
    <w:nsid w:val="12236EF5"/>
    <w:multiLevelType w:val="hybridMultilevel"/>
    <w:tmpl w:val="D222F018"/>
    <w:lvl w:ilvl="0" w:tplc="72D48E5E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1A3E73CB"/>
    <w:multiLevelType w:val="multilevel"/>
    <w:tmpl w:val="1DE680C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2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91D87"/>
    <w:multiLevelType w:val="hybridMultilevel"/>
    <w:tmpl w:val="9CFA9356"/>
    <w:lvl w:ilvl="0" w:tplc="A640797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7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1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B2B4F"/>
    <w:multiLevelType w:val="multilevel"/>
    <w:tmpl w:val="94EC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24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5">
    <w:nsid w:val="660929E8"/>
    <w:multiLevelType w:val="multilevel"/>
    <w:tmpl w:val="BCEE7F12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i w:val="0"/>
      </w:rPr>
    </w:lvl>
    <w:lvl w:ilvl="1">
      <w:start w:val="10"/>
      <w:numFmt w:val="decimal"/>
      <w:lvlText w:val="%1.%2."/>
      <w:lvlJc w:val="left"/>
      <w:pPr>
        <w:ind w:left="1167" w:hanging="60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  <w:i w:val="0"/>
      </w:rPr>
    </w:lvl>
  </w:abstractNum>
  <w:abstractNum w:abstractNumId="26">
    <w:nsid w:val="69BC2398"/>
    <w:multiLevelType w:val="multilevel"/>
    <w:tmpl w:val="8800F94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7">
    <w:nsid w:val="6B766CEE"/>
    <w:multiLevelType w:val="hybridMultilevel"/>
    <w:tmpl w:val="D9D0B656"/>
    <w:lvl w:ilvl="0" w:tplc="A8DA515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7C92312A"/>
    <w:multiLevelType w:val="hybridMultilevel"/>
    <w:tmpl w:val="10FCF22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2">
    <w:abstractNumId w:val="29"/>
  </w:num>
  <w:num w:numId="13">
    <w:abstractNumId w:val="9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8"/>
  </w:num>
  <w:num w:numId="21">
    <w:abstractNumId w:val="12"/>
  </w:num>
  <w:num w:numId="22">
    <w:abstractNumId w:val="21"/>
  </w:num>
  <w:num w:numId="23">
    <w:abstractNumId w:val="13"/>
  </w:num>
  <w:num w:numId="24">
    <w:abstractNumId w:val="19"/>
  </w:num>
  <w:num w:numId="25">
    <w:abstractNumId w:val="20"/>
  </w:num>
  <w:num w:numId="26">
    <w:abstractNumId w:val="30"/>
  </w:num>
  <w:num w:numId="27">
    <w:abstractNumId w:val="17"/>
  </w:num>
  <w:num w:numId="28">
    <w:abstractNumId w:val="8"/>
  </w:num>
  <w:num w:numId="29">
    <w:abstractNumId w:val="7"/>
  </w:num>
  <w:num w:numId="30">
    <w:abstractNumId w:val="14"/>
  </w:num>
  <w:num w:numId="31">
    <w:abstractNumId w:val="3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4"/>
  </w:num>
  <w:num w:numId="37">
    <w:abstractNumId w:val="26"/>
  </w:num>
  <w:num w:numId="38">
    <w:abstractNumId w:val="27"/>
  </w:num>
  <w:num w:numId="39">
    <w:abstractNumId w:val="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072"/>
    <w:rsid w:val="00002A59"/>
    <w:rsid w:val="00007052"/>
    <w:rsid w:val="0001227C"/>
    <w:rsid w:val="00015D7B"/>
    <w:rsid w:val="000215CD"/>
    <w:rsid w:val="000327F5"/>
    <w:rsid w:val="00033A8B"/>
    <w:rsid w:val="0004255B"/>
    <w:rsid w:val="00051112"/>
    <w:rsid w:val="00051C29"/>
    <w:rsid w:val="00052E64"/>
    <w:rsid w:val="00056A61"/>
    <w:rsid w:val="00060EB6"/>
    <w:rsid w:val="0006211A"/>
    <w:rsid w:val="00072073"/>
    <w:rsid w:val="00072C07"/>
    <w:rsid w:val="0008384E"/>
    <w:rsid w:val="000967FF"/>
    <w:rsid w:val="000A0427"/>
    <w:rsid w:val="000B07B8"/>
    <w:rsid w:val="000C444B"/>
    <w:rsid w:val="000C66D1"/>
    <w:rsid w:val="000C7484"/>
    <w:rsid w:val="000D783E"/>
    <w:rsid w:val="000E792E"/>
    <w:rsid w:val="000F053F"/>
    <w:rsid w:val="000F313B"/>
    <w:rsid w:val="00101A93"/>
    <w:rsid w:val="001037E9"/>
    <w:rsid w:val="00111B0C"/>
    <w:rsid w:val="00123790"/>
    <w:rsid w:val="00133365"/>
    <w:rsid w:val="00134408"/>
    <w:rsid w:val="001525F9"/>
    <w:rsid w:val="00162564"/>
    <w:rsid w:val="00164373"/>
    <w:rsid w:val="00164D7B"/>
    <w:rsid w:val="00166C71"/>
    <w:rsid w:val="00167325"/>
    <w:rsid w:val="00174DAC"/>
    <w:rsid w:val="001844F5"/>
    <w:rsid w:val="00196414"/>
    <w:rsid w:val="001A4FD2"/>
    <w:rsid w:val="001A69B3"/>
    <w:rsid w:val="001B42C7"/>
    <w:rsid w:val="001B47F6"/>
    <w:rsid w:val="001D7A88"/>
    <w:rsid w:val="001E046D"/>
    <w:rsid w:val="001E0AD1"/>
    <w:rsid w:val="001E50C3"/>
    <w:rsid w:val="001F63DC"/>
    <w:rsid w:val="00200577"/>
    <w:rsid w:val="0020156E"/>
    <w:rsid w:val="00202523"/>
    <w:rsid w:val="00210027"/>
    <w:rsid w:val="00213E68"/>
    <w:rsid w:val="002222B6"/>
    <w:rsid w:val="00223E81"/>
    <w:rsid w:val="00236013"/>
    <w:rsid w:val="0024594C"/>
    <w:rsid w:val="00250D07"/>
    <w:rsid w:val="0025472D"/>
    <w:rsid w:val="0026180E"/>
    <w:rsid w:val="00262786"/>
    <w:rsid w:val="002657D0"/>
    <w:rsid w:val="00274AAF"/>
    <w:rsid w:val="00282495"/>
    <w:rsid w:val="00293012"/>
    <w:rsid w:val="00293190"/>
    <w:rsid w:val="002A44A1"/>
    <w:rsid w:val="002B4F7B"/>
    <w:rsid w:val="002B5821"/>
    <w:rsid w:val="002C19D1"/>
    <w:rsid w:val="002C3897"/>
    <w:rsid w:val="002C57D2"/>
    <w:rsid w:val="002C588F"/>
    <w:rsid w:val="002D0CEA"/>
    <w:rsid w:val="002D2063"/>
    <w:rsid w:val="002E4A05"/>
    <w:rsid w:val="002E659E"/>
    <w:rsid w:val="002F06E2"/>
    <w:rsid w:val="002F4384"/>
    <w:rsid w:val="002F747A"/>
    <w:rsid w:val="003018F1"/>
    <w:rsid w:val="003049DF"/>
    <w:rsid w:val="003059C5"/>
    <w:rsid w:val="00305EE9"/>
    <w:rsid w:val="0031503A"/>
    <w:rsid w:val="00315370"/>
    <w:rsid w:val="0032387D"/>
    <w:rsid w:val="003302C3"/>
    <w:rsid w:val="0033524F"/>
    <w:rsid w:val="00335A03"/>
    <w:rsid w:val="00336C82"/>
    <w:rsid w:val="003413D1"/>
    <w:rsid w:val="00351188"/>
    <w:rsid w:val="00360E3F"/>
    <w:rsid w:val="0036741C"/>
    <w:rsid w:val="00377086"/>
    <w:rsid w:val="00380D58"/>
    <w:rsid w:val="00393597"/>
    <w:rsid w:val="00396682"/>
    <w:rsid w:val="003A25F2"/>
    <w:rsid w:val="003A744D"/>
    <w:rsid w:val="003B3AE5"/>
    <w:rsid w:val="003D7F93"/>
    <w:rsid w:val="003E03AD"/>
    <w:rsid w:val="003E2A36"/>
    <w:rsid w:val="003E65E3"/>
    <w:rsid w:val="00413B3B"/>
    <w:rsid w:val="00414B6E"/>
    <w:rsid w:val="004307E1"/>
    <w:rsid w:val="00432863"/>
    <w:rsid w:val="00444513"/>
    <w:rsid w:val="004453A4"/>
    <w:rsid w:val="004466B4"/>
    <w:rsid w:val="0045027E"/>
    <w:rsid w:val="004570FC"/>
    <w:rsid w:val="004574E8"/>
    <w:rsid w:val="004614C8"/>
    <w:rsid w:val="00477945"/>
    <w:rsid w:val="0048126D"/>
    <w:rsid w:val="00482066"/>
    <w:rsid w:val="0048247C"/>
    <w:rsid w:val="00484EE7"/>
    <w:rsid w:val="00485B04"/>
    <w:rsid w:val="004941EE"/>
    <w:rsid w:val="004A50A7"/>
    <w:rsid w:val="004B06F5"/>
    <w:rsid w:val="004B3F8D"/>
    <w:rsid w:val="004C266A"/>
    <w:rsid w:val="004C4928"/>
    <w:rsid w:val="004C6255"/>
    <w:rsid w:val="004D04AF"/>
    <w:rsid w:val="004D1F05"/>
    <w:rsid w:val="004D7E6C"/>
    <w:rsid w:val="004F50BA"/>
    <w:rsid w:val="004F7B32"/>
    <w:rsid w:val="00501C0C"/>
    <w:rsid w:val="00511E99"/>
    <w:rsid w:val="005315D1"/>
    <w:rsid w:val="00543607"/>
    <w:rsid w:val="00555C70"/>
    <w:rsid w:val="00560927"/>
    <w:rsid w:val="005708FD"/>
    <w:rsid w:val="005748DF"/>
    <w:rsid w:val="00576D81"/>
    <w:rsid w:val="00587570"/>
    <w:rsid w:val="005908FE"/>
    <w:rsid w:val="00592AC1"/>
    <w:rsid w:val="005A0117"/>
    <w:rsid w:val="005C0C8F"/>
    <w:rsid w:val="005C54A0"/>
    <w:rsid w:val="005D00A1"/>
    <w:rsid w:val="005D20DD"/>
    <w:rsid w:val="005E3A0C"/>
    <w:rsid w:val="005F40F3"/>
    <w:rsid w:val="0061452F"/>
    <w:rsid w:val="00615A7B"/>
    <w:rsid w:val="006174CE"/>
    <w:rsid w:val="00622C1E"/>
    <w:rsid w:val="00625C29"/>
    <w:rsid w:val="00630D59"/>
    <w:rsid w:val="006315BB"/>
    <w:rsid w:val="006328EC"/>
    <w:rsid w:val="006339B5"/>
    <w:rsid w:val="00635E43"/>
    <w:rsid w:val="0064198A"/>
    <w:rsid w:val="00646EF0"/>
    <w:rsid w:val="006519DF"/>
    <w:rsid w:val="00664CCF"/>
    <w:rsid w:val="00665A9F"/>
    <w:rsid w:val="006666B8"/>
    <w:rsid w:val="00667E31"/>
    <w:rsid w:val="00671C69"/>
    <w:rsid w:val="00673B32"/>
    <w:rsid w:val="00691197"/>
    <w:rsid w:val="006B55B7"/>
    <w:rsid w:val="006C3567"/>
    <w:rsid w:val="006D0680"/>
    <w:rsid w:val="006D4BAD"/>
    <w:rsid w:val="006D54ED"/>
    <w:rsid w:val="006D7735"/>
    <w:rsid w:val="006E1B9D"/>
    <w:rsid w:val="006E3DC7"/>
    <w:rsid w:val="006F4D48"/>
    <w:rsid w:val="007066A1"/>
    <w:rsid w:val="0071341B"/>
    <w:rsid w:val="0072054B"/>
    <w:rsid w:val="00726326"/>
    <w:rsid w:val="00731098"/>
    <w:rsid w:val="007450A9"/>
    <w:rsid w:val="00750DD0"/>
    <w:rsid w:val="007551DD"/>
    <w:rsid w:val="007562A8"/>
    <w:rsid w:val="00780557"/>
    <w:rsid w:val="00784BAF"/>
    <w:rsid w:val="00787044"/>
    <w:rsid w:val="00791443"/>
    <w:rsid w:val="00796B93"/>
    <w:rsid w:val="007A03A9"/>
    <w:rsid w:val="007B15C6"/>
    <w:rsid w:val="007B187F"/>
    <w:rsid w:val="007B48B3"/>
    <w:rsid w:val="007B62FC"/>
    <w:rsid w:val="007C16B4"/>
    <w:rsid w:val="007C5407"/>
    <w:rsid w:val="007D12B2"/>
    <w:rsid w:val="007D2B00"/>
    <w:rsid w:val="007D6728"/>
    <w:rsid w:val="007F22AE"/>
    <w:rsid w:val="007F2C08"/>
    <w:rsid w:val="007F6669"/>
    <w:rsid w:val="00800CB1"/>
    <w:rsid w:val="008015AE"/>
    <w:rsid w:val="00816FA5"/>
    <w:rsid w:val="0081719A"/>
    <w:rsid w:val="008219B6"/>
    <w:rsid w:val="00824072"/>
    <w:rsid w:val="00835423"/>
    <w:rsid w:val="00847501"/>
    <w:rsid w:val="00857B5E"/>
    <w:rsid w:val="0087187B"/>
    <w:rsid w:val="008736F6"/>
    <w:rsid w:val="00877269"/>
    <w:rsid w:val="00881840"/>
    <w:rsid w:val="0088465E"/>
    <w:rsid w:val="00885537"/>
    <w:rsid w:val="008A1BEE"/>
    <w:rsid w:val="008A255A"/>
    <w:rsid w:val="008A5661"/>
    <w:rsid w:val="008B2CBE"/>
    <w:rsid w:val="008B3666"/>
    <w:rsid w:val="008C3C1A"/>
    <w:rsid w:val="008D3BDF"/>
    <w:rsid w:val="008F33D6"/>
    <w:rsid w:val="008F7A6A"/>
    <w:rsid w:val="009011F1"/>
    <w:rsid w:val="00920CF4"/>
    <w:rsid w:val="009404C6"/>
    <w:rsid w:val="00946F61"/>
    <w:rsid w:val="009505B2"/>
    <w:rsid w:val="009505B5"/>
    <w:rsid w:val="00966A80"/>
    <w:rsid w:val="00967A53"/>
    <w:rsid w:val="00971135"/>
    <w:rsid w:val="0097200E"/>
    <w:rsid w:val="00975855"/>
    <w:rsid w:val="009801DE"/>
    <w:rsid w:val="00980623"/>
    <w:rsid w:val="00986488"/>
    <w:rsid w:val="00991112"/>
    <w:rsid w:val="009A28FC"/>
    <w:rsid w:val="009A7B39"/>
    <w:rsid w:val="009B0D4B"/>
    <w:rsid w:val="009D142C"/>
    <w:rsid w:val="009E30A5"/>
    <w:rsid w:val="009F0F28"/>
    <w:rsid w:val="009F5D17"/>
    <w:rsid w:val="00A06256"/>
    <w:rsid w:val="00A065E8"/>
    <w:rsid w:val="00A10790"/>
    <w:rsid w:val="00A11B5F"/>
    <w:rsid w:val="00A3153A"/>
    <w:rsid w:val="00A363BC"/>
    <w:rsid w:val="00A61262"/>
    <w:rsid w:val="00A661D7"/>
    <w:rsid w:val="00A76EAD"/>
    <w:rsid w:val="00A90688"/>
    <w:rsid w:val="00A94BF0"/>
    <w:rsid w:val="00AB776B"/>
    <w:rsid w:val="00AD0953"/>
    <w:rsid w:val="00AD59B2"/>
    <w:rsid w:val="00AD5DD4"/>
    <w:rsid w:val="00AD7D63"/>
    <w:rsid w:val="00AE5034"/>
    <w:rsid w:val="00AF0032"/>
    <w:rsid w:val="00AF0A94"/>
    <w:rsid w:val="00AF160B"/>
    <w:rsid w:val="00B026F9"/>
    <w:rsid w:val="00B10ED4"/>
    <w:rsid w:val="00B11D04"/>
    <w:rsid w:val="00B12864"/>
    <w:rsid w:val="00B144BE"/>
    <w:rsid w:val="00B15E31"/>
    <w:rsid w:val="00B22643"/>
    <w:rsid w:val="00B22947"/>
    <w:rsid w:val="00B2701C"/>
    <w:rsid w:val="00B369E1"/>
    <w:rsid w:val="00B37BDF"/>
    <w:rsid w:val="00B40F22"/>
    <w:rsid w:val="00B451BB"/>
    <w:rsid w:val="00B45425"/>
    <w:rsid w:val="00B46F05"/>
    <w:rsid w:val="00B57595"/>
    <w:rsid w:val="00B61545"/>
    <w:rsid w:val="00B62641"/>
    <w:rsid w:val="00B635B8"/>
    <w:rsid w:val="00B8086A"/>
    <w:rsid w:val="00B81F49"/>
    <w:rsid w:val="00B82EBC"/>
    <w:rsid w:val="00BA156A"/>
    <w:rsid w:val="00BA3126"/>
    <w:rsid w:val="00BA352D"/>
    <w:rsid w:val="00BA5F82"/>
    <w:rsid w:val="00BB53DC"/>
    <w:rsid w:val="00BD3B96"/>
    <w:rsid w:val="00BE3353"/>
    <w:rsid w:val="00BE7B8F"/>
    <w:rsid w:val="00BF22B6"/>
    <w:rsid w:val="00C00DB9"/>
    <w:rsid w:val="00C0291E"/>
    <w:rsid w:val="00C05164"/>
    <w:rsid w:val="00C16CDC"/>
    <w:rsid w:val="00C211B3"/>
    <w:rsid w:val="00C269B0"/>
    <w:rsid w:val="00C274C6"/>
    <w:rsid w:val="00C27939"/>
    <w:rsid w:val="00C32D36"/>
    <w:rsid w:val="00C4296C"/>
    <w:rsid w:val="00C448D2"/>
    <w:rsid w:val="00C45229"/>
    <w:rsid w:val="00C472AC"/>
    <w:rsid w:val="00C604D1"/>
    <w:rsid w:val="00C73AEF"/>
    <w:rsid w:val="00C74B4A"/>
    <w:rsid w:val="00C76404"/>
    <w:rsid w:val="00C80CAB"/>
    <w:rsid w:val="00C96F81"/>
    <w:rsid w:val="00CA1012"/>
    <w:rsid w:val="00CA175E"/>
    <w:rsid w:val="00CA4784"/>
    <w:rsid w:val="00CC76BF"/>
    <w:rsid w:val="00CD7BB6"/>
    <w:rsid w:val="00CE0BD8"/>
    <w:rsid w:val="00CE695F"/>
    <w:rsid w:val="00CF40C9"/>
    <w:rsid w:val="00D032C8"/>
    <w:rsid w:val="00D05E00"/>
    <w:rsid w:val="00D06EAE"/>
    <w:rsid w:val="00D126A4"/>
    <w:rsid w:val="00D14729"/>
    <w:rsid w:val="00D25A88"/>
    <w:rsid w:val="00D31E6D"/>
    <w:rsid w:val="00D6650F"/>
    <w:rsid w:val="00D735B3"/>
    <w:rsid w:val="00D73FF5"/>
    <w:rsid w:val="00D74D9F"/>
    <w:rsid w:val="00D7511B"/>
    <w:rsid w:val="00D804A5"/>
    <w:rsid w:val="00D81C79"/>
    <w:rsid w:val="00D823D3"/>
    <w:rsid w:val="00D861F6"/>
    <w:rsid w:val="00D92643"/>
    <w:rsid w:val="00D952DC"/>
    <w:rsid w:val="00DA2C06"/>
    <w:rsid w:val="00DA6A74"/>
    <w:rsid w:val="00DA6D79"/>
    <w:rsid w:val="00DC25B8"/>
    <w:rsid w:val="00DC425C"/>
    <w:rsid w:val="00DC664A"/>
    <w:rsid w:val="00DD1191"/>
    <w:rsid w:val="00DE2CF5"/>
    <w:rsid w:val="00DE638A"/>
    <w:rsid w:val="00E05954"/>
    <w:rsid w:val="00E15533"/>
    <w:rsid w:val="00E20292"/>
    <w:rsid w:val="00E21D9A"/>
    <w:rsid w:val="00E21DB8"/>
    <w:rsid w:val="00E23AC3"/>
    <w:rsid w:val="00E32CE9"/>
    <w:rsid w:val="00E651D8"/>
    <w:rsid w:val="00E66A81"/>
    <w:rsid w:val="00E66E04"/>
    <w:rsid w:val="00E76EB9"/>
    <w:rsid w:val="00E8014D"/>
    <w:rsid w:val="00E8033D"/>
    <w:rsid w:val="00E875BE"/>
    <w:rsid w:val="00E9080C"/>
    <w:rsid w:val="00E93D7F"/>
    <w:rsid w:val="00E93FD6"/>
    <w:rsid w:val="00EB3397"/>
    <w:rsid w:val="00EC3509"/>
    <w:rsid w:val="00ED0925"/>
    <w:rsid w:val="00ED51E4"/>
    <w:rsid w:val="00EE147D"/>
    <w:rsid w:val="00EE6B97"/>
    <w:rsid w:val="00EF2DDE"/>
    <w:rsid w:val="00EF55B7"/>
    <w:rsid w:val="00F104FC"/>
    <w:rsid w:val="00F119E2"/>
    <w:rsid w:val="00F1393A"/>
    <w:rsid w:val="00F27A12"/>
    <w:rsid w:val="00F312D5"/>
    <w:rsid w:val="00F328F8"/>
    <w:rsid w:val="00F410B6"/>
    <w:rsid w:val="00F44E0C"/>
    <w:rsid w:val="00F508A3"/>
    <w:rsid w:val="00F53617"/>
    <w:rsid w:val="00F574C8"/>
    <w:rsid w:val="00F60C96"/>
    <w:rsid w:val="00F64401"/>
    <w:rsid w:val="00F73B24"/>
    <w:rsid w:val="00F75461"/>
    <w:rsid w:val="00F77ACE"/>
    <w:rsid w:val="00F92690"/>
    <w:rsid w:val="00F945E8"/>
    <w:rsid w:val="00FA1FD6"/>
    <w:rsid w:val="00FA5C91"/>
    <w:rsid w:val="00FB0E7D"/>
    <w:rsid w:val="00FB501E"/>
    <w:rsid w:val="00FC035B"/>
    <w:rsid w:val="00FC39E6"/>
    <w:rsid w:val="00FC4768"/>
    <w:rsid w:val="00FD6F36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073"/>
    <w:pPr>
      <w:keepNext/>
      <w:numPr>
        <w:numId w:val="7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073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0625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3A4"/>
    <w:rPr>
      <w:rFonts w:ascii="Arial" w:hAnsi="Arial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5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6256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Text">
    <w:name w:val="Text"/>
    <w:basedOn w:val="Normal"/>
    <w:uiPriority w:val="99"/>
    <w:rsid w:val="00072073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ListNumber">
    <w:name w:val="List Number"/>
    <w:basedOn w:val="Normal"/>
    <w:uiPriority w:val="99"/>
    <w:rsid w:val="00072073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207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93D7F"/>
    <w:rPr>
      <w:rFonts w:ascii="Arial" w:hAnsi="Arial" w:cs="Times New Roman"/>
      <w:b/>
      <w:kern w:val="28"/>
      <w:sz w:val="32"/>
    </w:rPr>
  </w:style>
  <w:style w:type="paragraph" w:styleId="ListNumber2">
    <w:name w:val="List Number 2"/>
    <w:basedOn w:val="Normal"/>
    <w:uiPriority w:val="99"/>
    <w:rsid w:val="00072073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2073"/>
    <w:rPr>
      <w:rFonts w:ascii="Tahoma" w:hAnsi="Tahoma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72073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523"/>
    <w:rPr>
      <w:rFonts w:ascii="Tahoma" w:hAnsi="Tahoma" w:cs="Times New Roman"/>
    </w:rPr>
  </w:style>
  <w:style w:type="character" w:styleId="PageNumber">
    <w:name w:val="page number"/>
    <w:basedOn w:val="DefaultParagraphFont"/>
    <w:uiPriority w:val="99"/>
    <w:rsid w:val="0007207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72073"/>
    <w:pPr>
      <w:spacing w:before="120" w:line="240" w:lineRule="atLeast"/>
      <w:ind w:left="567" w:hanging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5C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72073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5C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72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5C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5C0"/>
    <w:rPr>
      <w:sz w:val="0"/>
      <w:szCs w:val="0"/>
    </w:rPr>
  </w:style>
  <w:style w:type="paragraph" w:customStyle="1" w:styleId="Zkladntextodsazen31">
    <w:name w:val="Základní text odsazený 31"/>
    <w:basedOn w:val="Normal"/>
    <w:uiPriority w:val="99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uiPriority w:val="99"/>
    <w:rsid w:val="008C3C1A"/>
  </w:style>
  <w:style w:type="paragraph" w:styleId="BalloonText">
    <w:name w:val="Balloon Text"/>
    <w:basedOn w:val="Normal"/>
    <w:link w:val="BalloonTextChar"/>
    <w:uiPriority w:val="99"/>
    <w:rsid w:val="00E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162564"/>
    <w:pPr>
      <w:numPr>
        <w:numId w:val="24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DefaultParagraphFont"/>
    <w:link w:val="Smluvnstrany123"/>
    <w:uiPriority w:val="99"/>
    <w:locked/>
    <w:rsid w:val="00162564"/>
  </w:style>
  <w:style w:type="paragraph" w:customStyle="1" w:styleId="PrvnrovesmlouvyNadpis">
    <w:name w:val="První úroveň smlouvy (Nadpis)"/>
    <w:basedOn w:val="Normal"/>
    <w:next w:val="Druhrovesmlouvy"/>
    <w:link w:val="PrvnrovesmlouvyNadpisChar"/>
    <w:uiPriority w:val="99"/>
    <w:rsid w:val="003E03AD"/>
    <w:pPr>
      <w:keepNext/>
      <w:numPr>
        <w:numId w:val="25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3E03AD"/>
    <w:pPr>
      <w:keepNext w:val="0"/>
      <w:numPr>
        <w:ilvl w:val="1"/>
      </w:numPr>
      <w:tabs>
        <w:tab w:val="num" w:pos="1440"/>
      </w:tabs>
      <w:spacing w:before="0"/>
      <w:ind w:hanging="36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99"/>
    <w:rsid w:val="003E03AD"/>
    <w:pPr>
      <w:numPr>
        <w:ilvl w:val="2"/>
      </w:numPr>
      <w:tabs>
        <w:tab w:val="clear" w:pos="1135"/>
        <w:tab w:val="num" w:pos="1276"/>
        <w:tab w:val="num" w:pos="2160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DefaultParagraphFont"/>
    <w:link w:val="Druhrovesmlouvy"/>
    <w:uiPriority w:val="99"/>
    <w:locked/>
    <w:rsid w:val="003E03AD"/>
  </w:style>
  <w:style w:type="paragraph" w:customStyle="1" w:styleId="tvrtrovesmlouvy">
    <w:name w:val="Čtvrtá úroveň smlouvy"/>
    <w:basedOn w:val="Tetrovesmlouvy"/>
    <w:uiPriority w:val="99"/>
    <w:rsid w:val="003E03AD"/>
    <w:pPr>
      <w:numPr>
        <w:ilvl w:val="3"/>
      </w:numPr>
      <w:tabs>
        <w:tab w:val="num" w:pos="2880"/>
        <w:tab w:val="num" w:pos="2952"/>
      </w:tabs>
      <w:ind w:left="2952" w:hanging="360"/>
    </w:pPr>
  </w:style>
  <w:style w:type="paragraph" w:styleId="BodyText">
    <w:name w:val="Body Text"/>
    <w:aliases w:val="Odsazený text"/>
    <w:basedOn w:val="Normal"/>
    <w:link w:val="BodyTextChar"/>
    <w:uiPriority w:val="99"/>
    <w:rsid w:val="003E03AD"/>
    <w:pPr>
      <w:spacing w:after="120"/>
    </w:pPr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3E03A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12D5"/>
    <w:pPr>
      <w:ind w:left="720"/>
      <w:contextualSpacing/>
    </w:pPr>
  </w:style>
  <w:style w:type="table" w:styleId="TableGrid">
    <w:name w:val="Table Grid"/>
    <w:basedOn w:val="TableNormal"/>
    <w:uiPriority w:val="99"/>
    <w:rsid w:val="00B22643"/>
    <w:pPr>
      <w:ind w:left="907" w:firstLine="51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5B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5B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5B04"/>
    <w:rPr>
      <w:b/>
      <w:bCs/>
    </w:rPr>
  </w:style>
  <w:style w:type="paragraph" w:customStyle="1" w:styleId="Nzevsmlouvytitulnstrana">
    <w:name w:val="Název smlouvy (titulní strana)"/>
    <w:basedOn w:val="Normal"/>
    <w:next w:val="Normal"/>
    <w:link w:val="NzevsmlouvytitulnstranaChar"/>
    <w:uiPriority w:val="99"/>
    <w:rsid w:val="003D7F93"/>
    <w:pPr>
      <w:spacing w:after="240"/>
      <w:jc w:val="center"/>
    </w:pPr>
    <w:rPr>
      <w:b/>
      <w:caps/>
      <w:sz w:val="28"/>
      <w:szCs w:val="28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3D7F93"/>
    <w:rPr>
      <w:rFonts w:cs="Times New Roman"/>
      <w:b/>
      <w:caps/>
      <w:sz w:val="28"/>
      <w:szCs w:val="28"/>
    </w:rPr>
  </w:style>
  <w:style w:type="paragraph" w:customStyle="1" w:styleId="Neodsazentext">
    <w:name w:val="Neodsazený text"/>
    <w:basedOn w:val="BodyText"/>
    <w:link w:val="NeodsazentextChar"/>
    <w:uiPriority w:val="99"/>
    <w:rsid w:val="00D81C79"/>
    <w:pPr>
      <w:spacing w:after="240"/>
      <w:jc w:val="both"/>
    </w:pPr>
    <w:rPr>
      <w:sz w:val="22"/>
      <w:szCs w:val="22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D81C79"/>
    <w:rPr>
      <w:sz w:val="22"/>
      <w:szCs w:val="22"/>
    </w:rPr>
  </w:style>
  <w:style w:type="paragraph" w:customStyle="1" w:styleId="Seznam123">
    <w:name w:val="Seznam 1)2)3)"/>
    <w:basedOn w:val="Normal"/>
    <w:uiPriority w:val="99"/>
    <w:rsid w:val="00101A93"/>
    <w:pPr>
      <w:numPr>
        <w:numId w:val="31"/>
      </w:numPr>
      <w:tabs>
        <w:tab w:val="clear" w:pos="1080"/>
        <w:tab w:val="num" w:pos="1134"/>
      </w:tabs>
      <w:spacing w:after="240"/>
      <w:ind w:left="1134" w:hanging="567"/>
      <w:contextualSpacing/>
      <w:jc w:val="both"/>
    </w:pPr>
    <w:rPr>
      <w:sz w:val="22"/>
      <w:szCs w:val="22"/>
    </w:rPr>
  </w:style>
  <w:style w:type="paragraph" w:customStyle="1" w:styleId="Prvnrove">
    <w:name w:val="První úroveň"/>
    <w:basedOn w:val="Normal"/>
    <w:uiPriority w:val="99"/>
    <w:rsid w:val="004453A4"/>
    <w:pPr>
      <w:keepNext/>
      <w:numPr>
        <w:numId w:val="36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4453A4"/>
    <w:pPr>
      <w:numPr>
        <w:ilvl w:val="2"/>
        <w:numId w:val="36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al"/>
    <w:uiPriority w:val="99"/>
    <w:rsid w:val="004453A4"/>
    <w:pPr>
      <w:numPr>
        <w:ilvl w:val="1"/>
        <w:numId w:val="36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BA5F82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2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2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2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2998</Words>
  <Characters>17695</Characters>
  <Application>Microsoft Office Outlook</Application>
  <DocSecurity>0</DocSecurity>
  <Lines>0</Lines>
  <Paragraphs>0</Paragraphs>
  <ScaleCrop>false</ScaleCrop>
  <Company>PVS,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HrbkovaA</dc:creator>
  <cp:keywords/>
  <dc:description/>
  <cp:lastModifiedBy>bonnerovap</cp:lastModifiedBy>
  <cp:revision>5</cp:revision>
  <cp:lastPrinted>2017-11-22T12:42:00Z</cp:lastPrinted>
  <dcterms:created xsi:type="dcterms:W3CDTF">2017-11-22T12:39:00Z</dcterms:created>
  <dcterms:modified xsi:type="dcterms:W3CDTF">2017-12-14T07:58:00Z</dcterms:modified>
</cp:coreProperties>
</file>