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3C" w:rsidRDefault="00266C3C" w:rsidP="00AB6988">
      <w:pPr>
        <w:pStyle w:val="Import2"/>
        <w:tabs>
          <w:tab w:val="left" w:pos="3096"/>
          <w:tab w:val="left" w:pos="5184"/>
          <w:tab w:val="left" w:pos="6192"/>
        </w:tabs>
        <w:rPr>
          <w:rFonts w:ascii="Times New Roman" w:hAnsi="Times New Roman"/>
          <w:b/>
          <w:lang w:val="cs-CZ"/>
        </w:rPr>
      </w:pPr>
    </w:p>
    <w:p w:rsidR="00266C3C" w:rsidRPr="00C57BD1" w:rsidRDefault="00C57BD1" w:rsidP="00266C3C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Times New Roman" w:hAnsi="Times New Roman"/>
          <w:b/>
          <w:spacing w:val="50"/>
          <w:sz w:val="28"/>
          <w:szCs w:val="28"/>
          <w:lang w:val="cs-CZ"/>
        </w:rPr>
      </w:pPr>
      <w:r w:rsidRPr="00C57BD1">
        <w:rPr>
          <w:rFonts w:ascii="Times New Roman" w:hAnsi="Times New Roman"/>
          <w:b/>
          <w:spacing w:val="50"/>
          <w:sz w:val="28"/>
          <w:szCs w:val="28"/>
          <w:lang w:val="cs-CZ"/>
        </w:rPr>
        <w:t>SMLOUVA O DÍL</w:t>
      </w:r>
      <w:r w:rsidR="00266C3C" w:rsidRPr="00C57BD1">
        <w:rPr>
          <w:rFonts w:ascii="Times New Roman" w:hAnsi="Times New Roman"/>
          <w:b/>
          <w:spacing w:val="50"/>
          <w:sz w:val="28"/>
          <w:szCs w:val="28"/>
          <w:lang w:val="cs-CZ"/>
        </w:rPr>
        <w:t>O</w:t>
      </w:r>
    </w:p>
    <w:p w:rsidR="00266C3C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       na zhotovení projektové dokumentace </w:t>
      </w:r>
    </w:p>
    <w:p w:rsidR="00266C3C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 xml:space="preserve">uzavřená podle § </w:t>
      </w:r>
      <w:r w:rsidR="00800B6C">
        <w:rPr>
          <w:rFonts w:ascii="Times New Roman" w:hAnsi="Times New Roman"/>
          <w:bCs/>
          <w:lang w:val="cs-CZ"/>
        </w:rPr>
        <w:t>2586</w:t>
      </w:r>
      <w:r>
        <w:rPr>
          <w:rFonts w:ascii="Times New Roman" w:hAnsi="Times New Roman"/>
          <w:bCs/>
          <w:lang w:val="cs-CZ"/>
        </w:rPr>
        <w:t xml:space="preserve"> a násl. zákona č. </w:t>
      </w:r>
      <w:r w:rsidR="000B2181">
        <w:rPr>
          <w:rFonts w:ascii="Times New Roman" w:hAnsi="Times New Roman"/>
          <w:bCs/>
          <w:lang w:val="cs-CZ"/>
        </w:rPr>
        <w:t>89/2012 Sb., občanský zákoník</w:t>
      </w:r>
      <w:r>
        <w:rPr>
          <w:rFonts w:ascii="Times New Roman" w:hAnsi="Times New Roman"/>
          <w:bCs/>
          <w:lang w:val="cs-CZ"/>
        </w:rPr>
        <w:t xml:space="preserve"> </w:t>
      </w:r>
    </w:p>
    <w:p w:rsidR="00266C3C" w:rsidRPr="00A35DFC" w:rsidRDefault="00A35DFC" w:rsidP="00266C3C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</w:pPr>
      <w:r w:rsidRPr="00A35DFC">
        <w:t>VS-128344-</w:t>
      </w:r>
      <w:r>
        <w:t>5</w:t>
      </w:r>
      <w:r w:rsidRPr="00A35DFC">
        <w:t>/ČJ-2016-802251-IV</w:t>
      </w:r>
    </w:p>
    <w:p w:rsidR="00266C3C" w:rsidRDefault="00266C3C" w:rsidP="00266C3C">
      <w:pPr>
        <w:jc w:val="center"/>
        <w:rPr>
          <w:b/>
        </w:rPr>
      </w:pPr>
      <w:r>
        <w:rPr>
          <w:b/>
        </w:rPr>
        <w:t>I.</w:t>
      </w:r>
    </w:p>
    <w:p w:rsidR="00266C3C" w:rsidRDefault="00266C3C" w:rsidP="00266C3C">
      <w:pPr>
        <w:jc w:val="center"/>
        <w:rPr>
          <w:b/>
        </w:rPr>
      </w:pPr>
      <w:r>
        <w:rPr>
          <w:b/>
        </w:rPr>
        <w:t>Smluvní strany</w:t>
      </w:r>
    </w:p>
    <w:p w:rsidR="00266C3C" w:rsidRDefault="00266C3C" w:rsidP="00266C3C">
      <w:pPr>
        <w:jc w:val="center"/>
        <w:rPr>
          <w:b/>
        </w:rPr>
      </w:pPr>
    </w:p>
    <w:p w:rsidR="00266C3C" w:rsidRDefault="00266C3C" w:rsidP="00266C3C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</w:p>
    <w:p w:rsidR="00AB6988" w:rsidRPr="007141F9" w:rsidRDefault="00AB6988" w:rsidP="00AB6988">
      <w:pPr>
        <w:rPr>
          <w:b/>
        </w:rPr>
      </w:pPr>
      <w:r w:rsidRPr="007141F9">
        <w:rPr>
          <w:b/>
        </w:rPr>
        <w:t xml:space="preserve">ČESKÁ REPUBLIKA </w:t>
      </w:r>
    </w:p>
    <w:p w:rsidR="00AB6988" w:rsidRPr="007141F9" w:rsidRDefault="00AB6988" w:rsidP="00AB6988">
      <w:pPr>
        <w:rPr>
          <w:b/>
        </w:rPr>
      </w:pPr>
      <w:r w:rsidRPr="007141F9">
        <w:rPr>
          <w:b/>
        </w:rPr>
        <w:t>Vězeňská služba České republiky</w:t>
      </w:r>
    </w:p>
    <w:p w:rsidR="00AB6988" w:rsidRPr="007141F9" w:rsidRDefault="00AB6988" w:rsidP="00AB6988">
      <w:r w:rsidRPr="007141F9">
        <w:t>se sídlem</w:t>
      </w:r>
      <w:r>
        <w:t xml:space="preserve"> Soudní 1672/1a, 140 67 Praha 4, </w:t>
      </w:r>
    </w:p>
    <w:p w:rsidR="00CE045A" w:rsidRPr="00031054" w:rsidRDefault="00CE045A" w:rsidP="00CE045A">
      <w:pPr>
        <w:jc w:val="both"/>
      </w:pPr>
      <w:r w:rsidRPr="00CE045A">
        <w:t>Za stát právně jedná na základě pověření generálního ředitele V</w:t>
      </w:r>
      <w:r>
        <w:t xml:space="preserve">ězeňské služby České republiky </w:t>
      </w:r>
      <w:r w:rsidRPr="00CE045A">
        <w:t>č. j.  VS-88535-4/ČJ-2016-800020-SP  ze dne 1. 9. 2016</w:t>
      </w:r>
    </w:p>
    <w:p w:rsidR="00CE045A" w:rsidRDefault="00CE045A" w:rsidP="00CE045A">
      <w:pPr>
        <w:jc w:val="both"/>
      </w:pPr>
      <w:r w:rsidRPr="00031054">
        <w:t>Vrchní rada plk. Mgr. Jiří Mach, ředitel věznice Valdice</w:t>
      </w:r>
    </w:p>
    <w:p w:rsidR="00CE045A" w:rsidRPr="00031054" w:rsidRDefault="00CE045A" w:rsidP="00CE045A">
      <w:pPr>
        <w:jc w:val="both"/>
      </w:pPr>
      <w:r>
        <w:t>Nám. Míru 55, 507 11 Valdice</w:t>
      </w:r>
    </w:p>
    <w:p w:rsidR="00CE045A" w:rsidRDefault="00CE045A" w:rsidP="00CE045A">
      <w:pPr>
        <w:jc w:val="both"/>
      </w:pPr>
      <w:r>
        <w:t>IČO: 00212423</w:t>
      </w:r>
    </w:p>
    <w:p w:rsidR="00CE045A" w:rsidRDefault="00CE045A" w:rsidP="00CE045A">
      <w:pPr>
        <w:jc w:val="both"/>
      </w:pPr>
      <w:r>
        <w:t>DIČ: není plátcem DPH</w:t>
      </w:r>
    </w:p>
    <w:p w:rsidR="00CE045A" w:rsidRDefault="00CE045A" w:rsidP="00CE045A">
      <w:pPr>
        <w:jc w:val="both"/>
      </w:pPr>
      <w:r>
        <w:t xml:space="preserve">Bankovní spojení: </w:t>
      </w:r>
      <w:proofErr w:type="spellStart"/>
      <w:r w:rsidR="00E23F77" w:rsidRPr="00E23F77">
        <w:rPr>
          <w:highlight w:val="black"/>
        </w:rPr>
        <w:t>xxxxxxxxxxxxxxxxxxxxxxxxxxxxx</w:t>
      </w:r>
      <w:proofErr w:type="spellEnd"/>
    </w:p>
    <w:p w:rsidR="00AB6988" w:rsidRDefault="00AB6988" w:rsidP="00AB6988">
      <w:pPr>
        <w:jc w:val="both"/>
      </w:pPr>
      <w:r>
        <w:t>Adresa věznice:</w:t>
      </w:r>
    </w:p>
    <w:p w:rsidR="00AB6988" w:rsidRDefault="00AB6988" w:rsidP="00AB6988">
      <w:pPr>
        <w:jc w:val="both"/>
      </w:pPr>
      <w:r>
        <w:t>Vězeňská služba ČR, Věznice Valdice Nám. Míru 55, 507 11 Valdice</w:t>
      </w:r>
    </w:p>
    <w:p w:rsidR="00AB6988" w:rsidRPr="007141F9" w:rsidRDefault="00AB6988" w:rsidP="00AB6988">
      <w:pPr>
        <w:tabs>
          <w:tab w:val="left" w:pos="1335"/>
        </w:tabs>
      </w:pPr>
      <w:r w:rsidRPr="007141F9">
        <w:tab/>
      </w:r>
    </w:p>
    <w:p w:rsidR="00266C3C" w:rsidRDefault="00AB6988" w:rsidP="00AB6988">
      <w:pPr>
        <w:rPr>
          <w:sz w:val="20"/>
          <w:szCs w:val="20"/>
        </w:rPr>
      </w:pPr>
      <w:r w:rsidRPr="007141F9">
        <w:t>(dále jen „objednatel“) na straně jedné</w:t>
      </w:r>
      <w:r w:rsidR="00266C3C">
        <w:rPr>
          <w:sz w:val="20"/>
          <w:szCs w:val="20"/>
        </w:rPr>
        <w:tab/>
      </w:r>
      <w:r w:rsidR="00266C3C">
        <w:rPr>
          <w:sz w:val="20"/>
          <w:szCs w:val="20"/>
        </w:rPr>
        <w:tab/>
      </w:r>
      <w:r w:rsidR="00266C3C">
        <w:rPr>
          <w:sz w:val="20"/>
          <w:szCs w:val="20"/>
        </w:rPr>
        <w:tab/>
      </w:r>
      <w:r w:rsidR="00266C3C">
        <w:rPr>
          <w:sz w:val="20"/>
          <w:szCs w:val="20"/>
        </w:rPr>
        <w:tab/>
      </w:r>
      <w:r w:rsidR="00266C3C">
        <w:rPr>
          <w:sz w:val="20"/>
          <w:szCs w:val="20"/>
        </w:rPr>
        <w:tab/>
      </w:r>
    </w:p>
    <w:p w:rsidR="00266C3C" w:rsidRDefault="00266C3C" w:rsidP="00266C3C">
      <w:pPr>
        <w:rPr>
          <w:sz w:val="20"/>
          <w:szCs w:val="20"/>
        </w:rPr>
      </w:pPr>
    </w:p>
    <w:p w:rsidR="00266C3C" w:rsidRPr="00AB6988" w:rsidRDefault="00266C3C" w:rsidP="00AB69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</w:p>
    <w:p w:rsidR="00266C3C" w:rsidRDefault="00266C3C" w:rsidP="00266C3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0770FD" w:rsidRPr="005C5FEF" w:rsidRDefault="000770FD" w:rsidP="000770FD">
      <w:pPr>
        <w:jc w:val="both"/>
        <w:rPr>
          <w:bCs/>
        </w:rPr>
      </w:pPr>
      <w:r w:rsidRPr="003755ED">
        <w:rPr>
          <w:b/>
          <w:bCs/>
        </w:rPr>
        <w:t>firma:</w:t>
      </w:r>
      <w:r w:rsidRPr="003755ED">
        <w:rPr>
          <w:bCs/>
        </w:rPr>
        <w:t xml:space="preserve">             </w:t>
      </w:r>
      <w:r>
        <w:rPr>
          <w:bCs/>
        </w:rPr>
        <w:t>IRBOS s.r.o.</w:t>
      </w:r>
    </w:p>
    <w:p w:rsidR="000770FD" w:rsidRPr="003755ED" w:rsidRDefault="000770FD" w:rsidP="000770FD">
      <w:pPr>
        <w:jc w:val="both"/>
      </w:pPr>
      <w:r w:rsidRPr="003755ED">
        <w:t>se sídlem</w:t>
      </w:r>
      <w:r>
        <w:t xml:space="preserve">: </w:t>
      </w:r>
      <w:r>
        <w:tab/>
        <w:t>Čestice 115, 517 41 Kostelec nad Orlicí</w:t>
      </w:r>
    </w:p>
    <w:p w:rsidR="000770FD" w:rsidRPr="003755ED" w:rsidRDefault="000770FD" w:rsidP="000770FD">
      <w:pPr>
        <w:jc w:val="both"/>
      </w:pPr>
      <w:r w:rsidRPr="00D4212B">
        <w:t>zapsaná</w:t>
      </w:r>
      <w:r>
        <w:t>:</w:t>
      </w:r>
      <w:r>
        <w:tab/>
      </w:r>
      <w:r w:rsidRPr="00D4212B">
        <w:t xml:space="preserve"> v obchodním rejstříku vedeném </w:t>
      </w:r>
      <w:r>
        <w:t>Krajským soudem</w:t>
      </w:r>
      <w:r w:rsidRPr="00D4212B">
        <w:t xml:space="preserve"> v</w:t>
      </w:r>
      <w:r>
        <w:t xml:space="preserve"> Hradci Králové</w:t>
      </w:r>
      <w:r w:rsidRPr="00D4212B">
        <w:t>, oddíl</w:t>
      </w:r>
      <w:r>
        <w:t xml:space="preserve"> C</w:t>
      </w:r>
      <w:r w:rsidRPr="00D4212B">
        <w:t xml:space="preserve">, </w:t>
      </w:r>
      <w:r>
        <w:tab/>
      </w:r>
      <w:r>
        <w:tab/>
      </w:r>
      <w:r>
        <w:tab/>
        <w:t xml:space="preserve"> </w:t>
      </w:r>
      <w:r w:rsidRPr="00D4212B">
        <w:t xml:space="preserve">vložka </w:t>
      </w:r>
      <w:r>
        <w:t>15647</w:t>
      </w:r>
    </w:p>
    <w:p w:rsidR="000770FD" w:rsidRPr="003755ED" w:rsidRDefault="000770FD" w:rsidP="000770FD">
      <w:pPr>
        <w:jc w:val="both"/>
      </w:pPr>
      <w:r>
        <w:t>za níž</w:t>
      </w:r>
      <w:r w:rsidRPr="003755ED">
        <w:t xml:space="preserve"> jedná</w:t>
      </w:r>
      <w:r>
        <w:t>:</w:t>
      </w:r>
      <w:r>
        <w:tab/>
      </w:r>
      <w:r w:rsidRPr="003755ED">
        <w:t xml:space="preserve"> </w:t>
      </w:r>
      <w:r>
        <w:t>Ludmila Myšáková - jednatelka společnosti</w:t>
      </w:r>
    </w:p>
    <w:p w:rsidR="000770FD" w:rsidRPr="003755ED" w:rsidRDefault="000770FD" w:rsidP="000770FD">
      <w:pPr>
        <w:jc w:val="both"/>
      </w:pPr>
      <w:r w:rsidRPr="003755ED">
        <w:t>IČO:</w:t>
      </w:r>
      <w:r>
        <w:tab/>
      </w:r>
      <w:r>
        <w:tab/>
        <w:t>25933094</w:t>
      </w:r>
    </w:p>
    <w:p w:rsidR="000770FD" w:rsidRPr="003755ED" w:rsidRDefault="000770FD" w:rsidP="000770FD">
      <w:pPr>
        <w:jc w:val="both"/>
      </w:pPr>
      <w:r w:rsidRPr="003755ED">
        <w:t>DIČ:</w:t>
      </w:r>
      <w:r>
        <w:tab/>
      </w:r>
      <w:r>
        <w:tab/>
        <w:t>CZ25933094</w:t>
      </w:r>
    </w:p>
    <w:p w:rsidR="000770FD" w:rsidRPr="003755ED" w:rsidRDefault="000770FD" w:rsidP="000770FD">
      <w:pPr>
        <w:jc w:val="both"/>
      </w:pPr>
      <w:r>
        <w:t>B</w:t>
      </w:r>
      <w:r w:rsidRPr="003755ED">
        <w:t>ankovní spojení:</w:t>
      </w:r>
      <w:r>
        <w:tab/>
      </w:r>
      <w:proofErr w:type="spellStart"/>
      <w:r w:rsidR="00E23F77" w:rsidRPr="00E23F77">
        <w:rPr>
          <w:highlight w:val="black"/>
        </w:rPr>
        <w:t>xxxxxxxxxxxxxxxxxxxxxx</w:t>
      </w:r>
      <w:proofErr w:type="spellEnd"/>
    </w:p>
    <w:p w:rsidR="000770FD" w:rsidRPr="003755ED" w:rsidRDefault="000770FD" w:rsidP="000770FD">
      <w:pPr>
        <w:jc w:val="both"/>
      </w:pPr>
      <w:proofErr w:type="spellStart"/>
      <w:proofErr w:type="gramStart"/>
      <w:r w:rsidRPr="003755ED">
        <w:t>č.ú</w:t>
      </w:r>
      <w:proofErr w:type="spellEnd"/>
      <w:r w:rsidRPr="003755ED">
        <w:t>.:</w:t>
      </w:r>
      <w:r>
        <w:tab/>
      </w:r>
      <w:r>
        <w:tab/>
      </w:r>
      <w:r>
        <w:tab/>
      </w:r>
      <w:proofErr w:type="spellStart"/>
      <w:r w:rsidR="00E23F77" w:rsidRPr="00E23F77">
        <w:rPr>
          <w:highlight w:val="black"/>
        </w:rPr>
        <w:t>xxxxxxxxxxxxxxxxx</w:t>
      </w:r>
      <w:bookmarkStart w:id="0" w:name="_GoBack"/>
      <w:bookmarkEnd w:id="0"/>
      <w:proofErr w:type="spellEnd"/>
      <w:proofErr w:type="gramEnd"/>
    </w:p>
    <w:p w:rsidR="00266C3C" w:rsidRPr="00AB6988" w:rsidRDefault="000770FD" w:rsidP="000770FD">
      <w:r w:rsidRPr="00AB6988">
        <w:t xml:space="preserve"> </w:t>
      </w:r>
      <w:r w:rsidR="00266C3C" w:rsidRPr="00AB6988">
        <w:t>(dále jen „</w:t>
      </w:r>
      <w:r w:rsidR="00266C3C" w:rsidRPr="00AB6988">
        <w:rPr>
          <w:b/>
        </w:rPr>
        <w:t>zhotovitel</w:t>
      </w:r>
      <w:r w:rsidR="00266C3C" w:rsidRPr="00AB6988">
        <w:t>“) na straně druhé</w:t>
      </w:r>
    </w:p>
    <w:p w:rsidR="00266C3C" w:rsidRDefault="00266C3C" w:rsidP="00266C3C"/>
    <w:p w:rsidR="00266C3C" w:rsidRPr="00A44C9D" w:rsidRDefault="00266C3C" w:rsidP="00A44C9D">
      <w:pPr>
        <w:pStyle w:val="Zkladntextodsazen"/>
        <w:ind w:firstLine="0"/>
        <w:rPr>
          <w:rFonts w:ascii="Times New Roman" w:hAnsi="Times New Roman"/>
        </w:rPr>
      </w:pPr>
    </w:p>
    <w:p w:rsidR="005311C5" w:rsidRPr="003A5BFF" w:rsidRDefault="00266C3C" w:rsidP="003A5BFF">
      <w:pPr>
        <w:pStyle w:val="Zkladntextodsazen"/>
        <w:ind w:firstLine="0"/>
        <w:jc w:val="center"/>
        <w:rPr>
          <w:rFonts w:ascii="Times New Roman" w:hAnsi="Times New Roman"/>
        </w:rPr>
      </w:pPr>
      <w:r w:rsidRPr="003A5BFF">
        <w:rPr>
          <w:rFonts w:ascii="Times New Roman" w:hAnsi="Times New Roman"/>
        </w:rPr>
        <w:t>uzavřel</w:t>
      </w:r>
      <w:r w:rsidR="00093781" w:rsidRPr="003A5BFF">
        <w:rPr>
          <w:rFonts w:ascii="Times New Roman" w:hAnsi="Times New Roman"/>
        </w:rPr>
        <w:t>y</w:t>
      </w:r>
      <w:r w:rsidRPr="003A5BFF">
        <w:rPr>
          <w:rFonts w:ascii="Times New Roman" w:hAnsi="Times New Roman"/>
        </w:rPr>
        <w:t xml:space="preserve"> na základě podkladů dále uvedených v článku II. tuto smlouvu</w:t>
      </w:r>
      <w:r w:rsidR="00093781" w:rsidRPr="003A5BFF">
        <w:rPr>
          <w:rFonts w:ascii="Times New Roman" w:hAnsi="Times New Roman"/>
        </w:rPr>
        <w:t xml:space="preserve"> </w:t>
      </w:r>
      <w:r w:rsidR="00B2328D" w:rsidRPr="003A5BFF">
        <w:rPr>
          <w:rFonts w:ascii="Times New Roman" w:hAnsi="Times New Roman"/>
        </w:rPr>
        <w:t>o dílo</w:t>
      </w:r>
    </w:p>
    <w:p w:rsidR="00266C3C" w:rsidRPr="003A5BFF" w:rsidRDefault="00093781" w:rsidP="003A5BFF">
      <w:pPr>
        <w:pStyle w:val="Zkladntextodsazen"/>
        <w:ind w:firstLine="0"/>
        <w:jc w:val="center"/>
        <w:rPr>
          <w:rFonts w:ascii="Times New Roman" w:hAnsi="Times New Roman"/>
        </w:rPr>
      </w:pPr>
      <w:r w:rsidRPr="003A5BFF">
        <w:rPr>
          <w:rFonts w:ascii="Times New Roman" w:hAnsi="Times New Roman"/>
        </w:rPr>
        <w:t>(dále jen „</w:t>
      </w:r>
      <w:r w:rsidRPr="003A5BFF">
        <w:rPr>
          <w:rFonts w:ascii="Times New Roman" w:hAnsi="Times New Roman"/>
          <w:b/>
        </w:rPr>
        <w:t>Smlouva</w:t>
      </w:r>
      <w:r w:rsidRPr="003A5BFF">
        <w:rPr>
          <w:rFonts w:ascii="Times New Roman" w:hAnsi="Times New Roman"/>
        </w:rPr>
        <w:t>“)</w:t>
      </w:r>
      <w:r w:rsidR="00266C3C" w:rsidRPr="003A5BFF">
        <w:rPr>
          <w:rFonts w:ascii="Times New Roman" w:hAnsi="Times New Roman"/>
        </w:rPr>
        <w:t>:</w:t>
      </w:r>
    </w:p>
    <w:p w:rsidR="00D55CCA" w:rsidRDefault="00D55CCA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0D4296" w:rsidRDefault="000D4296" w:rsidP="00266C3C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lang w:val="cs-CZ"/>
        </w:rPr>
      </w:pPr>
    </w:p>
    <w:p w:rsidR="00266C3C" w:rsidRDefault="00266C3C" w:rsidP="007E12BB">
      <w:pPr>
        <w:ind w:left="426" w:right="827"/>
        <w:jc w:val="center"/>
        <w:rPr>
          <w:b/>
        </w:rPr>
      </w:pPr>
      <w:r>
        <w:rPr>
          <w:b/>
        </w:rPr>
        <w:lastRenderedPageBreak/>
        <w:t>II.</w:t>
      </w:r>
    </w:p>
    <w:p w:rsidR="000819DF" w:rsidRPr="000819DF" w:rsidRDefault="000819DF" w:rsidP="007E12BB">
      <w:pPr>
        <w:ind w:left="426" w:right="827"/>
        <w:jc w:val="center"/>
        <w:rPr>
          <w:b/>
        </w:rPr>
      </w:pPr>
      <w:r w:rsidRPr="000819DF">
        <w:rPr>
          <w:b/>
        </w:rPr>
        <w:t xml:space="preserve">Závazné podklady pro uzavření </w:t>
      </w:r>
      <w:r w:rsidR="00CB63F8">
        <w:rPr>
          <w:b/>
        </w:rPr>
        <w:t>S</w:t>
      </w:r>
      <w:r w:rsidRPr="000819DF">
        <w:rPr>
          <w:b/>
        </w:rPr>
        <w:t>mlouvy</w:t>
      </w:r>
    </w:p>
    <w:p w:rsidR="000819DF" w:rsidRPr="000819DF" w:rsidRDefault="000819DF" w:rsidP="000819DF">
      <w:pPr>
        <w:ind w:right="827"/>
        <w:jc w:val="center"/>
        <w:rPr>
          <w:b/>
        </w:rPr>
      </w:pPr>
    </w:p>
    <w:p w:rsidR="000819DF" w:rsidRPr="000819DF" w:rsidRDefault="004F49FA" w:rsidP="005311C5">
      <w:pPr>
        <w:numPr>
          <w:ilvl w:val="0"/>
          <w:numId w:val="23"/>
        </w:numPr>
        <w:ind w:left="426" w:right="118" w:hanging="426"/>
        <w:jc w:val="both"/>
      </w:pPr>
      <w:r>
        <w:t>Z</w:t>
      </w:r>
      <w:r w:rsidR="000819DF" w:rsidRPr="000819DF">
        <w:t xml:space="preserve">ávaznými podklady pro uzavření </w:t>
      </w:r>
      <w:r w:rsidR="00CB63F8">
        <w:t>Smlou</w:t>
      </w:r>
      <w:r w:rsidR="000819DF" w:rsidRPr="000819DF">
        <w:t>vy (dále jen „</w:t>
      </w:r>
      <w:r w:rsidR="000819DF" w:rsidRPr="00820B87">
        <w:rPr>
          <w:b/>
        </w:rPr>
        <w:t>Závazné podklady</w:t>
      </w:r>
      <w:r w:rsidR="000819DF" w:rsidRPr="000819DF">
        <w:t>“) se rozumí:</w:t>
      </w:r>
    </w:p>
    <w:p w:rsidR="00266C3C" w:rsidRDefault="00266C3C" w:rsidP="005311C5">
      <w:pPr>
        <w:ind w:right="827"/>
        <w:rPr>
          <w:b/>
        </w:rPr>
      </w:pPr>
    </w:p>
    <w:p w:rsidR="00266C3C" w:rsidRDefault="00266C3C" w:rsidP="001C4219">
      <w:pPr>
        <w:pStyle w:val="Zkladntextodsazen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Zadávací dokumentace ze dne </w:t>
      </w:r>
      <w:proofErr w:type="gramStart"/>
      <w:r w:rsidR="009C539F">
        <w:rPr>
          <w:rFonts w:ascii="Times New Roman" w:hAnsi="Times New Roman"/>
        </w:rPr>
        <w:t>22.12.2016</w:t>
      </w:r>
      <w:proofErr w:type="gramEnd"/>
      <w:r>
        <w:rPr>
          <w:rFonts w:ascii="Times New Roman" w:hAnsi="Times New Roman"/>
        </w:rPr>
        <w:t xml:space="preserve"> pod č</w:t>
      </w:r>
      <w:r w:rsidR="009C539F">
        <w:rPr>
          <w:rFonts w:ascii="Times New Roman" w:hAnsi="Times New Roman"/>
        </w:rPr>
        <w:t>. VS -128344-4/ČJ-2016-802251-IV</w:t>
      </w:r>
    </w:p>
    <w:p w:rsidR="00266C3C" w:rsidRDefault="00266C3C" w:rsidP="001C4219">
      <w:pPr>
        <w:pStyle w:val="Zkladntextodsazen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Nabídka zhotovitele ze </w:t>
      </w:r>
      <w:r w:rsidRPr="00FE53C0">
        <w:rPr>
          <w:rFonts w:ascii="Times New Roman" w:hAnsi="Times New Roman"/>
        </w:rPr>
        <w:t xml:space="preserve">dne </w:t>
      </w:r>
      <w:proofErr w:type="gramStart"/>
      <w:r w:rsidR="00FE53C0">
        <w:rPr>
          <w:rFonts w:ascii="Times New Roman" w:hAnsi="Times New Roman"/>
        </w:rPr>
        <w:t>1</w:t>
      </w:r>
      <w:r w:rsidR="000770FD" w:rsidRPr="00FE53C0">
        <w:rPr>
          <w:rFonts w:ascii="Times New Roman" w:hAnsi="Times New Roman"/>
        </w:rPr>
        <w:t>.2.2017</w:t>
      </w:r>
      <w:proofErr w:type="gramEnd"/>
      <w:r w:rsidRPr="00FE53C0">
        <w:rPr>
          <w:rFonts w:ascii="Times New Roman" w:hAnsi="Times New Roman"/>
        </w:rPr>
        <w:t>.</w:t>
      </w:r>
    </w:p>
    <w:p w:rsidR="00266C3C" w:rsidRDefault="00266C3C" w:rsidP="001C4219">
      <w:pPr>
        <w:pStyle w:val="Zkladntextodsazen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Rozhodnutí zadavatele o výběru nejvhodnější nabídky ze dne </w:t>
      </w:r>
      <w:proofErr w:type="gramStart"/>
      <w:r w:rsidR="00FE53C0">
        <w:rPr>
          <w:rFonts w:ascii="Times New Roman" w:hAnsi="Times New Roman"/>
        </w:rPr>
        <w:t>13.2.2017</w:t>
      </w:r>
      <w:proofErr w:type="gramEnd"/>
      <w:r>
        <w:rPr>
          <w:rFonts w:ascii="Times New Roman" w:hAnsi="Times New Roman"/>
        </w:rPr>
        <w:t>., pod č</w:t>
      </w:r>
      <w:r w:rsidR="00FE53C0">
        <w:rPr>
          <w:rFonts w:ascii="Times New Roman" w:hAnsi="Times New Roman"/>
        </w:rPr>
        <w:t xml:space="preserve">. </w:t>
      </w:r>
      <w:r w:rsidR="00FE53C0">
        <w:rPr>
          <w:b/>
          <w:bCs/>
        </w:rPr>
        <w:t>VS 128344-7/ČJ-2016-802251-IV</w:t>
      </w:r>
    </w:p>
    <w:p w:rsidR="000819DF" w:rsidRDefault="000819DF" w:rsidP="001C4219"/>
    <w:p w:rsidR="00C57BD1" w:rsidRDefault="000819DF" w:rsidP="00FC0D83">
      <w:pPr>
        <w:numPr>
          <w:ilvl w:val="0"/>
          <w:numId w:val="23"/>
        </w:numPr>
        <w:ind w:left="426" w:right="118" w:hanging="426"/>
        <w:jc w:val="both"/>
      </w:pPr>
      <w:r w:rsidRPr="000819DF">
        <w:t xml:space="preserve">Zhotovitel podpisem </w:t>
      </w:r>
      <w:r w:rsidR="00CB63F8">
        <w:t>Smlou</w:t>
      </w:r>
      <w:r w:rsidRPr="000819DF">
        <w:t>vy potvrzuje, že převzal od objednatele všechny výše uvedené Závazné poklady, že se seznámil s jejich obsahem a že vůči obsahu a</w:t>
      </w:r>
      <w:r w:rsidR="005311C5">
        <w:t> </w:t>
      </w:r>
      <w:r w:rsidRPr="000819DF">
        <w:t>podobě těchto podkladů nemá žádné výhrady.</w:t>
      </w:r>
    </w:p>
    <w:p w:rsidR="00C57BD1" w:rsidRPr="00C57BD1" w:rsidRDefault="00C57BD1" w:rsidP="007E12BB">
      <w:pPr>
        <w:pStyle w:val="Zkladntextodsazen"/>
        <w:ind w:firstLine="0"/>
        <w:rPr>
          <w:rFonts w:ascii="Times New Roman" w:hAnsi="Times New Roman"/>
        </w:rPr>
      </w:pPr>
    </w:p>
    <w:p w:rsidR="00266C3C" w:rsidRDefault="00266C3C" w:rsidP="007E12BB">
      <w:pPr>
        <w:ind w:left="426" w:right="827"/>
        <w:jc w:val="center"/>
        <w:rPr>
          <w:b/>
        </w:rPr>
      </w:pPr>
      <w:r>
        <w:rPr>
          <w:b/>
        </w:rPr>
        <w:t>III.</w:t>
      </w:r>
    </w:p>
    <w:p w:rsidR="00266C3C" w:rsidRDefault="00266C3C" w:rsidP="007E12BB">
      <w:pPr>
        <w:pStyle w:val="Nadpis5"/>
        <w:ind w:left="426"/>
      </w:pPr>
      <w:r>
        <w:t>Předmět díla</w:t>
      </w:r>
    </w:p>
    <w:p w:rsidR="00266C3C" w:rsidRDefault="00266C3C" w:rsidP="00266C3C">
      <w:pPr>
        <w:ind w:right="827"/>
        <w:jc w:val="both"/>
      </w:pPr>
    </w:p>
    <w:p w:rsidR="00266C3C" w:rsidRDefault="00266C3C" w:rsidP="00FC0D83">
      <w:pPr>
        <w:numPr>
          <w:ilvl w:val="0"/>
          <w:numId w:val="29"/>
        </w:numPr>
        <w:ind w:left="426" w:right="118" w:hanging="426"/>
        <w:jc w:val="both"/>
      </w:pPr>
      <w:r>
        <w:t xml:space="preserve">Předmětem </w:t>
      </w:r>
      <w:r w:rsidR="00CB63F8">
        <w:t>Smlou</w:t>
      </w:r>
      <w:r w:rsidR="005F4A3B">
        <w:t xml:space="preserve">vy je provedení </w:t>
      </w:r>
      <w:r>
        <w:t xml:space="preserve">díla </w:t>
      </w:r>
      <w:r w:rsidR="005F4A3B">
        <w:t>spočívající v</w:t>
      </w:r>
      <w:r w:rsidR="009B0163">
        <w:t>e</w:t>
      </w:r>
      <w:r w:rsidR="005F4A3B">
        <w:t xml:space="preserve"> </w:t>
      </w:r>
      <w:r>
        <w:t>zhotovení projektové dokument</w:t>
      </w:r>
      <w:r w:rsidR="00C57BD1">
        <w:t>ace (</w:t>
      </w:r>
      <w:r>
        <w:t>dále jen „</w:t>
      </w:r>
      <w:r w:rsidR="00FC1D13" w:rsidRPr="00820B87">
        <w:rPr>
          <w:b/>
        </w:rPr>
        <w:t>Dílo</w:t>
      </w:r>
      <w:r w:rsidR="00FC1D13">
        <w:t xml:space="preserve">“) </w:t>
      </w:r>
      <w:r>
        <w:t xml:space="preserve">na akci </w:t>
      </w:r>
      <w:r w:rsidR="00AB6988">
        <w:t>„</w:t>
      </w:r>
      <w:r w:rsidR="00AB6988" w:rsidRPr="00344418">
        <w:rPr>
          <w:b/>
          <w:bCs/>
        </w:rPr>
        <w:t>Valdice –</w:t>
      </w:r>
      <w:r w:rsidR="00AB6988" w:rsidRPr="0014149B">
        <w:rPr>
          <w:b/>
          <w:bCs/>
        </w:rPr>
        <w:t xml:space="preserve">reko </w:t>
      </w:r>
      <w:proofErr w:type="gramStart"/>
      <w:r w:rsidR="00AB6988" w:rsidRPr="0014149B">
        <w:rPr>
          <w:b/>
          <w:bCs/>
        </w:rPr>
        <w:t>obj.</w:t>
      </w:r>
      <w:r w:rsidR="00AB6988">
        <w:rPr>
          <w:b/>
          <w:bCs/>
        </w:rPr>
        <w:t>č.</w:t>
      </w:r>
      <w:proofErr w:type="gramEnd"/>
      <w:r w:rsidR="00AB6988">
        <w:rPr>
          <w:b/>
          <w:bCs/>
        </w:rPr>
        <w:t>50</w:t>
      </w:r>
      <w:r w:rsidR="00AB6988" w:rsidRPr="0014149B">
        <w:rPr>
          <w:b/>
          <w:bCs/>
        </w:rPr>
        <w:t xml:space="preserve"> na</w:t>
      </w:r>
      <w:r w:rsidR="00AB6988" w:rsidRPr="00344418">
        <w:rPr>
          <w:b/>
          <w:bCs/>
        </w:rPr>
        <w:t xml:space="preserve"> </w:t>
      </w:r>
      <w:r w:rsidR="00AB6988">
        <w:rPr>
          <w:b/>
          <w:bCs/>
        </w:rPr>
        <w:t>ubytovnu</w:t>
      </w:r>
      <w:r w:rsidR="00CE045A">
        <w:t xml:space="preserve">“ </w:t>
      </w:r>
      <w:r>
        <w:t>a výkon da</w:t>
      </w:r>
      <w:r w:rsidR="00CE045A">
        <w:t>lších činností v tomto rozsahu</w:t>
      </w:r>
      <w:r>
        <w:t>:</w:t>
      </w:r>
    </w:p>
    <w:p w:rsidR="00ED0A33" w:rsidRDefault="00ED0A33" w:rsidP="00ED0A33">
      <w:pPr>
        <w:ind w:right="118"/>
        <w:jc w:val="both"/>
      </w:pPr>
    </w:p>
    <w:p w:rsidR="00CE045A" w:rsidRDefault="00ED0A33" w:rsidP="00ED0A33">
      <w:pPr>
        <w:pStyle w:val="Odstavecseseznamem"/>
        <w:ind w:left="426" w:hanging="426"/>
        <w:jc w:val="both"/>
      </w:pPr>
      <w:r>
        <w:t>a)</w:t>
      </w:r>
      <w:r>
        <w:tab/>
        <w:t>Dílo bude vyhotoveno</w:t>
      </w:r>
      <w:r w:rsidR="00CE045A" w:rsidRPr="00F97399">
        <w:t xml:space="preserve"> v rozsahu dokumentace k realizaci stavby podle vyhlášky č.</w:t>
      </w:r>
      <w:r>
        <w:t> </w:t>
      </w:r>
      <w:r w:rsidR="00CE045A" w:rsidRPr="00F97399">
        <w:t>499/2006 Sb</w:t>
      </w:r>
      <w:r>
        <w:t>.</w:t>
      </w:r>
      <w:r w:rsidR="00CE045A" w:rsidRPr="00F97399">
        <w:t>, o dokumentaci staveb v platném znění. Dále bude zpracován</w:t>
      </w:r>
      <w:r>
        <w:t>a</w:t>
      </w:r>
      <w:r w:rsidR="00CE045A" w:rsidRPr="00F97399">
        <w:t xml:space="preserve"> v souladu s platnými právními předpisy, technickými normami a dle pokynů objednatele a musí umožnit řízení o stavební povolení v souladu se zákonem č. 183/2006 Sb., o územním plánování a stavebním řádu (stavební zákon), ve znění pozdějších předpisů.</w:t>
      </w:r>
    </w:p>
    <w:p w:rsidR="00ED0A33" w:rsidRDefault="00ED0A33" w:rsidP="00FC0D83">
      <w:pPr>
        <w:ind w:left="426"/>
        <w:jc w:val="both"/>
      </w:pPr>
    </w:p>
    <w:p w:rsidR="00CE045A" w:rsidRDefault="00CE045A" w:rsidP="00FC0D83">
      <w:pPr>
        <w:ind w:left="426"/>
        <w:jc w:val="both"/>
      </w:pPr>
      <w:r>
        <w:t xml:space="preserve">Navržené komponenty IT, zabezpečovací, sdělovací techniky a průmyslové televize musí být kompatibilní se stávajícími systémy, které jsou v současné době používány ve věznici Valdice. Jedná se o strukturovanou kabeláž </w:t>
      </w:r>
      <w:proofErr w:type="spellStart"/>
      <w:r>
        <w:t>CTSe</w:t>
      </w:r>
      <w:proofErr w:type="spellEnd"/>
      <w:r>
        <w:t>, střežící zařízení SAKO, průmyslovou televizi ELVIA SYSTÉM, dorozumívací zařízení COSVA a telefonní ústřednu ALCATEL.</w:t>
      </w:r>
    </w:p>
    <w:p w:rsidR="00ED0A33" w:rsidRDefault="00ED0A33" w:rsidP="00FC0D83">
      <w:pPr>
        <w:ind w:left="426"/>
        <w:jc w:val="both"/>
      </w:pPr>
    </w:p>
    <w:p w:rsidR="00CE045A" w:rsidRPr="004A11B7" w:rsidRDefault="00CE045A" w:rsidP="00FC0D83">
      <w:pPr>
        <w:ind w:left="426"/>
        <w:jc w:val="both"/>
      </w:pPr>
      <w:r>
        <w:t>Bude vyhotoven</w:t>
      </w:r>
      <w:r w:rsidRPr="004A11B7">
        <w:t xml:space="preserve"> položkový výkaz výměr s podrobným soupisem prací a dodávek s popisem použitých standardů včetně souhrnného rozpočtu. Výkaz výměr bude oceněn doporučenými cenami (např. RTS, URS) v úrovni roku 201</w:t>
      </w:r>
      <w:r>
        <w:t>7</w:t>
      </w:r>
      <w:r w:rsidRPr="004A11B7">
        <w:t>. Ve výkazu výměr budou vyspecifikovány požadované technické parametry bez odkazů na konkrétní typy zařízení určitých dodavatelů. Zároveň bude doložen neoceněný položkový výkaz výměr a</w:t>
      </w:r>
      <w:r w:rsidR="00ED0A33">
        <w:t> </w:t>
      </w:r>
      <w:r w:rsidRPr="004A11B7">
        <w:t xml:space="preserve">neoceněný souhrnný rozpočet. Všechny díly výkazu výměr budou mít jednotný systém a strukturu vypracování. </w:t>
      </w:r>
      <w:r>
        <w:t>Dále budou rozpočtové náklady zatříděny v souladu s pokynem D 6 a vyhláškou č.</w:t>
      </w:r>
      <w:r w:rsidR="00E770E9">
        <w:t xml:space="preserve"> </w:t>
      </w:r>
      <w:r>
        <w:t>410/2009 Sb.</w:t>
      </w:r>
    </w:p>
    <w:p w:rsidR="00ED0A33" w:rsidRDefault="00ED0A33" w:rsidP="00FC0D83">
      <w:pPr>
        <w:ind w:left="426"/>
        <w:jc w:val="both"/>
      </w:pPr>
    </w:p>
    <w:p w:rsidR="00CE045A" w:rsidRDefault="00ED0A33" w:rsidP="00FC0D83">
      <w:pPr>
        <w:ind w:left="426"/>
        <w:jc w:val="both"/>
      </w:pPr>
      <w:r>
        <w:t>Dílo</w:t>
      </w:r>
      <w:r w:rsidR="00CE045A">
        <w:t xml:space="preserve"> bude vyhotoven</w:t>
      </w:r>
      <w:r>
        <w:t>o</w:t>
      </w:r>
      <w:r w:rsidR="00CE045A">
        <w:t xml:space="preserve"> v 6 tištěných vyhotoveních a jednou v elektronické podobě (textová část ve formátu MS Word 2010 a vyšší, p</w:t>
      </w:r>
      <w:r w:rsidR="00CE045A" w:rsidRPr="004A11B7">
        <w:t>oložkový rozpočet i výkaz výměr</w:t>
      </w:r>
      <w:r w:rsidR="00CE045A" w:rsidRPr="00772788">
        <w:t xml:space="preserve"> </w:t>
      </w:r>
      <w:r w:rsidR="00CE045A" w:rsidRPr="004A11B7">
        <w:t>ve formátu Excel 20</w:t>
      </w:r>
      <w:r w:rsidR="00CE045A">
        <w:t>10</w:t>
      </w:r>
      <w:r w:rsidR="00CE045A" w:rsidRPr="004A11B7">
        <w:t xml:space="preserve"> a vyšší</w:t>
      </w:r>
      <w:r w:rsidR="00CE045A">
        <w:t>,</w:t>
      </w:r>
      <w:r w:rsidR="00CE045A" w:rsidRPr="004A11B7">
        <w:t xml:space="preserve"> </w:t>
      </w:r>
      <w:r w:rsidR="00CE045A">
        <w:t xml:space="preserve">výkresová část v programu AUTOCAD nebo kompatibilním). </w:t>
      </w:r>
    </w:p>
    <w:p w:rsidR="00ED0A33" w:rsidRDefault="00ED0A33" w:rsidP="00FC0D83">
      <w:pPr>
        <w:ind w:left="426"/>
        <w:jc w:val="both"/>
      </w:pPr>
    </w:p>
    <w:p w:rsidR="00CE045A" w:rsidRDefault="00CE045A" w:rsidP="00FC0D83">
      <w:pPr>
        <w:ind w:left="426"/>
        <w:jc w:val="both"/>
      </w:pPr>
      <w:r w:rsidRPr="00F97399">
        <w:t xml:space="preserve">Při zpracování PD je nutné </w:t>
      </w:r>
      <w:r>
        <w:t>vycházet</w:t>
      </w:r>
      <w:r w:rsidRPr="00F97399">
        <w:t xml:space="preserve"> z požadavků právních předpisů a normativních požadavků rovněž respektovat specifické podmínky vnitřní bezpečnosti věznice.</w:t>
      </w:r>
    </w:p>
    <w:p w:rsidR="00CE045A" w:rsidRDefault="00CE045A" w:rsidP="00FC0D83">
      <w:pPr>
        <w:ind w:left="426"/>
        <w:jc w:val="both"/>
      </w:pPr>
      <w:r>
        <w:t>Předmětem veřejné zakázky bude kladné projednání projektové dokumentace:</w:t>
      </w:r>
    </w:p>
    <w:p w:rsidR="00ED0A33" w:rsidRDefault="00ED0A33" w:rsidP="004907A1">
      <w:pPr>
        <w:jc w:val="both"/>
      </w:pPr>
    </w:p>
    <w:p w:rsidR="00CE045A" w:rsidRDefault="00CE045A" w:rsidP="00FC0D83">
      <w:pPr>
        <w:pStyle w:val="Odstavecseseznamem"/>
        <w:numPr>
          <w:ilvl w:val="0"/>
          <w:numId w:val="27"/>
        </w:numPr>
        <w:ind w:left="851" w:hanging="425"/>
        <w:jc w:val="both"/>
      </w:pPr>
      <w:r>
        <w:t>s dot</w:t>
      </w:r>
      <w:r w:rsidR="00ED0A33">
        <w:t>čenými orgány státní správy tj.</w:t>
      </w:r>
      <w:r>
        <w:t>:</w:t>
      </w:r>
    </w:p>
    <w:p w:rsidR="00CE045A" w:rsidRDefault="00CE045A" w:rsidP="00FC0D83">
      <w:pPr>
        <w:ind w:left="851"/>
        <w:jc w:val="both"/>
      </w:pPr>
      <w:r>
        <w:lastRenderedPageBreak/>
        <w:t>- Krajská hygienická stanice Královéhradeckého kraje, územní pracoviště Jičín</w:t>
      </w:r>
    </w:p>
    <w:p w:rsidR="00CE045A" w:rsidRDefault="00CE045A" w:rsidP="00FC0D83">
      <w:pPr>
        <w:ind w:left="851"/>
        <w:jc w:val="both"/>
      </w:pPr>
      <w:r>
        <w:t>- Městský úřad v Jičíně, oddělení památkové péče</w:t>
      </w:r>
    </w:p>
    <w:p w:rsidR="00CE045A" w:rsidRDefault="00CE045A" w:rsidP="00ED0A33">
      <w:pPr>
        <w:pStyle w:val="Odstavecseseznamem"/>
        <w:numPr>
          <w:ilvl w:val="0"/>
          <w:numId w:val="27"/>
        </w:numPr>
        <w:ind w:left="851" w:hanging="425"/>
        <w:jc w:val="both"/>
      </w:pPr>
      <w:r w:rsidRPr="0019152C">
        <w:t>s příslušnými odbory Generálního ředitelství Vězeňské služby ČR a s příslušnými odděleními a specialisty Věznice Valdice</w:t>
      </w:r>
      <w:r w:rsidR="005F00F3">
        <w:t>. Tyto</w:t>
      </w:r>
      <w:r w:rsidRPr="0019152C">
        <w:t xml:space="preserve"> zajistí zhotovitel ve spolupráci s</w:t>
      </w:r>
      <w:r w:rsidR="004907A1">
        <w:t> </w:t>
      </w:r>
      <w:r w:rsidRPr="0019152C">
        <w:t>Věznicí Valdice.</w:t>
      </w:r>
    </w:p>
    <w:p w:rsidR="004907A1" w:rsidRDefault="004907A1" w:rsidP="004907A1">
      <w:pPr>
        <w:jc w:val="both"/>
      </w:pPr>
    </w:p>
    <w:p w:rsidR="00CE045A" w:rsidRDefault="00CE045A" w:rsidP="004907A1">
      <w:pPr>
        <w:pStyle w:val="Odstavecseseznamem"/>
        <w:ind w:left="426" w:hanging="426"/>
        <w:jc w:val="both"/>
      </w:pPr>
      <w:r w:rsidRPr="00344418">
        <w:t>b)</w:t>
      </w:r>
      <w:r w:rsidR="004907A1">
        <w:tab/>
      </w:r>
      <w:r w:rsidRPr="00344418">
        <w:t xml:space="preserve">výkon autorského dozoru projektanta po </w:t>
      </w:r>
      <w:r>
        <w:t xml:space="preserve">celou </w:t>
      </w:r>
      <w:r w:rsidRPr="00344418">
        <w:t>dobu realizace stavby;</w:t>
      </w:r>
    </w:p>
    <w:p w:rsidR="004907A1" w:rsidRPr="00344418" w:rsidRDefault="004907A1" w:rsidP="004907A1">
      <w:pPr>
        <w:pStyle w:val="Odstavecseseznamem"/>
        <w:ind w:left="426" w:hanging="426"/>
        <w:jc w:val="both"/>
      </w:pPr>
    </w:p>
    <w:p w:rsidR="00CE045A" w:rsidRDefault="00CE045A" w:rsidP="004907A1">
      <w:pPr>
        <w:pStyle w:val="Odstavecseseznamem"/>
        <w:ind w:left="426" w:hanging="426"/>
        <w:jc w:val="both"/>
      </w:pPr>
      <w:r w:rsidRPr="00344418">
        <w:t>c)</w:t>
      </w:r>
      <w:r w:rsidR="004907A1">
        <w:tab/>
      </w:r>
      <w:r w:rsidRPr="00344418">
        <w:t>zajištění potřebných podkladů nutných pro zpracování projektové dokumentace.</w:t>
      </w:r>
      <w:r w:rsidRPr="00E7471F">
        <w:t xml:space="preserve"> </w:t>
      </w:r>
      <w:r>
        <w:t>Stávající projektová dokumentace objektu je neúplná a je nutné její ověření vlastním zaměřením objektu.</w:t>
      </w:r>
    </w:p>
    <w:p w:rsidR="00266C3C" w:rsidRDefault="00266C3C" w:rsidP="00266C3C">
      <w:pPr>
        <w:jc w:val="both"/>
      </w:pPr>
    </w:p>
    <w:p w:rsidR="003C56AA" w:rsidRDefault="0000745F" w:rsidP="003C56AA">
      <w:pPr>
        <w:numPr>
          <w:ilvl w:val="0"/>
          <w:numId w:val="29"/>
        </w:numPr>
        <w:ind w:left="426" w:right="118" w:hanging="426"/>
        <w:jc w:val="both"/>
      </w:pPr>
      <w:r>
        <w:t xml:space="preserve">Zhotovitel se zavazuje zhotovit </w:t>
      </w:r>
      <w:r w:rsidR="00E95AAF">
        <w:t>D</w:t>
      </w:r>
      <w:r>
        <w:t xml:space="preserve">ílo </w:t>
      </w:r>
      <w:r w:rsidR="00953224">
        <w:t xml:space="preserve">s odbornou péčí </w:t>
      </w:r>
      <w:r w:rsidR="00575784">
        <w:t>na vlastní náklady a nebezpečí</w:t>
      </w:r>
      <w:r>
        <w:t xml:space="preserve">, předat ho objednateli </w:t>
      </w:r>
      <w:r w:rsidR="00575784">
        <w:t xml:space="preserve">prosté vad a nedodělků </w:t>
      </w:r>
      <w:r w:rsidR="009B0163">
        <w:t>a</w:t>
      </w:r>
      <w:r>
        <w:t xml:space="preserve"> převést na objednatele vlastnické právo k </w:t>
      </w:r>
      <w:r w:rsidR="00CB63F8">
        <w:t>D</w:t>
      </w:r>
      <w:r>
        <w:t xml:space="preserve">ílu a objednatel se zavazuje </w:t>
      </w:r>
      <w:r w:rsidR="00CB63F8">
        <w:t>Díl</w:t>
      </w:r>
      <w:r>
        <w:t>o převzít a uhradit zhotoviteli sjednanou cenu.</w:t>
      </w:r>
    </w:p>
    <w:p w:rsidR="003C56AA" w:rsidRDefault="003C56AA" w:rsidP="003C56AA">
      <w:pPr>
        <w:ind w:right="118"/>
        <w:jc w:val="both"/>
      </w:pPr>
    </w:p>
    <w:p w:rsidR="00266C3C" w:rsidRDefault="000D5969" w:rsidP="003C56AA">
      <w:pPr>
        <w:numPr>
          <w:ilvl w:val="0"/>
          <w:numId w:val="29"/>
        </w:numPr>
        <w:ind w:left="426" w:right="118" w:hanging="426"/>
        <w:jc w:val="both"/>
      </w:pPr>
      <w:r>
        <w:t>Dílo</w:t>
      </w:r>
      <w:r w:rsidR="00D55CCA">
        <w:t xml:space="preserve"> </w:t>
      </w:r>
      <w:r w:rsidR="00266C3C">
        <w:t>bude zhotovitelem proveden</w:t>
      </w:r>
      <w:r w:rsidR="00BA6558">
        <w:t>o</w:t>
      </w:r>
      <w:r w:rsidR="00266C3C">
        <w:t xml:space="preserve"> v souladu s platnými právními předp</w:t>
      </w:r>
      <w:r w:rsidR="00D55CCA">
        <w:t>isy, technickými normami</w:t>
      </w:r>
      <w:r w:rsidR="00266C3C">
        <w:t xml:space="preserve"> a dle pokynů objednatele.</w:t>
      </w:r>
    </w:p>
    <w:p w:rsidR="00266C3C" w:rsidRDefault="00266C3C" w:rsidP="00266C3C">
      <w:pPr>
        <w:ind w:right="827"/>
        <w:rPr>
          <w:b/>
        </w:rPr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IV.</w:t>
      </w:r>
    </w:p>
    <w:p w:rsidR="00266C3C" w:rsidRDefault="00266C3C" w:rsidP="00266C3C">
      <w:pPr>
        <w:pStyle w:val="Nadpis5"/>
      </w:pPr>
      <w:r>
        <w:t>Doba a místo plnění</w:t>
      </w:r>
    </w:p>
    <w:p w:rsidR="00266C3C" w:rsidRDefault="00266C3C" w:rsidP="00266C3C">
      <w:pPr>
        <w:ind w:right="827"/>
        <w:jc w:val="center"/>
        <w:rPr>
          <w:b/>
        </w:rPr>
      </w:pPr>
    </w:p>
    <w:p w:rsidR="00FD51AD" w:rsidRPr="00FD51AD" w:rsidRDefault="00CE045A" w:rsidP="00FD51AD">
      <w:pPr>
        <w:numPr>
          <w:ilvl w:val="0"/>
          <w:numId w:val="30"/>
        </w:numPr>
        <w:ind w:left="426" w:right="118" w:hanging="426"/>
        <w:jc w:val="both"/>
        <w:rPr>
          <w:i/>
        </w:rPr>
      </w:pPr>
      <w:r>
        <w:t xml:space="preserve">Zhotovitel se zavazuje provést dílo vymezené v čl. III. této Smlouvy nejpozději </w:t>
      </w:r>
      <w:r w:rsidRPr="000770FD">
        <w:t xml:space="preserve">do </w:t>
      </w:r>
      <w:r w:rsidR="000770FD" w:rsidRPr="000770FD">
        <w:t>140</w:t>
      </w:r>
      <w:r w:rsidR="000770FD">
        <w:t xml:space="preserve"> </w:t>
      </w:r>
      <w:r>
        <w:t>dnů</w:t>
      </w:r>
      <w:r w:rsidRPr="006258FD">
        <w:t xml:space="preserve"> ode dne podepsání této smlouvy.</w:t>
      </w:r>
    </w:p>
    <w:p w:rsidR="00FD51AD" w:rsidRPr="00FD51AD" w:rsidRDefault="00FD51AD" w:rsidP="00FD51AD">
      <w:pPr>
        <w:ind w:left="426" w:right="118"/>
        <w:jc w:val="both"/>
        <w:rPr>
          <w:i/>
        </w:rPr>
      </w:pPr>
    </w:p>
    <w:p w:rsidR="00FD51AD" w:rsidRDefault="005233F1" w:rsidP="00FD51AD">
      <w:pPr>
        <w:numPr>
          <w:ilvl w:val="0"/>
          <w:numId w:val="30"/>
        </w:numPr>
        <w:ind w:left="426" w:right="118" w:hanging="426"/>
        <w:jc w:val="both"/>
        <w:rPr>
          <w:i/>
        </w:rPr>
      </w:pPr>
      <w:r w:rsidRPr="0090680A">
        <w:t>A</w:t>
      </w:r>
      <w:r w:rsidR="0000745F" w:rsidRPr="0090680A">
        <w:t xml:space="preserve">utorský dozor bude vykonáván po </w:t>
      </w:r>
      <w:r w:rsidR="005F4A3B" w:rsidRPr="0090680A">
        <w:t xml:space="preserve">celou </w:t>
      </w:r>
      <w:r w:rsidR="0000745F" w:rsidRPr="0090680A">
        <w:t>dobu realizace stavby dle vypracované projektové dokume</w:t>
      </w:r>
      <w:r w:rsidR="0090680A">
        <w:t xml:space="preserve">ntace a jeho výkon bude ukončen </w:t>
      </w:r>
      <w:r w:rsidR="0000745F" w:rsidRPr="0090680A">
        <w:t>dnem nabytí právní moci kolaudačního rozhodnutí</w:t>
      </w:r>
      <w:r w:rsidR="0090680A">
        <w:t>.</w:t>
      </w:r>
    </w:p>
    <w:p w:rsidR="00FD51AD" w:rsidRDefault="00FD51AD" w:rsidP="00FD51AD">
      <w:pPr>
        <w:pStyle w:val="Odstavecseseznamem"/>
      </w:pPr>
    </w:p>
    <w:p w:rsidR="00266C3C" w:rsidRPr="00FD51AD" w:rsidRDefault="00266C3C" w:rsidP="00FD51AD">
      <w:pPr>
        <w:numPr>
          <w:ilvl w:val="0"/>
          <w:numId w:val="30"/>
        </w:numPr>
        <w:ind w:left="426" w:right="118" w:hanging="426"/>
        <w:jc w:val="both"/>
        <w:rPr>
          <w:i/>
        </w:rPr>
      </w:pPr>
      <w:r>
        <w:t>Místem plnění</w:t>
      </w:r>
      <w:r w:rsidR="009B0163">
        <w:t xml:space="preserve"> </w:t>
      </w:r>
      <w:r w:rsidR="0090680A">
        <w:t>je Věznice Valdice, Nám. Mí</w:t>
      </w:r>
      <w:r w:rsidR="00CE045A">
        <w:t>ru 55, 507 11 Valdice</w:t>
      </w:r>
      <w:r w:rsidR="0090680A" w:rsidRPr="00FD51AD">
        <w:rPr>
          <w:i/>
          <w:sz w:val="20"/>
          <w:szCs w:val="20"/>
        </w:rPr>
        <w:t>.</w:t>
      </w:r>
    </w:p>
    <w:p w:rsidR="00266C3C" w:rsidRDefault="00266C3C" w:rsidP="00266C3C">
      <w:pPr>
        <w:ind w:right="827"/>
        <w:jc w:val="both"/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V.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 xml:space="preserve">Cena </w:t>
      </w:r>
      <w:r w:rsidR="00CB63F8">
        <w:rPr>
          <w:b/>
        </w:rPr>
        <w:t>Díl</w:t>
      </w:r>
      <w:r>
        <w:rPr>
          <w:b/>
        </w:rPr>
        <w:t>a</w:t>
      </w:r>
    </w:p>
    <w:p w:rsidR="00955DFF" w:rsidRDefault="00955DFF" w:rsidP="00266C3C">
      <w:pPr>
        <w:jc w:val="both"/>
        <w:rPr>
          <w:b/>
        </w:rPr>
      </w:pPr>
    </w:p>
    <w:p w:rsidR="00266C3C" w:rsidRDefault="00266C3C" w:rsidP="00FD51AD">
      <w:pPr>
        <w:numPr>
          <w:ilvl w:val="0"/>
          <w:numId w:val="31"/>
        </w:numPr>
        <w:ind w:left="426" w:right="118" w:hanging="426"/>
        <w:jc w:val="both"/>
      </w:pPr>
      <w:r>
        <w:t xml:space="preserve">Cena </w:t>
      </w:r>
      <w:r w:rsidR="00A241EF">
        <w:t>D</w:t>
      </w:r>
      <w:r>
        <w:t xml:space="preserve">íla je stanovena jako cena dohodnutá, maximální a nepřekročitelná, na základě nabídky ceny zhotovitele následovně: </w:t>
      </w:r>
    </w:p>
    <w:p w:rsidR="00575784" w:rsidRDefault="00575784" w:rsidP="00266C3C">
      <w:pPr>
        <w:jc w:val="both"/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984"/>
        <w:gridCol w:w="1276"/>
        <w:gridCol w:w="1770"/>
      </w:tblGrid>
      <w:tr w:rsidR="00266C3C" w:rsidTr="000D429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Default="00266C3C" w:rsidP="00A36916">
            <w:r>
              <w:t>Položka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Default="00266C3C" w:rsidP="00A36916">
            <w:pPr>
              <w:jc w:val="center"/>
            </w:pPr>
            <w:r>
              <w:t>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Default="00266C3C" w:rsidP="00A36916">
            <w:pPr>
              <w:jc w:val="center"/>
            </w:pPr>
            <w:r>
              <w:t>% DPH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Default="00266C3C" w:rsidP="00A36916">
            <w:pPr>
              <w:jc w:val="center"/>
            </w:pPr>
            <w:r>
              <w:t>cena včetně DPH</w:t>
            </w:r>
          </w:p>
        </w:tc>
      </w:tr>
      <w:tr w:rsidR="00266C3C" w:rsidTr="000D4296">
        <w:trPr>
          <w:trHeight w:val="4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Pr="000D4296" w:rsidRDefault="00A241EF" w:rsidP="00A36916">
            <w:r w:rsidRPr="000D4296">
              <w:t>R</w:t>
            </w:r>
            <w:r w:rsidR="00266C3C" w:rsidRPr="000D4296">
              <w:t xml:space="preserve">ealizační projekt stavby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0D4296" w:rsidP="003655D9">
            <w:pPr>
              <w:jc w:val="both"/>
            </w:pPr>
            <w:r w:rsidRPr="000D4296">
              <w:t>1.025.000,-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0D4296" w:rsidP="003655D9">
            <w:pPr>
              <w:jc w:val="both"/>
            </w:pPr>
            <w:r w:rsidRPr="000D4296">
              <w:t>215.250,-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0D4296" w:rsidP="003655D9">
            <w:pPr>
              <w:jc w:val="both"/>
            </w:pPr>
            <w:r w:rsidRPr="000D4296">
              <w:t>1.240.250,-</w:t>
            </w:r>
          </w:p>
        </w:tc>
      </w:tr>
      <w:tr w:rsidR="00266C3C" w:rsidTr="000D4296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Pr="000D4296" w:rsidRDefault="00A36916" w:rsidP="00A36916">
            <w:r w:rsidRPr="000D4296">
              <w:t>P</w:t>
            </w:r>
            <w:r w:rsidR="005F4A3B" w:rsidRPr="000D4296">
              <w:t xml:space="preserve">rovádění </w:t>
            </w:r>
            <w:r w:rsidRPr="000D4296">
              <w:t>a</w:t>
            </w:r>
            <w:r w:rsidR="005F4A3B" w:rsidRPr="000D4296">
              <w:t>utorského dozoru při realizaci stavby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9079D0" w:rsidP="003655D9">
            <w:pPr>
              <w:jc w:val="both"/>
            </w:pPr>
            <w:r>
              <w:t xml:space="preserve">     </w:t>
            </w:r>
            <w:r w:rsidR="000D4296" w:rsidRPr="000D4296">
              <w:t>45.000,-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9079D0" w:rsidP="003655D9">
            <w:pPr>
              <w:jc w:val="both"/>
            </w:pPr>
            <w:r>
              <w:t xml:space="preserve">    </w:t>
            </w:r>
            <w:r w:rsidR="000D4296" w:rsidRPr="000D4296">
              <w:t>9.450,-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9079D0" w:rsidP="003655D9">
            <w:pPr>
              <w:jc w:val="both"/>
            </w:pPr>
            <w:r>
              <w:t xml:space="preserve">     </w:t>
            </w:r>
            <w:r w:rsidR="000D4296" w:rsidRPr="000D4296">
              <w:t>54.450,-</w:t>
            </w:r>
          </w:p>
        </w:tc>
      </w:tr>
      <w:tr w:rsidR="00266C3C" w:rsidTr="000D4296">
        <w:trPr>
          <w:trHeight w:val="43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C" w:rsidRPr="000D4296" w:rsidRDefault="00266C3C" w:rsidP="00A36916">
            <w:r w:rsidRPr="000D4296">
              <w:t>Celkem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0D4296" w:rsidP="003655D9">
            <w:pPr>
              <w:jc w:val="both"/>
            </w:pPr>
            <w:r w:rsidRPr="000D4296">
              <w:t>1.070.000,-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0D4296" w:rsidP="003655D9">
            <w:pPr>
              <w:jc w:val="both"/>
            </w:pPr>
            <w:r w:rsidRPr="000D4296">
              <w:t>224.700,-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3C" w:rsidRPr="000D4296" w:rsidRDefault="000D4296" w:rsidP="003655D9">
            <w:pPr>
              <w:jc w:val="both"/>
            </w:pPr>
            <w:r w:rsidRPr="000D4296">
              <w:t>1.294.700,-</w:t>
            </w:r>
          </w:p>
        </w:tc>
      </w:tr>
    </w:tbl>
    <w:p w:rsidR="00266C3C" w:rsidRDefault="00266C3C" w:rsidP="00266C3C">
      <w:pPr>
        <w:jc w:val="both"/>
      </w:pPr>
    </w:p>
    <w:p w:rsidR="00A36916" w:rsidRDefault="00A36916" w:rsidP="00FD51AD">
      <w:pPr>
        <w:ind w:firstLine="426"/>
        <w:jc w:val="both"/>
      </w:pPr>
      <w:r>
        <w:t>Rozpis ceny slovně:</w:t>
      </w:r>
    </w:p>
    <w:p w:rsidR="00A36916" w:rsidRPr="00FE53C0" w:rsidRDefault="00A36916" w:rsidP="00A36916">
      <w:pPr>
        <w:ind w:firstLine="709"/>
        <w:jc w:val="both"/>
        <w:rPr>
          <w:sz w:val="12"/>
          <w:szCs w:val="12"/>
        </w:rPr>
      </w:pPr>
    </w:p>
    <w:p w:rsidR="00A36916" w:rsidRDefault="00A36916" w:rsidP="00FD51AD">
      <w:pPr>
        <w:ind w:firstLine="426"/>
        <w:jc w:val="both"/>
      </w:pPr>
      <w:r>
        <w:t xml:space="preserve">Realizační projekt vč. DPH </w:t>
      </w:r>
      <w:proofErr w:type="spellStart"/>
      <w:r w:rsidR="000D4296">
        <w:t>jedenmiliondvěstěčtyřicettisícdvěstěpadesát</w:t>
      </w:r>
      <w:proofErr w:type="spellEnd"/>
      <w:r w:rsidR="000D4296">
        <w:t xml:space="preserve"> korun</w:t>
      </w:r>
    </w:p>
    <w:p w:rsidR="00A36916" w:rsidRPr="00FE53C0" w:rsidRDefault="000D4296" w:rsidP="00A36916">
      <w:pPr>
        <w:ind w:firstLine="709"/>
        <w:jc w:val="both"/>
        <w:rPr>
          <w:sz w:val="12"/>
          <w:szCs w:val="12"/>
        </w:rPr>
      </w:pPr>
      <w:r w:rsidRPr="00FE53C0">
        <w:rPr>
          <w:sz w:val="12"/>
          <w:szCs w:val="12"/>
        </w:rPr>
        <w:t xml:space="preserve"> </w:t>
      </w:r>
    </w:p>
    <w:p w:rsidR="00A36916" w:rsidRDefault="00A36916" w:rsidP="00FD51AD">
      <w:pPr>
        <w:ind w:firstLine="426"/>
        <w:jc w:val="both"/>
      </w:pPr>
      <w:r>
        <w:t xml:space="preserve">Autorský dozor vč. DPH </w:t>
      </w:r>
      <w:proofErr w:type="spellStart"/>
      <w:r w:rsidR="003C4BD3">
        <w:t>padesátčtyřitisícčtyřistapadesát</w:t>
      </w:r>
      <w:proofErr w:type="spellEnd"/>
      <w:r w:rsidR="000C7F4E">
        <w:t xml:space="preserve"> ko</w:t>
      </w:r>
      <w:r w:rsidR="000D4296">
        <w:t>run</w:t>
      </w:r>
    </w:p>
    <w:p w:rsidR="00A36916" w:rsidRDefault="00A36916" w:rsidP="00A36916">
      <w:pPr>
        <w:ind w:firstLine="709"/>
        <w:jc w:val="both"/>
      </w:pPr>
    </w:p>
    <w:p w:rsidR="00A36916" w:rsidRDefault="00A36916" w:rsidP="00FD51AD">
      <w:pPr>
        <w:ind w:firstLine="426"/>
        <w:jc w:val="both"/>
      </w:pPr>
      <w:r>
        <w:t xml:space="preserve">Celkem vč. DPH </w:t>
      </w:r>
      <w:proofErr w:type="spellStart"/>
      <w:r w:rsidR="000D4296">
        <w:t>jedenmiliondvěstědevadesátčtyřitisícsedmset</w:t>
      </w:r>
      <w:proofErr w:type="spellEnd"/>
      <w:r w:rsidR="000D4296">
        <w:t xml:space="preserve"> korun</w:t>
      </w:r>
    </w:p>
    <w:p w:rsidR="00A36916" w:rsidRDefault="00A36916" w:rsidP="00266C3C">
      <w:pPr>
        <w:jc w:val="both"/>
      </w:pPr>
    </w:p>
    <w:p w:rsidR="00266C3C" w:rsidRDefault="00575784" w:rsidP="00FD51AD">
      <w:pPr>
        <w:numPr>
          <w:ilvl w:val="0"/>
          <w:numId w:val="31"/>
        </w:numPr>
        <w:ind w:left="426" w:right="118" w:hanging="426"/>
        <w:jc w:val="both"/>
      </w:pPr>
      <w:r>
        <w:t xml:space="preserve">Cena je platná po celou dobu realizace </w:t>
      </w:r>
      <w:r w:rsidR="00CB63F8">
        <w:t>Díl</w:t>
      </w:r>
      <w:r>
        <w:t xml:space="preserve">a, a to i po případném prodloužení termínu dokončení realizace </w:t>
      </w:r>
      <w:r w:rsidR="00A241EF">
        <w:t>D</w:t>
      </w:r>
      <w:r>
        <w:t>íla z důvod</w:t>
      </w:r>
      <w:r w:rsidR="002764A4">
        <w:t>ů</w:t>
      </w:r>
      <w:r>
        <w:t xml:space="preserve"> ležících na straně objednatele. </w:t>
      </w:r>
      <w:r w:rsidR="00266C3C">
        <w:t xml:space="preserve">Tato cena obsahuje veškeré náklady zhotovitele spojené se zhotovením </w:t>
      </w:r>
      <w:r w:rsidR="00CB63F8">
        <w:t>Díl</w:t>
      </w:r>
      <w:r w:rsidR="00266C3C">
        <w:t>a specifikovaného v čl. III</w:t>
      </w:r>
      <w:r w:rsidR="009462C0">
        <w:t xml:space="preserve"> </w:t>
      </w:r>
      <w:r w:rsidR="00CB63F8">
        <w:t>Smlou</w:t>
      </w:r>
      <w:r w:rsidR="00266C3C">
        <w:t xml:space="preserve">vy a může být měněna </w:t>
      </w:r>
      <w:r>
        <w:t xml:space="preserve">jenom z důvodu změny zákonné sazby DPH, na základě obecně závazného </w:t>
      </w:r>
      <w:r w:rsidR="00D77BC9">
        <w:t xml:space="preserve">předpisu. Cena </w:t>
      </w:r>
      <w:r w:rsidR="00A241EF">
        <w:t>D</w:t>
      </w:r>
      <w:r w:rsidR="00D77BC9">
        <w:t xml:space="preserve">íla bude pro tento případ upravena písemným dodatkem k </w:t>
      </w:r>
      <w:r w:rsidR="00CB63F8">
        <w:t>Smlou</w:t>
      </w:r>
      <w:r w:rsidR="00D77BC9">
        <w:t>vě.</w:t>
      </w:r>
    </w:p>
    <w:p w:rsidR="00C57BD1" w:rsidRPr="00C57BD1" w:rsidRDefault="00C57BD1" w:rsidP="00C57BD1">
      <w:pPr>
        <w:jc w:val="both"/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VI.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Platební podmínky</w:t>
      </w:r>
    </w:p>
    <w:p w:rsidR="00266C3C" w:rsidRDefault="00266C3C" w:rsidP="00266C3C">
      <w:pPr>
        <w:ind w:right="827"/>
        <w:jc w:val="center"/>
        <w:rPr>
          <w:b/>
        </w:rPr>
      </w:pPr>
    </w:p>
    <w:p w:rsidR="001E03F1" w:rsidRDefault="00266C3C" w:rsidP="001E03F1">
      <w:pPr>
        <w:numPr>
          <w:ilvl w:val="0"/>
          <w:numId w:val="20"/>
        </w:numPr>
        <w:ind w:left="426" w:hanging="426"/>
        <w:jc w:val="both"/>
      </w:pPr>
      <w:r>
        <w:t xml:space="preserve">Objednatel je při financování </w:t>
      </w:r>
      <w:r w:rsidR="00CB63F8">
        <w:t>Díl</w:t>
      </w:r>
      <w:r>
        <w:t>a vázán na poskytování prostředků státního rozpočtu, z</w:t>
      </w:r>
      <w:r w:rsidR="001E03F1">
        <w:t> </w:t>
      </w:r>
      <w:r>
        <w:t>tohoto důvodu má právo čerpání ročních finanční</w:t>
      </w:r>
      <w:r w:rsidR="00A36916">
        <w:t>ch objemů určených k prostavění</w:t>
      </w:r>
      <w:r>
        <w:t xml:space="preserve"> v</w:t>
      </w:r>
      <w:r w:rsidR="001E03F1">
        <w:t> </w:t>
      </w:r>
      <w:r>
        <w:t>opodstatněných případech upravovat.</w:t>
      </w:r>
    </w:p>
    <w:p w:rsidR="001E03F1" w:rsidRDefault="001E03F1" w:rsidP="001E03F1">
      <w:pPr>
        <w:ind w:left="426"/>
        <w:jc w:val="both"/>
      </w:pPr>
    </w:p>
    <w:p w:rsidR="001E03F1" w:rsidRDefault="00266C3C" w:rsidP="001E03F1">
      <w:pPr>
        <w:numPr>
          <w:ilvl w:val="0"/>
          <w:numId w:val="20"/>
        </w:numPr>
        <w:ind w:left="426" w:hanging="426"/>
        <w:jc w:val="both"/>
      </w:pPr>
      <w:r>
        <w:t xml:space="preserve">Objednatel neposkytuje pro realizaci </w:t>
      </w:r>
      <w:r w:rsidR="009C539F">
        <w:t>d</w:t>
      </w:r>
      <w:r w:rsidR="00CB63F8">
        <w:t>íl</w:t>
      </w:r>
      <w:r>
        <w:t>a zálohy.</w:t>
      </w:r>
    </w:p>
    <w:p w:rsidR="001E03F1" w:rsidRDefault="001E03F1" w:rsidP="001E03F1">
      <w:pPr>
        <w:pStyle w:val="Odstavecseseznamem"/>
      </w:pPr>
    </w:p>
    <w:p w:rsidR="001E03F1" w:rsidRDefault="00266C3C" w:rsidP="001E03F1">
      <w:pPr>
        <w:numPr>
          <w:ilvl w:val="0"/>
          <w:numId w:val="20"/>
        </w:numPr>
        <w:ind w:left="426" w:hanging="426"/>
        <w:jc w:val="both"/>
      </w:pPr>
      <w:r>
        <w:t xml:space="preserve">Úhrada prací </w:t>
      </w:r>
      <w:r w:rsidR="005F4A3B">
        <w:t>dle ustanovení čl. I</w:t>
      </w:r>
      <w:r w:rsidR="00E770E9">
        <w:t>II</w:t>
      </w:r>
      <w:r w:rsidR="000B2181">
        <w:t xml:space="preserve">. </w:t>
      </w:r>
      <w:r w:rsidR="002764A4">
        <w:t xml:space="preserve">odst. </w:t>
      </w:r>
      <w:r w:rsidR="005F4A3B">
        <w:t xml:space="preserve">1 </w:t>
      </w:r>
      <w:r w:rsidR="002764A4">
        <w:t xml:space="preserve">písm. </w:t>
      </w:r>
      <w:r w:rsidR="005F4A3B">
        <w:t xml:space="preserve">a), b) a c) </w:t>
      </w:r>
      <w:r w:rsidR="00CB63F8">
        <w:t>Smlou</w:t>
      </w:r>
      <w:r w:rsidR="009462C0">
        <w:t xml:space="preserve">vy </w:t>
      </w:r>
      <w:r>
        <w:t>bude prováděna v</w:t>
      </w:r>
      <w:r w:rsidR="001E03F1">
        <w:t> </w:t>
      </w:r>
      <w:r>
        <w:t xml:space="preserve">české měně, na základě příslušných faktur, které budou vystavovány </w:t>
      </w:r>
      <w:r w:rsidRPr="00166BEE">
        <w:t xml:space="preserve">po skončení realizace </w:t>
      </w:r>
      <w:r w:rsidR="00166BEE">
        <w:t>jednotlivých výkonových fází předmětu plnění uvedených v čl. VI</w:t>
      </w:r>
      <w:r w:rsidR="000B2181">
        <w:t xml:space="preserve"> </w:t>
      </w:r>
      <w:r w:rsidR="002764A4">
        <w:t xml:space="preserve">odst. </w:t>
      </w:r>
      <w:r w:rsidR="00166BEE">
        <w:t xml:space="preserve">5 </w:t>
      </w:r>
      <w:r w:rsidR="00CB63F8">
        <w:t>Smlou</w:t>
      </w:r>
      <w:r w:rsidR="00166BEE">
        <w:t>vy</w:t>
      </w:r>
      <w:r w:rsidR="00855997">
        <w:t>.</w:t>
      </w:r>
    </w:p>
    <w:p w:rsidR="001E03F1" w:rsidRDefault="001E03F1" w:rsidP="001E03F1">
      <w:pPr>
        <w:pStyle w:val="Odstavecseseznamem"/>
      </w:pPr>
    </w:p>
    <w:p w:rsidR="008147D4" w:rsidRDefault="00955DFF" w:rsidP="008147D4">
      <w:pPr>
        <w:numPr>
          <w:ilvl w:val="0"/>
          <w:numId w:val="20"/>
        </w:numPr>
        <w:ind w:left="426" w:hanging="426"/>
        <w:jc w:val="both"/>
      </w:pPr>
      <w:r>
        <w:t>P</w:t>
      </w:r>
      <w:r w:rsidR="00266C3C">
        <w:t>řed proplacením musí být faktura odsouhlasena zástupcem objednatele – oprávněnou osobou – uveden</w:t>
      </w:r>
      <w:r w:rsidR="00166BEE">
        <w:t>ou</w:t>
      </w:r>
      <w:r w:rsidR="00266C3C">
        <w:t xml:space="preserve"> v čl. </w:t>
      </w:r>
      <w:r w:rsidR="00E770E9">
        <w:t>VIII.</w:t>
      </w:r>
      <w:r w:rsidR="009462C0">
        <w:t xml:space="preserve"> </w:t>
      </w:r>
      <w:r w:rsidR="00CB63F8">
        <w:t>Smlou</w:t>
      </w:r>
      <w:r w:rsidR="009462C0">
        <w:t>vy.</w:t>
      </w:r>
      <w:r w:rsidR="00266C3C">
        <w:t xml:space="preserve"> Faktury vystavené zhotovitelem musí mít náležitosti obsažené v § </w:t>
      </w:r>
      <w:r w:rsidR="00953224">
        <w:t>29</w:t>
      </w:r>
      <w:r w:rsidR="00266C3C">
        <w:t xml:space="preserve"> zákona č. 235/2004 Sb., o dani z přidané hodnoty, ve znění pozdějších předpisů, a § </w:t>
      </w:r>
      <w:r w:rsidR="00953224">
        <w:t>435</w:t>
      </w:r>
      <w:r w:rsidR="00266C3C">
        <w:t xml:space="preserve"> </w:t>
      </w:r>
      <w:r w:rsidR="00953224">
        <w:t>zákona č. 89/2012 Sb., občanský zákoník</w:t>
      </w:r>
      <w:r w:rsidR="00A241EF">
        <w:t xml:space="preserve"> (dále jen „</w:t>
      </w:r>
      <w:r w:rsidR="00A241EF" w:rsidRPr="001E03F1">
        <w:rPr>
          <w:b/>
        </w:rPr>
        <w:t>Občanský zákoník</w:t>
      </w:r>
      <w:r w:rsidR="00A241EF">
        <w:t>“)</w:t>
      </w:r>
      <w:r w:rsidR="00953224">
        <w:t>,</w:t>
      </w:r>
      <w:r w:rsidR="000B2181">
        <w:t xml:space="preserve"> a </w:t>
      </w:r>
      <w:r w:rsidR="00266C3C">
        <w:t xml:space="preserve">jejich splatnost je stanovena v délce </w:t>
      </w:r>
      <w:r w:rsidR="00855997">
        <w:t>30</w:t>
      </w:r>
      <w:r w:rsidR="00266C3C">
        <w:t xml:space="preserve"> kalendářních dnů od doručení objednateli. Povinnost úhrady je splněna okamžikem předání pokynu k úhradě peněžnímu ústavu</w:t>
      </w:r>
      <w:r w:rsidR="009462C0">
        <w:t>/</w:t>
      </w:r>
      <w:r w:rsidR="00166BEE">
        <w:t>okamžikem odepsání z ú</w:t>
      </w:r>
      <w:r w:rsidR="000B2181">
        <w:t xml:space="preserve">čtu vedeného u peněžního ústavu. Pokud </w:t>
      </w:r>
      <w:r w:rsidR="00266C3C">
        <w:t>faktura nemá sjednané náležitosti, objednatel je oprávněn ji vrátit zhotoviteli a nová lhůta splatnosti počíná běžet až okamžikem doručení nové, opravené faktury objednateli.</w:t>
      </w:r>
    </w:p>
    <w:p w:rsidR="008147D4" w:rsidRDefault="008147D4" w:rsidP="008147D4">
      <w:pPr>
        <w:pStyle w:val="Odstavecseseznamem"/>
      </w:pPr>
    </w:p>
    <w:p w:rsidR="00266C3C" w:rsidRPr="00955DFF" w:rsidRDefault="00955DFF" w:rsidP="008147D4">
      <w:pPr>
        <w:numPr>
          <w:ilvl w:val="0"/>
          <w:numId w:val="20"/>
        </w:numPr>
        <w:ind w:left="426" w:hanging="426"/>
        <w:jc w:val="both"/>
      </w:pPr>
      <w:r>
        <w:t>O</w:t>
      </w:r>
      <w:r w:rsidR="00266C3C" w:rsidRPr="00955DFF">
        <w:t xml:space="preserve">bjednatel bude proplácet cenu dále uvedených jednotlivých výkonových fází </w:t>
      </w:r>
      <w:r w:rsidR="00CB63F8">
        <w:t>Díl</w:t>
      </w:r>
      <w:r w:rsidR="000D69E8">
        <w:t xml:space="preserve">a </w:t>
      </w:r>
      <w:r w:rsidR="00266C3C" w:rsidRPr="00955DFF">
        <w:t>na základě faktur, které vystaví zhotov</w:t>
      </w:r>
      <w:r w:rsidR="00C57BD1">
        <w:t>itel vždy po jejich ukončení, a to:</w:t>
      </w:r>
    </w:p>
    <w:p w:rsidR="00266C3C" w:rsidRDefault="00266C3C" w:rsidP="00266C3C">
      <w:pPr>
        <w:ind w:right="-24"/>
        <w:jc w:val="both"/>
      </w:pPr>
    </w:p>
    <w:p w:rsidR="00872F51" w:rsidRDefault="00266C3C" w:rsidP="008147D4">
      <w:pPr>
        <w:numPr>
          <w:ilvl w:val="1"/>
          <w:numId w:val="4"/>
        </w:numPr>
        <w:tabs>
          <w:tab w:val="clear" w:pos="792"/>
        </w:tabs>
        <w:overflowPunct w:val="0"/>
        <w:autoSpaceDE w:val="0"/>
        <w:autoSpaceDN w:val="0"/>
        <w:adjustRightInd w:val="0"/>
        <w:ind w:left="426" w:right="-24" w:hanging="426"/>
        <w:jc w:val="both"/>
        <w:textAlignment w:val="baseline"/>
      </w:pPr>
      <w:r>
        <w:t xml:space="preserve">za </w:t>
      </w:r>
      <w:r w:rsidR="00397FD8">
        <w:t>R</w:t>
      </w:r>
      <w:r>
        <w:t xml:space="preserve">ealizační projekt stavby </w:t>
      </w:r>
      <w:r w:rsidR="00872F51">
        <w:t>na základě protokolu o předání a převzetí podepsa</w:t>
      </w:r>
      <w:r w:rsidR="002764A4">
        <w:t>ného oběma smluvními stranami,</w:t>
      </w:r>
    </w:p>
    <w:p w:rsidR="00855997" w:rsidRDefault="00872F51" w:rsidP="008147D4">
      <w:pPr>
        <w:numPr>
          <w:ilvl w:val="1"/>
          <w:numId w:val="4"/>
        </w:numPr>
        <w:tabs>
          <w:tab w:val="clear" w:pos="792"/>
        </w:tabs>
        <w:overflowPunct w:val="0"/>
        <w:autoSpaceDE w:val="0"/>
        <w:autoSpaceDN w:val="0"/>
        <w:adjustRightInd w:val="0"/>
        <w:ind w:left="426" w:right="-24" w:hanging="426"/>
        <w:jc w:val="both"/>
        <w:textAlignment w:val="baseline"/>
      </w:pPr>
      <w:r>
        <w:t>za provedení</w:t>
      </w:r>
      <w:r w:rsidR="00855997">
        <w:t xml:space="preserve"> </w:t>
      </w:r>
      <w:r w:rsidR="00397FD8">
        <w:t>A</w:t>
      </w:r>
      <w:r>
        <w:t>utorského dozoru</w:t>
      </w:r>
      <w:r w:rsidR="008147D4">
        <w:t>.</w:t>
      </w:r>
    </w:p>
    <w:p w:rsidR="00955DFF" w:rsidRDefault="00955DFF" w:rsidP="008147D4">
      <w:pPr>
        <w:tabs>
          <w:tab w:val="left" w:pos="567"/>
        </w:tabs>
        <w:ind w:right="-24"/>
        <w:jc w:val="both"/>
      </w:pPr>
    </w:p>
    <w:p w:rsidR="00266C3C" w:rsidRDefault="00266C3C" w:rsidP="00955DFF">
      <w:pPr>
        <w:ind w:right="827"/>
        <w:jc w:val="center"/>
        <w:rPr>
          <w:b/>
        </w:rPr>
      </w:pPr>
      <w:r>
        <w:rPr>
          <w:b/>
        </w:rPr>
        <w:t>VII.</w:t>
      </w:r>
    </w:p>
    <w:p w:rsidR="00266C3C" w:rsidRDefault="00266C3C" w:rsidP="00955DFF">
      <w:pPr>
        <w:jc w:val="center"/>
        <w:rPr>
          <w:b/>
        </w:rPr>
      </w:pPr>
      <w:r>
        <w:rPr>
          <w:b/>
        </w:rPr>
        <w:t>Součinnost objednatele a zhotovitele</w:t>
      </w:r>
    </w:p>
    <w:p w:rsidR="00955DFF" w:rsidRDefault="00955DFF" w:rsidP="00955DFF">
      <w:pPr>
        <w:tabs>
          <w:tab w:val="left" w:pos="426"/>
        </w:tabs>
        <w:jc w:val="both"/>
      </w:pPr>
    </w:p>
    <w:p w:rsidR="009815AB" w:rsidRDefault="00266C3C" w:rsidP="009815AB">
      <w:pPr>
        <w:numPr>
          <w:ilvl w:val="0"/>
          <w:numId w:val="19"/>
        </w:numPr>
        <w:ind w:left="426" w:hanging="426"/>
        <w:jc w:val="both"/>
      </w:pPr>
      <w:r>
        <w:t xml:space="preserve">Objednatel proškolí zhotovitele z předpisů BOZP a PO, které se vztahují k místu realizace </w:t>
      </w:r>
      <w:r w:rsidR="00CB63F8">
        <w:t>Díl</w:t>
      </w:r>
      <w:r>
        <w:t>a a umožní vstup do objektu za podmínek dodržování mlčenlivosti o všech skutečnostech, o kterých se pracovníci zhotovitele do</w:t>
      </w:r>
      <w:r w:rsidR="009815AB">
        <w:t>vědí</w:t>
      </w:r>
      <w:r>
        <w:t>.</w:t>
      </w:r>
    </w:p>
    <w:p w:rsidR="009815AB" w:rsidRDefault="009815AB" w:rsidP="009815AB">
      <w:pPr>
        <w:jc w:val="both"/>
      </w:pPr>
    </w:p>
    <w:p w:rsidR="009815AB" w:rsidRDefault="00A91D87" w:rsidP="009815AB">
      <w:pPr>
        <w:numPr>
          <w:ilvl w:val="0"/>
          <w:numId w:val="19"/>
        </w:numPr>
        <w:ind w:left="426" w:hanging="426"/>
        <w:jc w:val="both"/>
      </w:pPr>
      <w:r>
        <w:t xml:space="preserve">Zhotovitel </w:t>
      </w:r>
      <w:r w:rsidRPr="00633465">
        <w:t>se</w:t>
      </w:r>
      <w:r>
        <w:t xml:space="preserve"> zavazuje během plnění </w:t>
      </w:r>
      <w:r w:rsidR="00CB63F8">
        <w:t>Smlou</w:t>
      </w:r>
      <w:r w:rsidR="00855997">
        <w:t>vy</w:t>
      </w:r>
      <w:r>
        <w:t xml:space="preserve"> i po ukončení </w:t>
      </w:r>
      <w:r w:rsidR="00CB63F8">
        <w:t>Smlou</w:t>
      </w:r>
      <w:r>
        <w:t>vy</w:t>
      </w:r>
      <w:r w:rsidR="00855997">
        <w:t xml:space="preserve"> </w:t>
      </w:r>
      <w:r w:rsidRPr="00633465">
        <w:t>zachovávat mlčen</w:t>
      </w:r>
      <w:r w:rsidR="00D55CCA">
        <w:t>livost o všech skutečnostech, o </w:t>
      </w:r>
      <w:r w:rsidRPr="00633465">
        <w:t>kterých se dozví od objednatele v</w:t>
      </w:r>
      <w:r>
        <w:t xml:space="preserve"> souvislosti s</w:t>
      </w:r>
      <w:r w:rsidR="009815AB">
        <w:t> </w:t>
      </w:r>
      <w:r>
        <w:t xml:space="preserve">plněním </w:t>
      </w:r>
      <w:r w:rsidR="00CB63F8">
        <w:t>Smlou</w:t>
      </w:r>
      <w:r>
        <w:t>vy</w:t>
      </w:r>
      <w:r w:rsidR="00855997">
        <w:t>.</w:t>
      </w:r>
    </w:p>
    <w:p w:rsidR="009815AB" w:rsidRDefault="009815AB" w:rsidP="009815AB">
      <w:pPr>
        <w:pStyle w:val="Odstavecseseznamem"/>
      </w:pPr>
    </w:p>
    <w:p w:rsidR="009815AB" w:rsidRDefault="00266C3C" w:rsidP="009815AB">
      <w:pPr>
        <w:numPr>
          <w:ilvl w:val="0"/>
          <w:numId w:val="19"/>
        </w:numPr>
        <w:ind w:left="426" w:hanging="426"/>
        <w:jc w:val="both"/>
      </w:pPr>
      <w:r>
        <w:t>Zhotovitel se na výzvu objednatele zúčastní kolauda</w:t>
      </w:r>
      <w:r w:rsidR="00D55CCA">
        <w:t>čního řízení, případně řízení o </w:t>
      </w:r>
      <w:r>
        <w:t>uvedení částí stavby do předčasného užívání.</w:t>
      </w:r>
    </w:p>
    <w:p w:rsidR="009815AB" w:rsidRDefault="009815AB" w:rsidP="009815AB">
      <w:pPr>
        <w:pStyle w:val="Odstavecseseznamem"/>
      </w:pPr>
    </w:p>
    <w:p w:rsidR="00266C3C" w:rsidRDefault="00266C3C" w:rsidP="009815AB">
      <w:pPr>
        <w:numPr>
          <w:ilvl w:val="0"/>
          <w:numId w:val="19"/>
        </w:numPr>
        <w:ind w:left="426" w:hanging="426"/>
        <w:jc w:val="both"/>
      </w:pPr>
      <w:r>
        <w:t>Zhotovitel bude respektovat a zabezpečí splnění podmínek stanovených správními orgány objednateli (zejména ve stavebních povoleních a dalších rozhodnutích pro stavbu) a</w:t>
      </w:r>
      <w:r w:rsidR="009815AB">
        <w:t> </w:t>
      </w:r>
      <w:r>
        <w:t>uhradí případné sankce za neplnění těchto podmínek zaviněné zhotovitelem.</w:t>
      </w:r>
    </w:p>
    <w:p w:rsidR="00054BCC" w:rsidRDefault="00054BCC" w:rsidP="00266C3C">
      <w:pPr>
        <w:jc w:val="both"/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VIII.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 xml:space="preserve">Předání a převzetí </w:t>
      </w:r>
      <w:r w:rsidR="00CB63F8">
        <w:rPr>
          <w:b/>
        </w:rPr>
        <w:t>Díl</w:t>
      </w:r>
      <w:r>
        <w:rPr>
          <w:b/>
        </w:rPr>
        <w:t>a</w:t>
      </w:r>
    </w:p>
    <w:p w:rsidR="00266C3C" w:rsidRDefault="00266C3C" w:rsidP="00266C3C">
      <w:pPr>
        <w:jc w:val="both"/>
      </w:pPr>
    </w:p>
    <w:p w:rsidR="00D51AB9" w:rsidRDefault="00266C3C" w:rsidP="00D51AB9">
      <w:pPr>
        <w:numPr>
          <w:ilvl w:val="0"/>
          <w:numId w:val="18"/>
        </w:numPr>
        <w:ind w:left="426" w:hanging="426"/>
        <w:jc w:val="both"/>
      </w:pPr>
      <w:r>
        <w:t xml:space="preserve">Zhotovitel splní svou povinnost provést </w:t>
      </w:r>
      <w:r w:rsidR="001627B0">
        <w:t>D</w:t>
      </w:r>
      <w:r>
        <w:t xml:space="preserve">ílo jeho řádným ukončením a předáním objednateli, včetně odstranění vad. </w:t>
      </w:r>
      <w:r w:rsidR="00CB63F8">
        <w:t>Díl</w:t>
      </w:r>
      <w:r>
        <w:t>o bude předáno v</w:t>
      </w:r>
      <w:r w:rsidR="00855997">
        <w:t xml:space="preserve"> 6 </w:t>
      </w:r>
      <w:proofErr w:type="spellStart"/>
      <w:r w:rsidRPr="00855997">
        <w:t>paré</w:t>
      </w:r>
      <w:proofErr w:type="spellEnd"/>
      <w:r w:rsidRPr="00855997">
        <w:t>.</w:t>
      </w:r>
      <w:r w:rsidR="00E739BA" w:rsidRPr="00E739BA">
        <w:t xml:space="preserve"> </w:t>
      </w:r>
      <w:r w:rsidR="00E739BA">
        <w:t xml:space="preserve">Objednatel splní svůj závazek převzít </w:t>
      </w:r>
      <w:r w:rsidR="001627B0">
        <w:t>D</w:t>
      </w:r>
      <w:r w:rsidR="00E739BA">
        <w:t>ílo podepsáním zápisu o předání a př</w:t>
      </w:r>
      <w:r w:rsidR="00C57BD1">
        <w:t xml:space="preserve">evzetí </w:t>
      </w:r>
      <w:r w:rsidR="001627B0">
        <w:t>D</w:t>
      </w:r>
      <w:r w:rsidR="0015481D">
        <w:t>íla. K podepsání zápisu</w:t>
      </w:r>
      <w:r w:rsidR="00E739BA">
        <w:t xml:space="preserve"> je oprávněn </w:t>
      </w:r>
      <w:r w:rsidR="000D4296">
        <w:t>Ing. Oldřich Barvíř</w:t>
      </w:r>
      <w:r w:rsidR="00E739BA">
        <w:t xml:space="preserve"> za zhotovitele a </w:t>
      </w:r>
      <w:r w:rsidR="00855997">
        <w:t>Ing. Miloš Kaska</w:t>
      </w:r>
      <w:r w:rsidR="00E739BA">
        <w:t xml:space="preserve"> za objednatele.</w:t>
      </w:r>
    </w:p>
    <w:p w:rsidR="00D51AB9" w:rsidRDefault="00D51AB9" w:rsidP="00D51AB9">
      <w:pPr>
        <w:jc w:val="both"/>
      </w:pPr>
    </w:p>
    <w:p w:rsidR="00266C3C" w:rsidRDefault="00266C3C" w:rsidP="00D51AB9">
      <w:pPr>
        <w:numPr>
          <w:ilvl w:val="0"/>
          <w:numId w:val="18"/>
        </w:numPr>
        <w:ind w:left="426" w:hanging="426"/>
        <w:jc w:val="both"/>
      </w:pPr>
      <w:r>
        <w:t xml:space="preserve">Jestliže objednatel odmítne </w:t>
      </w:r>
      <w:r w:rsidR="00CB63F8">
        <w:t>Díl</w:t>
      </w:r>
      <w:r>
        <w:t>o převzít, sepíší účastníc</w:t>
      </w:r>
      <w:r w:rsidR="00D55CCA">
        <w:t>i přejímajícího řízení zápis, v </w:t>
      </w:r>
      <w:r>
        <w:t>němž obj</w:t>
      </w:r>
      <w:r w:rsidR="00955DFF">
        <w:t>ednatel uvede důvod nepřevzetí.</w:t>
      </w:r>
    </w:p>
    <w:p w:rsidR="00955DFF" w:rsidRDefault="00955DFF" w:rsidP="00266C3C">
      <w:pPr>
        <w:jc w:val="both"/>
      </w:pPr>
    </w:p>
    <w:p w:rsidR="00266C3C" w:rsidRDefault="00266C3C" w:rsidP="00955DFF">
      <w:pPr>
        <w:ind w:right="827"/>
        <w:jc w:val="center"/>
        <w:rPr>
          <w:b/>
        </w:rPr>
      </w:pPr>
      <w:r>
        <w:rPr>
          <w:b/>
        </w:rPr>
        <w:t>IX.</w:t>
      </w:r>
    </w:p>
    <w:p w:rsidR="00266C3C" w:rsidRDefault="00D55CCA" w:rsidP="00955DFF">
      <w:pPr>
        <w:pStyle w:val="Nadpis5"/>
      </w:pPr>
      <w:r>
        <w:t xml:space="preserve">Záruční doba, </w:t>
      </w:r>
      <w:r w:rsidR="00266C3C">
        <w:t>odpovědnost za vady</w:t>
      </w:r>
    </w:p>
    <w:p w:rsidR="00266C3C" w:rsidRDefault="00266C3C" w:rsidP="00266C3C">
      <w:pPr>
        <w:ind w:right="827"/>
        <w:jc w:val="both"/>
        <w:rPr>
          <w:b/>
        </w:rPr>
      </w:pPr>
    </w:p>
    <w:p w:rsidR="00850B2D" w:rsidRDefault="00CB63F8" w:rsidP="00850B2D">
      <w:pPr>
        <w:numPr>
          <w:ilvl w:val="0"/>
          <w:numId w:val="17"/>
        </w:numPr>
        <w:ind w:left="426" w:hanging="426"/>
        <w:jc w:val="both"/>
      </w:pPr>
      <w:r>
        <w:t>Díl</w:t>
      </w:r>
      <w:r w:rsidR="00266C3C">
        <w:t xml:space="preserve">o má vady, jestliže provedení </w:t>
      </w:r>
      <w:r>
        <w:t>Díl</w:t>
      </w:r>
      <w:r w:rsidR="00266C3C">
        <w:t>a neodpovídá výsledku určenému v</w:t>
      </w:r>
      <w:r w:rsidR="007F0F8B">
        <w:t>e</w:t>
      </w:r>
      <w:r w:rsidR="00266C3C">
        <w:t xml:space="preserve"> </w:t>
      </w:r>
      <w:r>
        <w:t>Smlou</w:t>
      </w:r>
      <w:r w:rsidR="00266C3C">
        <w:t xml:space="preserve">vě, jestliže nebude mít vlastnosti stanovené platnými technickými normami, je </w:t>
      </w:r>
      <w:r w:rsidR="00896466">
        <w:t xml:space="preserve">zhotoveno v rozporu s platnými </w:t>
      </w:r>
      <w:r w:rsidR="00266C3C">
        <w:t>právními předpisy nebo nevykazuje vlastnosti pro něj obvyklé.</w:t>
      </w:r>
    </w:p>
    <w:p w:rsidR="00850B2D" w:rsidRDefault="00850B2D" w:rsidP="00850B2D">
      <w:pPr>
        <w:ind w:left="426"/>
        <w:jc w:val="both"/>
      </w:pPr>
    </w:p>
    <w:p w:rsidR="00850B2D" w:rsidRDefault="00266C3C" w:rsidP="00850B2D">
      <w:pPr>
        <w:numPr>
          <w:ilvl w:val="0"/>
          <w:numId w:val="17"/>
        </w:numPr>
        <w:ind w:left="426" w:hanging="426"/>
        <w:jc w:val="both"/>
      </w:pPr>
      <w:r>
        <w:t xml:space="preserve">Zhotovitel poskytuje objednateli na provedení </w:t>
      </w:r>
      <w:r w:rsidR="00CB63F8">
        <w:t>Díl</w:t>
      </w:r>
      <w:r>
        <w:t xml:space="preserve">a dle </w:t>
      </w:r>
      <w:r w:rsidR="00CB63F8">
        <w:t>Smlou</w:t>
      </w:r>
      <w:r>
        <w:t>vy bezp</w:t>
      </w:r>
      <w:r w:rsidR="00850B2D">
        <w:t xml:space="preserve">latnou záruční dobu v délce </w:t>
      </w:r>
      <w:r w:rsidR="000D4296">
        <w:t xml:space="preserve">84 </w:t>
      </w:r>
      <w:r>
        <w:t xml:space="preserve">měsíců po předání </w:t>
      </w:r>
      <w:r w:rsidR="00CB63F8">
        <w:t>Díl</w:t>
      </w:r>
      <w:r>
        <w:t xml:space="preserve">a. Záruční doba však neskončí před uplynutím záruční doby na dodávku stavby, která bude realizována na základě dokumentace zhotovené podle </w:t>
      </w:r>
      <w:r w:rsidR="00CB63F8">
        <w:t>Smlou</w:t>
      </w:r>
      <w:r>
        <w:t>vy.</w:t>
      </w:r>
    </w:p>
    <w:p w:rsidR="00850B2D" w:rsidRDefault="00850B2D" w:rsidP="00850B2D">
      <w:pPr>
        <w:pStyle w:val="Odstavecseseznamem"/>
      </w:pPr>
    </w:p>
    <w:p w:rsidR="00850B2D" w:rsidRDefault="00266C3C" w:rsidP="00850B2D">
      <w:pPr>
        <w:numPr>
          <w:ilvl w:val="0"/>
          <w:numId w:val="17"/>
        </w:numPr>
        <w:ind w:left="426" w:hanging="426"/>
        <w:jc w:val="both"/>
      </w:pPr>
      <w:r>
        <w:t>Zhotovitel neodpovídá za vady, jejichž původ spočívá ve výchozích podkladech, které mu poskytl objednatel. Na žádost objednatele je však</w:t>
      </w:r>
      <w:r w:rsidR="00955DFF">
        <w:t xml:space="preserve"> zhotovitel povinen dohodnout s </w:t>
      </w:r>
      <w:r>
        <w:t>ním opatření k co nejrychlejšímu odstranění závad za úplatu.</w:t>
      </w:r>
    </w:p>
    <w:p w:rsidR="00850B2D" w:rsidRDefault="00850B2D" w:rsidP="00850B2D">
      <w:pPr>
        <w:pStyle w:val="Odstavecseseznamem"/>
      </w:pPr>
    </w:p>
    <w:p w:rsidR="00850B2D" w:rsidRDefault="00266C3C" w:rsidP="00850B2D">
      <w:pPr>
        <w:numPr>
          <w:ilvl w:val="0"/>
          <w:numId w:val="17"/>
        </w:numPr>
        <w:ind w:left="426" w:hanging="426"/>
        <w:jc w:val="both"/>
      </w:pPr>
      <w:r>
        <w:t xml:space="preserve">Zhotovitel je povinen odstranit vady </w:t>
      </w:r>
      <w:r w:rsidR="00CB63F8">
        <w:t>Díl</w:t>
      </w:r>
      <w:r>
        <w:t>a, jestliže je objednatel písemně reklamoval v záruční době uvedené v odst. 2</w:t>
      </w:r>
      <w:r w:rsidR="00AF453A">
        <w:t xml:space="preserve"> tohoto článku</w:t>
      </w:r>
      <w:r w:rsidR="009462C0">
        <w:t xml:space="preserve"> </w:t>
      </w:r>
      <w:r w:rsidR="00CB63F8">
        <w:t>Smlou</w:t>
      </w:r>
      <w:r w:rsidR="009462C0">
        <w:t>vy</w:t>
      </w:r>
      <w:r w:rsidR="00AF453A">
        <w:t>.</w:t>
      </w:r>
      <w:r>
        <w:t xml:space="preserve"> </w:t>
      </w:r>
    </w:p>
    <w:p w:rsidR="00850B2D" w:rsidRDefault="00850B2D" w:rsidP="00850B2D">
      <w:pPr>
        <w:pStyle w:val="Odstavecseseznamem"/>
      </w:pPr>
    </w:p>
    <w:p w:rsidR="00266C3C" w:rsidRDefault="00266C3C" w:rsidP="00850B2D">
      <w:pPr>
        <w:numPr>
          <w:ilvl w:val="0"/>
          <w:numId w:val="17"/>
        </w:numPr>
        <w:ind w:left="426" w:hanging="426"/>
        <w:jc w:val="both"/>
      </w:pPr>
      <w:r>
        <w:t xml:space="preserve">Zhotovitel je povinen nejpozději do </w:t>
      </w:r>
      <w:r w:rsidR="00855997">
        <w:t>10</w:t>
      </w:r>
      <w:r>
        <w:t xml:space="preserve"> dnů od obdržení písemné reklamace oznámit objednateli, zda reklamaci uznává, zda vady odstraní do </w:t>
      </w:r>
      <w:r w:rsidR="00855997">
        <w:t>10</w:t>
      </w:r>
      <w:r>
        <w:t xml:space="preserve"> dnů od odeslání reklamace, případně jakou lhůtu navrhuje k odstranění vad nebo z jakých důvodů odmítá reklamaci uznat.</w:t>
      </w:r>
    </w:p>
    <w:p w:rsidR="00266C3C" w:rsidRDefault="00266C3C" w:rsidP="00266C3C">
      <w:pPr>
        <w:ind w:right="827"/>
        <w:jc w:val="both"/>
      </w:pP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X.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Úrok z prodlení a smluvní pokuta</w:t>
      </w:r>
    </w:p>
    <w:p w:rsidR="00266C3C" w:rsidRDefault="00266C3C" w:rsidP="00266C3C">
      <w:pPr>
        <w:ind w:right="827"/>
        <w:jc w:val="both"/>
      </w:pPr>
    </w:p>
    <w:p w:rsidR="00D06F47" w:rsidRDefault="00266C3C" w:rsidP="00D06F47">
      <w:pPr>
        <w:numPr>
          <w:ilvl w:val="0"/>
          <w:numId w:val="16"/>
        </w:numPr>
        <w:ind w:left="426" w:hanging="426"/>
        <w:jc w:val="both"/>
      </w:pPr>
      <w:r>
        <w:t>Je-li objednatel v p</w:t>
      </w:r>
      <w:r w:rsidR="00C57BD1">
        <w:t xml:space="preserve">rodlení s úhradou plateb podle </w:t>
      </w:r>
      <w:r>
        <w:t>čl. V</w:t>
      </w:r>
      <w:r w:rsidR="00D30F75">
        <w:t>I</w:t>
      </w:r>
      <w:r>
        <w:t>.</w:t>
      </w:r>
      <w:r w:rsidR="00C57BD1">
        <w:t xml:space="preserve"> </w:t>
      </w:r>
      <w:r w:rsidR="00031734">
        <w:t xml:space="preserve">odst. </w:t>
      </w:r>
      <w:r w:rsidR="00D30F75">
        <w:t>4</w:t>
      </w:r>
      <w:r w:rsidR="00C57BD1">
        <w:t xml:space="preserve"> </w:t>
      </w:r>
      <w:r w:rsidR="00CB63F8">
        <w:t>Smlou</w:t>
      </w:r>
      <w:r w:rsidR="00C57BD1">
        <w:t xml:space="preserve">vy, je povinen uhradit </w:t>
      </w:r>
      <w:r>
        <w:t>zhotovitel</w:t>
      </w:r>
      <w:r w:rsidR="00C57BD1">
        <w:t xml:space="preserve">i úrok z prodlení z neuhrazené </w:t>
      </w:r>
      <w:r>
        <w:t xml:space="preserve">dlužné </w:t>
      </w:r>
      <w:r w:rsidR="00C57BD1">
        <w:t xml:space="preserve">částky podle konkrétní faktury </w:t>
      </w:r>
      <w:r>
        <w:t>za každý den prodlení ve výši stanove</w:t>
      </w:r>
      <w:r w:rsidR="00955DFF">
        <w:t>né zvláštním právním předpisem.</w:t>
      </w:r>
    </w:p>
    <w:p w:rsidR="00D06F47" w:rsidRDefault="00D06F47" w:rsidP="00D06F47">
      <w:pPr>
        <w:ind w:left="426"/>
        <w:jc w:val="both"/>
      </w:pPr>
    </w:p>
    <w:p w:rsidR="005E10C8" w:rsidRDefault="00266C3C" w:rsidP="005E10C8">
      <w:pPr>
        <w:numPr>
          <w:ilvl w:val="0"/>
          <w:numId w:val="16"/>
        </w:numPr>
        <w:ind w:left="426" w:hanging="426"/>
        <w:jc w:val="both"/>
      </w:pPr>
      <w:r>
        <w:t>Pokud zhotovitel nedodrží dobu plnění dohodnutou v čl. IV.</w:t>
      </w:r>
      <w:r w:rsidR="00C57BD1">
        <w:t xml:space="preserve"> </w:t>
      </w:r>
      <w:r w:rsidR="00031734">
        <w:t xml:space="preserve">odst. </w:t>
      </w:r>
      <w:r w:rsidR="00D30F75">
        <w:t>1</w:t>
      </w:r>
      <w:r>
        <w:t xml:space="preserve"> </w:t>
      </w:r>
      <w:r w:rsidR="00CB63F8">
        <w:t>Smlou</w:t>
      </w:r>
      <w:r>
        <w:t xml:space="preserve">vy, zaplatí objednateli smluvní pokutu ve výši </w:t>
      </w:r>
      <w:r w:rsidR="00024B4D">
        <w:t>5 000,- Kč</w:t>
      </w:r>
      <w:r w:rsidRPr="00D06F47">
        <w:rPr>
          <w:i/>
          <w:sz w:val="20"/>
          <w:szCs w:val="20"/>
        </w:rPr>
        <w:t xml:space="preserve"> </w:t>
      </w:r>
      <w:r w:rsidRPr="00024B4D">
        <w:t>za každý den prodlení.</w:t>
      </w:r>
    </w:p>
    <w:p w:rsidR="005E10C8" w:rsidRDefault="005E10C8" w:rsidP="005E10C8">
      <w:pPr>
        <w:pStyle w:val="Odstavecseseznamem"/>
      </w:pPr>
    </w:p>
    <w:p w:rsidR="005E10C8" w:rsidRDefault="00266C3C" w:rsidP="005E10C8">
      <w:pPr>
        <w:numPr>
          <w:ilvl w:val="0"/>
          <w:numId w:val="16"/>
        </w:numPr>
        <w:ind w:left="426" w:hanging="426"/>
        <w:jc w:val="both"/>
      </w:pPr>
      <w:r>
        <w:lastRenderedPageBreak/>
        <w:t xml:space="preserve">Zhotovitel zaplatí objednateli smluvní pokutu ve </w:t>
      </w:r>
      <w:r w:rsidR="00C57BD1">
        <w:t>výši</w:t>
      </w:r>
      <w:r w:rsidR="00024B4D">
        <w:t xml:space="preserve"> 2 000,-</w:t>
      </w:r>
      <w:r w:rsidR="00C57BD1">
        <w:t xml:space="preserve"> Kč</w:t>
      </w:r>
      <w:r>
        <w:t xml:space="preserve"> za každý den prodlení s odstraněním vad ve stanovené (dohodnuté) lhůtě </w:t>
      </w:r>
      <w:r w:rsidR="00D30F75">
        <w:t xml:space="preserve">dle </w:t>
      </w:r>
      <w:r>
        <w:t>čl. IX.</w:t>
      </w:r>
      <w:r w:rsidR="00C57BD1">
        <w:t xml:space="preserve"> </w:t>
      </w:r>
      <w:r w:rsidR="00031734">
        <w:t xml:space="preserve">odst. </w:t>
      </w:r>
      <w:r w:rsidR="00D30F75">
        <w:t xml:space="preserve">5 </w:t>
      </w:r>
      <w:r w:rsidR="00CB63F8">
        <w:t>Smlou</w:t>
      </w:r>
      <w:r w:rsidR="00D30F75">
        <w:t>vy</w:t>
      </w:r>
      <w:r>
        <w:t>, a to za každou vadu zvlášť.</w:t>
      </w:r>
    </w:p>
    <w:p w:rsidR="005E10C8" w:rsidRDefault="005E10C8" w:rsidP="005E10C8">
      <w:pPr>
        <w:pStyle w:val="Odstavecseseznamem"/>
      </w:pPr>
    </w:p>
    <w:p w:rsidR="005E10C8" w:rsidRDefault="003655D9" w:rsidP="005E10C8">
      <w:pPr>
        <w:numPr>
          <w:ilvl w:val="0"/>
          <w:numId w:val="16"/>
        </w:numPr>
        <w:ind w:left="426" w:hanging="426"/>
        <w:jc w:val="both"/>
      </w:pPr>
      <w:r w:rsidRPr="00633465">
        <w:t>Za porušení povinnosti mlčenlivosti specifikované v</w:t>
      </w:r>
      <w:r>
        <w:t> čl. VII.</w:t>
      </w:r>
      <w:r w:rsidR="00C57BD1">
        <w:t xml:space="preserve"> </w:t>
      </w:r>
      <w:r w:rsidR="00031734">
        <w:t xml:space="preserve">odst. </w:t>
      </w:r>
      <w:r>
        <w:t xml:space="preserve">2 </w:t>
      </w:r>
      <w:r w:rsidR="00CB63F8">
        <w:t>Smlou</w:t>
      </w:r>
      <w:r>
        <w:t>vy</w:t>
      </w:r>
      <w:r w:rsidRPr="00633465">
        <w:t xml:space="preserve"> je </w:t>
      </w:r>
      <w:r>
        <w:t xml:space="preserve">zhotovitel povinen uhradit objednateli </w:t>
      </w:r>
      <w:r w:rsidR="00C57BD1">
        <w:t>smluvní pokutu ve výši</w:t>
      </w:r>
      <w:r w:rsidR="00E770E9">
        <w:t xml:space="preserve"> </w:t>
      </w:r>
      <w:r w:rsidR="00024B4D">
        <w:t>2 000,-</w:t>
      </w:r>
      <w:r w:rsidR="005E10C8">
        <w:t xml:space="preserve"> </w:t>
      </w:r>
      <w:r w:rsidR="00C57BD1" w:rsidRPr="00633465">
        <w:t>Kč</w:t>
      </w:r>
      <w:r w:rsidRPr="00633465">
        <w:t>, a to za každý jednot</w:t>
      </w:r>
      <w:r>
        <w:t>livý případ porušení povinnosti</w:t>
      </w:r>
      <w:r w:rsidR="005E10C8">
        <w:t>.</w:t>
      </w:r>
    </w:p>
    <w:p w:rsidR="005E10C8" w:rsidRDefault="005E10C8" w:rsidP="005E10C8">
      <w:pPr>
        <w:pStyle w:val="Odstavecseseznamem"/>
      </w:pPr>
    </w:p>
    <w:p w:rsidR="005E10C8" w:rsidRDefault="009A77EC" w:rsidP="005E10C8">
      <w:pPr>
        <w:numPr>
          <w:ilvl w:val="0"/>
          <w:numId w:val="16"/>
        </w:numPr>
        <w:ind w:left="426" w:hanging="426"/>
        <w:jc w:val="both"/>
      </w:pPr>
      <w:r w:rsidRPr="009A77EC">
        <w:t>Úhradou smluvní pokuty není dotčeno právo na náhradu újmy způsobené porušením povinnosti, pro kterou jsou smluvní pokuty sjednány.</w:t>
      </w:r>
    </w:p>
    <w:p w:rsidR="005E10C8" w:rsidRDefault="005E10C8" w:rsidP="005E10C8">
      <w:pPr>
        <w:pStyle w:val="Odstavecseseznamem"/>
      </w:pPr>
    </w:p>
    <w:p w:rsidR="005E10C8" w:rsidRDefault="00266C3C" w:rsidP="005E10C8">
      <w:pPr>
        <w:numPr>
          <w:ilvl w:val="0"/>
          <w:numId w:val="16"/>
        </w:numPr>
        <w:ind w:left="426" w:hanging="426"/>
        <w:jc w:val="both"/>
      </w:pPr>
      <w:r>
        <w:t>Pro vyúčtování, náležitosti faktury a splatnost úroků z prodlení a smluvních pokut platí obdobně ustanovení čl. VI.</w:t>
      </w:r>
      <w:r w:rsidR="00D30F75">
        <w:t xml:space="preserve"> </w:t>
      </w:r>
      <w:r w:rsidR="00CB63F8">
        <w:t>Smlou</w:t>
      </w:r>
      <w:r w:rsidR="00D30F75">
        <w:t>vy.</w:t>
      </w:r>
    </w:p>
    <w:p w:rsidR="005E10C8" w:rsidRDefault="005E10C8" w:rsidP="005E10C8">
      <w:pPr>
        <w:pStyle w:val="Odstavecseseznamem"/>
      </w:pPr>
    </w:p>
    <w:p w:rsidR="00054BCC" w:rsidRPr="00283C41" w:rsidRDefault="00054BCC" w:rsidP="005E10C8">
      <w:pPr>
        <w:numPr>
          <w:ilvl w:val="0"/>
          <w:numId w:val="16"/>
        </w:numPr>
        <w:ind w:left="426" w:hanging="426"/>
        <w:jc w:val="both"/>
      </w:pPr>
      <w:r w:rsidRPr="00283C41">
        <w:t xml:space="preserve">Odstoupením od </w:t>
      </w:r>
      <w:r w:rsidR="00CB63F8">
        <w:t>Smlou</w:t>
      </w:r>
      <w:r w:rsidRPr="00283C41">
        <w:t>vy dosud vzniklý nárok na úhradu smluvní pokuty nezaniká.</w:t>
      </w:r>
    </w:p>
    <w:p w:rsidR="00054BCC" w:rsidRPr="00054BCC" w:rsidRDefault="00054BCC" w:rsidP="00054BCC">
      <w:pPr>
        <w:ind w:left="57" w:right="827"/>
        <w:rPr>
          <w:b/>
        </w:rPr>
      </w:pPr>
    </w:p>
    <w:p w:rsidR="009A77EC" w:rsidRDefault="009A77EC" w:rsidP="00283C41">
      <w:pPr>
        <w:ind w:right="827"/>
        <w:rPr>
          <w:b/>
        </w:rPr>
      </w:pPr>
    </w:p>
    <w:p w:rsidR="00266C3C" w:rsidRDefault="00266C3C" w:rsidP="00955DFF">
      <w:pPr>
        <w:ind w:left="57" w:right="827"/>
        <w:jc w:val="center"/>
        <w:rPr>
          <w:b/>
        </w:rPr>
      </w:pPr>
      <w:r>
        <w:rPr>
          <w:b/>
        </w:rPr>
        <w:t>XI.</w:t>
      </w:r>
    </w:p>
    <w:p w:rsidR="009A77EC" w:rsidRDefault="009A77EC" w:rsidP="00955DFF">
      <w:pPr>
        <w:ind w:left="57" w:right="827"/>
        <w:jc w:val="center"/>
        <w:rPr>
          <w:b/>
        </w:rPr>
      </w:pPr>
      <w:r>
        <w:rPr>
          <w:b/>
        </w:rPr>
        <w:t xml:space="preserve">Ukončení </w:t>
      </w:r>
      <w:r w:rsidR="00CB63F8">
        <w:rPr>
          <w:b/>
        </w:rPr>
        <w:t>Smlou</w:t>
      </w:r>
      <w:r>
        <w:rPr>
          <w:b/>
        </w:rPr>
        <w:t>vy</w:t>
      </w:r>
    </w:p>
    <w:p w:rsidR="00955DFF" w:rsidRDefault="00955DFF" w:rsidP="00955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806EF5" w:rsidRDefault="009A77EC" w:rsidP="00806EF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 xml:space="preserve">Odstoupit od </w:t>
      </w:r>
      <w:r w:rsidR="00CB63F8">
        <w:t>Smlou</w:t>
      </w:r>
      <w:r>
        <w:t>vy lze pouze v případech podstatného porušení smluvní povinnosti ve smyslu ustanovení § 2106 a násl. O</w:t>
      </w:r>
      <w:r w:rsidR="00BF364B">
        <w:t>bčanského zákoníku</w:t>
      </w:r>
      <w:r w:rsidR="000274FF">
        <w:t>,</w:t>
      </w:r>
      <w:r>
        <w:t xml:space="preserve"> a dále </w:t>
      </w:r>
      <w:r w:rsidR="000274FF">
        <w:t xml:space="preserve">je </w:t>
      </w:r>
      <w:r>
        <w:t xml:space="preserve">objednatel od </w:t>
      </w:r>
      <w:r w:rsidR="00CB63F8">
        <w:t>Smlou</w:t>
      </w:r>
      <w:r>
        <w:t>vy oprávněn</w:t>
      </w:r>
      <w:r w:rsidRPr="00633465">
        <w:t xml:space="preserve"> odstoupit bez jakýchkoliv sankcí, pokud nebude schválena částka ze státního rozpočtu následujícího roku, která je potřebná k úhradě za plnění poskytované podle </w:t>
      </w:r>
      <w:r w:rsidR="00CB63F8">
        <w:t>Smlou</w:t>
      </w:r>
      <w:r w:rsidRPr="00633465">
        <w:t xml:space="preserve">vy v následujícím roce. </w:t>
      </w:r>
      <w:r>
        <w:t>Objednatel</w:t>
      </w:r>
      <w:r w:rsidRPr="00633465">
        <w:t xml:space="preserve"> prohlašuje, že do 30 dnů po vyhlášení zákona o</w:t>
      </w:r>
      <w:r w:rsidR="00806EF5">
        <w:t> </w:t>
      </w:r>
      <w:r w:rsidRPr="00633465">
        <w:t>státním rozpočtu ve Sbírce zákonů</w:t>
      </w:r>
      <w:r>
        <w:t xml:space="preserve"> písemně</w:t>
      </w:r>
      <w:r w:rsidRPr="00633465">
        <w:t xml:space="preserve"> oznámí </w:t>
      </w:r>
      <w:r>
        <w:t>zhotoviteli</w:t>
      </w:r>
      <w:r w:rsidR="000274FF">
        <w:t>, že nebyla schválena</w:t>
      </w:r>
      <w:r w:rsidRPr="00633465">
        <w:t xml:space="preserve"> částka ze státního rozpočtu následujícího roku, která je potřebná k úhradě za plnění poskytované podle </w:t>
      </w:r>
      <w:r w:rsidR="00CB63F8">
        <w:t>Smlou</w:t>
      </w:r>
      <w:r w:rsidR="00955DFF">
        <w:t>vy v </w:t>
      </w:r>
      <w:r w:rsidRPr="00633465">
        <w:t>následujícím roce</w:t>
      </w:r>
      <w:r>
        <w:t>.</w:t>
      </w:r>
    </w:p>
    <w:p w:rsidR="00806EF5" w:rsidRDefault="00806EF5" w:rsidP="00806EF5">
      <w:pPr>
        <w:widowControl w:val="0"/>
        <w:autoSpaceDE w:val="0"/>
        <w:autoSpaceDN w:val="0"/>
        <w:adjustRightInd w:val="0"/>
        <w:ind w:left="426"/>
        <w:jc w:val="both"/>
      </w:pPr>
    </w:p>
    <w:p w:rsidR="008A63C4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 xml:space="preserve">Odstoupení od </w:t>
      </w:r>
      <w:r w:rsidR="00CB63F8">
        <w:t>Smlou</w:t>
      </w:r>
      <w:r>
        <w:t>vy je účinné okamžikem doručení písemného oznámení o odstoupení uvádějícího důvod odstoupení druhé smluvní straně.</w:t>
      </w:r>
    </w:p>
    <w:p w:rsidR="008A63C4" w:rsidRDefault="008A63C4" w:rsidP="008A63C4">
      <w:pPr>
        <w:pStyle w:val="Odstavecseseznamem"/>
      </w:pPr>
    </w:p>
    <w:p w:rsidR="008A63C4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 xml:space="preserve">Odstoupení od </w:t>
      </w:r>
      <w:r w:rsidR="00CB63F8">
        <w:t>Smlou</w:t>
      </w:r>
      <w:r>
        <w:t xml:space="preserve">vy se nedotýká nároku na zaplacení smluvní pokuty, nároku na náhradu škody vzniklé porušením </w:t>
      </w:r>
      <w:r w:rsidR="00CB63F8">
        <w:t>Smlou</w:t>
      </w:r>
      <w:r>
        <w:t xml:space="preserve">vy, práv objednatele ze záruk zhotovitele za jakost včetně podmínek stanovených pro odstranění záručních vad ani závazku mlčenlivosti zhotovitele, ani dalších práv a povinností, z jejichž povahy plyne, že mají trvat i po ukončení </w:t>
      </w:r>
      <w:r w:rsidR="00CB63F8">
        <w:t>Smlou</w:t>
      </w:r>
      <w:r>
        <w:t>vy.</w:t>
      </w:r>
    </w:p>
    <w:p w:rsidR="008A63C4" w:rsidRDefault="008A63C4" w:rsidP="008A63C4">
      <w:pPr>
        <w:pStyle w:val="Odstavecseseznamem"/>
      </w:pPr>
    </w:p>
    <w:p w:rsidR="008A63C4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 xml:space="preserve">Smluvní strany jsou oprávněny odstoupit od části plnění, pokud se důvod odstoupení týká jen části </w:t>
      </w:r>
      <w:r w:rsidR="00CB63F8">
        <w:t>Díl</w:t>
      </w:r>
      <w:r>
        <w:t>a.</w:t>
      </w:r>
    </w:p>
    <w:p w:rsidR="008A63C4" w:rsidRDefault="008A63C4" w:rsidP="008A63C4">
      <w:pPr>
        <w:pStyle w:val="Odstavecseseznamem"/>
      </w:pPr>
    </w:p>
    <w:p w:rsidR="008A63C4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>
        <w:t>Zhotovitel výslovně prohlašuje, že na sebe přebírá nebezpečí změny okolností ve smyslu ustanovení § 1765 odst. 2 O</w:t>
      </w:r>
      <w:r w:rsidR="002606E5">
        <w:t>bčanského zákoníku</w:t>
      </w:r>
      <w:r>
        <w:t xml:space="preserve">. </w:t>
      </w:r>
    </w:p>
    <w:p w:rsidR="008A63C4" w:rsidRDefault="008A63C4" w:rsidP="008A63C4">
      <w:pPr>
        <w:pStyle w:val="Odstavecseseznamem"/>
      </w:pPr>
    </w:p>
    <w:p w:rsidR="009A77EC" w:rsidRDefault="009A77EC" w:rsidP="008A63C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CC3877">
        <w:t>Dojde-li ke změn</w:t>
      </w:r>
      <w:r w:rsidR="000274FF">
        <w:t>ě status</w:t>
      </w:r>
      <w:r w:rsidRPr="00CC3877">
        <w:t>u (</w:t>
      </w:r>
      <w:r>
        <w:t xml:space="preserve">např. </w:t>
      </w:r>
      <w:r w:rsidRPr="00CC3877">
        <w:t>změna právní formy právnické osoby, fúze právnických osob, rozdělení právnické osoby)</w:t>
      </w:r>
      <w:r>
        <w:t xml:space="preserve"> zhotovitele</w:t>
      </w:r>
      <w:r w:rsidRPr="00CC3877">
        <w:t xml:space="preserve">, je smluvní strana povinna oznámit tuto skutečnost </w:t>
      </w:r>
      <w:r>
        <w:t>objednateli</w:t>
      </w:r>
      <w:r w:rsidRPr="00CC3877">
        <w:t xml:space="preserve"> ve lhůtě</w:t>
      </w:r>
      <w:r w:rsidR="00024B4D">
        <w:t xml:space="preserve"> 5 </w:t>
      </w:r>
      <w:r w:rsidR="00C57BD1">
        <w:t>dnů od zápisu této změny v </w:t>
      </w:r>
      <w:r w:rsidRPr="00CC3877">
        <w:t xml:space="preserve">obchodním rejstříku. </w:t>
      </w:r>
      <w:r>
        <w:t>Objednatel je v tomto případě oprávněn</w:t>
      </w:r>
      <w:r w:rsidRPr="00CC3877">
        <w:t xml:space="preserve"> písemně vypovědět </w:t>
      </w:r>
      <w:r w:rsidR="00CB63F8">
        <w:t>Smlou</w:t>
      </w:r>
      <w:r w:rsidR="000274FF">
        <w:t>vu z důvodu změny status</w:t>
      </w:r>
      <w:r w:rsidRPr="00CC3877">
        <w:t xml:space="preserve">u </w:t>
      </w:r>
      <w:r>
        <w:t>zhotovitele</w:t>
      </w:r>
      <w:r w:rsidRPr="00CC3877">
        <w:t xml:space="preserve">. </w:t>
      </w:r>
      <w:r w:rsidR="00C57BD1">
        <w:t xml:space="preserve"> </w:t>
      </w:r>
      <w:r w:rsidRPr="00CC3877">
        <w:t xml:space="preserve">Výpovědní lhůta činí </w:t>
      </w:r>
      <w:r w:rsidR="00024B4D">
        <w:t>10</w:t>
      </w:r>
      <w:r w:rsidRPr="00CC3877">
        <w:t xml:space="preserve"> </w:t>
      </w:r>
      <w:r>
        <w:t>dnů</w:t>
      </w:r>
      <w:r w:rsidR="00955DFF">
        <w:t xml:space="preserve"> a </w:t>
      </w:r>
      <w:r w:rsidRPr="00CC3877">
        <w:t>počíná běžet následujícím dnem po doručení výpovědi druhé smluvní straně</w:t>
      </w:r>
      <w:r w:rsidR="00024B4D">
        <w:t>.</w:t>
      </w:r>
    </w:p>
    <w:p w:rsidR="009A77EC" w:rsidRDefault="009A77EC" w:rsidP="008A63C4">
      <w:pPr>
        <w:widowControl w:val="0"/>
        <w:autoSpaceDE w:val="0"/>
        <w:autoSpaceDN w:val="0"/>
        <w:adjustRightInd w:val="0"/>
        <w:jc w:val="both"/>
      </w:pPr>
    </w:p>
    <w:p w:rsidR="00FE53C0" w:rsidRDefault="00FE53C0" w:rsidP="008A63C4">
      <w:pPr>
        <w:widowControl w:val="0"/>
        <w:autoSpaceDE w:val="0"/>
        <w:autoSpaceDN w:val="0"/>
        <w:adjustRightInd w:val="0"/>
        <w:jc w:val="both"/>
      </w:pPr>
    </w:p>
    <w:p w:rsidR="009A77EC" w:rsidRDefault="009A77EC" w:rsidP="00955DFF">
      <w:pPr>
        <w:tabs>
          <w:tab w:val="left" w:pos="3870"/>
        </w:tabs>
        <w:ind w:right="827"/>
        <w:jc w:val="center"/>
        <w:rPr>
          <w:b/>
        </w:rPr>
      </w:pPr>
      <w:r>
        <w:rPr>
          <w:b/>
        </w:rPr>
        <w:lastRenderedPageBreak/>
        <w:t>XII.</w:t>
      </w:r>
    </w:p>
    <w:p w:rsidR="00266C3C" w:rsidRDefault="00266C3C" w:rsidP="00955DFF">
      <w:pPr>
        <w:pStyle w:val="Nadpis5"/>
      </w:pPr>
      <w:r>
        <w:t>Zvláštní ujednání</w:t>
      </w:r>
    </w:p>
    <w:p w:rsidR="002E6522" w:rsidRDefault="002E6522" w:rsidP="00955DFF">
      <w:pPr>
        <w:jc w:val="center"/>
      </w:pPr>
    </w:p>
    <w:p w:rsidR="008A63C4" w:rsidRDefault="00266C3C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 xml:space="preserve">V průběhu rozpracovanosti </w:t>
      </w:r>
      <w:r w:rsidR="00CB63F8">
        <w:t>Díl</w:t>
      </w:r>
      <w:r>
        <w:t xml:space="preserve">a bude objednatel vyzýván zhotovitelem písemně ke konzultaci navrhovaného </w:t>
      </w:r>
      <w:r w:rsidR="00CB63F8">
        <w:t>Díl</w:t>
      </w:r>
      <w:r>
        <w:t>a, zejména k závěrečnému projednání před vyhotovením čistopisu. Konzultace budou prováděny minimálně jedenkrát měsíčně. Z</w:t>
      </w:r>
      <w:r w:rsidR="00EB6348">
        <w:t xml:space="preserve"> průběhu každé konzultace bude pořízen </w:t>
      </w:r>
      <w:r w:rsidR="00C57BD1">
        <w:t>zápis</w:t>
      </w:r>
      <w:r w:rsidR="00024B4D">
        <w:t>.</w:t>
      </w:r>
    </w:p>
    <w:p w:rsidR="008A63C4" w:rsidRPr="008A63C4" w:rsidRDefault="008A63C4" w:rsidP="008A63C4">
      <w:pPr>
        <w:jc w:val="both"/>
      </w:pPr>
    </w:p>
    <w:p w:rsidR="008A63C4" w:rsidRDefault="00266C3C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>V</w:t>
      </w:r>
      <w:r w:rsidR="00EB6348">
        <w:t xml:space="preserve">yskytnou-li se události, které </w:t>
      </w:r>
      <w:r>
        <w:t>jedné nebo oběma smluvním stranám částečně n</w:t>
      </w:r>
      <w:r w:rsidR="006B7A3A">
        <w:t xml:space="preserve">ebo úplně </w:t>
      </w:r>
      <w:r>
        <w:t xml:space="preserve">znemožní plnění jejich povinností podle </w:t>
      </w:r>
      <w:r w:rsidR="00CB63F8">
        <w:t>Smlou</w:t>
      </w:r>
      <w:r>
        <w:t>vy, jsou povinni se o tomto bez zbytečného odkladu informovat a společně podniknout kroky k jejich překonání.</w:t>
      </w:r>
    </w:p>
    <w:p w:rsidR="008A63C4" w:rsidRDefault="008A63C4" w:rsidP="008A63C4"/>
    <w:p w:rsidR="008A63C4" w:rsidRDefault="00266C3C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 xml:space="preserve">Práce nad rámec rozsahu předmětu </w:t>
      </w:r>
      <w:r w:rsidR="00CB63F8">
        <w:t>Díl</w:t>
      </w:r>
      <w:r>
        <w:t xml:space="preserve">a (vícepráce), které budou nezbytné k řádnému dokončení </w:t>
      </w:r>
      <w:r w:rsidR="00CB63F8">
        <w:t>Díl</w:t>
      </w:r>
      <w:r>
        <w:t xml:space="preserve">a, funkčnosti provozu nebo respektování závazných pokynů schvalovacích orgánů (závazných povolení, např. stavebních povolení, kolaudačních rozhodnutí apod.), mohou být realizovány jen s písemným souhlasem objednatele při splnění podmínek stanovených zákonem č. 137/2006 Sb., o veřejných zakázkách, ve znění pozdějších předpisů. Dodatkem ke </w:t>
      </w:r>
      <w:r w:rsidR="00CB63F8">
        <w:t>Smlou</w:t>
      </w:r>
      <w:r>
        <w:t>vě bude dohodnut rozsah víceprac</w:t>
      </w:r>
      <w:r w:rsidR="00C57BD1">
        <w:t>í a </w:t>
      </w:r>
      <w:r w:rsidR="00955DFF">
        <w:t>jejich finanční ohodnocení.</w:t>
      </w:r>
    </w:p>
    <w:p w:rsidR="008A63C4" w:rsidRDefault="008A63C4" w:rsidP="008A63C4"/>
    <w:p w:rsidR="008A63C4" w:rsidRDefault="00266C3C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>Stane</w:t>
      </w:r>
      <w:r w:rsidR="006B7A3A">
        <w:t xml:space="preserve">-li se některé ustanovení </w:t>
      </w:r>
      <w:r w:rsidR="00CB63F8">
        <w:t>Smlou</w:t>
      </w:r>
      <w:r w:rsidR="006B7A3A">
        <w:t>vy</w:t>
      </w:r>
      <w:r>
        <w:t xml:space="preserve"> </w:t>
      </w:r>
      <w:r w:rsidR="006B7A3A">
        <w:t xml:space="preserve">neplatné či neúčinné, nedotýká </w:t>
      </w:r>
      <w:r>
        <w:t xml:space="preserve">se to ostatních ustanovení </w:t>
      </w:r>
      <w:r w:rsidR="00CB63F8">
        <w:t>Smlou</w:t>
      </w:r>
      <w:r>
        <w:t>vy, která zůstávají platná</w:t>
      </w:r>
      <w:r w:rsidR="006B7A3A">
        <w:t xml:space="preserve"> a účinná. Smluvní strany </w:t>
      </w:r>
      <w:r>
        <w:t>se v tomto přípa</w:t>
      </w:r>
      <w:r w:rsidR="006B7A3A">
        <w:t xml:space="preserve">dě zavazují dohodou nahradit ustanovení neplatné/neúčinné novým </w:t>
      </w:r>
      <w:r>
        <w:t>ustanovením platným/účinným, které nejlépe odpovídá původně zamýšlenému účelu ustanovení nepla</w:t>
      </w:r>
      <w:r w:rsidR="006B7A3A">
        <w:t xml:space="preserve">tného/neúčinného. Do této doby </w:t>
      </w:r>
      <w:r>
        <w:t>platí odpovídající</w:t>
      </w:r>
      <w:r w:rsidR="006B7A3A">
        <w:t xml:space="preserve"> úprava </w:t>
      </w:r>
      <w:r>
        <w:t>obecně závazných právních předpisů České republiky.</w:t>
      </w:r>
    </w:p>
    <w:p w:rsidR="008A63C4" w:rsidRDefault="008A63C4" w:rsidP="008A63C4"/>
    <w:p w:rsidR="003655D9" w:rsidRPr="008A63C4" w:rsidRDefault="003655D9" w:rsidP="008A63C4">
      <w:pPr>
        <w:numPr>
          <w:ilvl w:val="0"/>
          <w:numId w:val="14"/>
        </w:numPr>
        <w:ind w:left="426" w:hanging="426"/>
        <w:jc w:val="both"/>
        <w:rPr>
          <w:i/>
        </w:rPr>
      </w:pPr>
      <w:r>
        <w:t xml:space="preserve">Zhotovitel </w:t>
      </w:r>
      <w:r w:rsidRPr="00633465">
        <w:t>je podle § 2 písm. e) zákona č. 320/2001 Sb., o finanční kontrole ve veřejné správě a o změně některých zá</w:t>
      </w:r>
      <w:r>
        <w:t>konů, v platném znění</w:t>
      </w:r>
      <w:r w:rsidRPr="00633465">
        <w:t xml:space="preserve">, osobou povinnou spolupůsobit při výkonu finanční kontroly prováděné v souvislosti s úhradou zboží </w:t>
      </w:r>
      <w:r w:rsidR="00C57BD1">
        <w:t>nebo služeb z </w:t>
      </w:r>
      <w:r>
        <w:t>veřejných výdajů.</w:t>
      </w:r>
    </w:p>
    <w:p w:rsidR="00266C3C" w:rsidRDefault="00266C3C" w:rsidP="00266C3C">
      <w:pPr>
        <w:ind w:right="827"/>
        <w:rPr>
          <w:b/>
        </w:rPr>
      </w:pPr>
    </w:p>
    <w:p w:rsidR="00266C3C" w:rsidRDefault="00266C3C" w:rsidP="00266C3C">
      <w:pPr>
        <w:ind w:left="57" w:right="827"/>
        <w:jc w:val="center"/>
        <w:rPr>
          <w:b/>
        </w:rPr>
      </w:pPr>
      <w:r>
        <w:rPr>
          <w:b/>
        </w:rPr>
        <w:t>XII.</w:t>
      </w:r>
    </w:p>
    <w:p w:rsidR="00266C3C" w:rsidRDefault="00266C3C" w:rsidP="00266C3C">
      <w:pPr>
        <w:ind w:right="827"/>
        <w:jc w:val="center"/>
        <w:rPr>
          <w:b/>
        </w:rPr>
      </w:pPr>
      <w:r>
        <w:rPr>
          <w:b/>
        </w:rPr>
        <w:t>Závěrečná ujednání</w:t>
      </w:r>
    </w:p>
    <w:p w:rsidR="002E6522" w:rsidRDefault="002E6522" w:rsidP="00266C3C">
      <w:pPr>
        <w:jc w:val="both"/>
        <w:rPr>
          <w:b/>
        </w:rPr>
      </w:pPr>
    </w:p>
    <w:p w:rsidR="00F82009" w:rsidRDefault="00266C3C" w:rsidP="00F82009">
      <w:pPr>
        <w:numPr>
          <w:ilvl w:val="0"/>
          <w:numId w:val="13"/>
        </w:numPr>
        <w:ind w:left="426" w:hanging="426"/>
        <w:jc w:val="both"/>
      </w:pPr>
      <w:r>
        <w:t>Na</w:t>
      </w:r>
      <w:r w:rsidR="002E6522">
        <w:t xml:space="preserve"> právní vztahy, touto </w:t>
      </w:r>
      <w:r w:rsidR="00CB63F8">
        <w:t>Smlou</w:t>
      </w:r>
      <w:r w:rsidR="002E6522">
        <w:t xml:space="preserve">vou založené </w:t>
      </w:r>
      <w:r w:rsidR="003A71AA">
        <w:t xml:space="preserve">a </w:t>
      </w:r>
      <w:r w:rsidR="002E6522">
        <w:t xml:space="preserve">v ní výslovně </w:t>
      </w:r>
      <w:r>
        <w:t xml:space="preserve">neupravené, se použijí příslušná ustanovení </w:t>
      </w:r>
      <w:r w:rsidR="002606E5">
        <w:t>O</w:t>
      </w:r>
      <w:r w:rsidR="00D06BC1">
        <w:t>bčanského zákoníku</w:t>
      </w:r>
      <w:r w:rsidR="00955DFF">
        <w:t>.</w:t>
      </w:r>
    </w:p>
    <w:p w:rsidR="00F82009" w:rsidRDefault="00F82009" w:rsidP="00F82009">
      <w:pPr>
        <w:jc w:val="both"/>
      </w:pPr>
    </w:p>
    <w:p w:rsidR="00F82009" w:rsidRDefault="00D06BC1" w:rsidP="00F82009">
      <w:pPr>
        <w:numPr>
          <w:ilvl w:val="0"/>
          <w:numId w:val="13"/>
        </w:numPr>
        <w:ind w:left="426" w:hanging="426"/>
        <w:jc w:val="both"/>
      </w:pPr>
      <w:r>
        <w:t>Smluvní strany souhlasně vylučují použití ustanovení § 558 odst. 2 O</w:t>
      </w:r>
      <w:r w:rsidR="002606E5">
        <w:t>bčanského zákoníku</w:t>
      </w:r>
      <w:r>
        <w:t xml:space="preserve"> na právní vztahy vzniklé z</w:t>
      </w:r>
      <w:r w:rsidR="003A71AA">
        <w:t>e</w:t>
      </w:r>
      <w:r>
        <w:t xml:space="preserve"> </w:t>
      </w:r>
      <w:r w:rsidR="00CB63F8">
        <w:t>Smlou</w:t>
      </w:r>
      <w:r>
        <w:t>vy.</w:t>
      </w:r>
    </w:p>
    <w:p w:rsidR="00F82009" w:rsidRDefault="00F82009" w:rsidP="00F82009"/>
    <w:p w:rsidR="00F82009" w:rsidRDefault="00D06BC1" w:rsidP="00F82009">
      <w:pPr>
        <w:numPr>
          <w:ilvl w:val="0"/>
          <w:numId w:val="13"/>
        </w:numPr>
        <w:ind w:left="426" w:hanging="426"/>
        <w:jc w:val="both"/>
      </w:pPr>
      <w:r>
        <w:t xml:space="preserve">Smluvní strany souhlasně prohlašují, že tato </w:t>
      </w:r>
      <w:r w:rsidR="00CB63F8">
        <w:t>Smlou</w:t>
      </w:r>
      <w:r>
        <w:t>va není smlouvou uzavřenou adhezním způsobem ve smyslu ustanovení § 1798 a násl.</w:t>
      </w:r>
      <w:r w:rsidR="00955DFF">
        <w:t xml:space="preserve"> O</w:t>
      </w:r>
      <w:r w:rsidR="002606E5">
        <w:t>bčanského zákoníku</w:t>
      </w:r>
      <w:r w:rsidR="00955DFF">
        <w:t>.  Ustanovení § 1799 a § </w:t>
      </w:r>
      <w:r>
        <w:t>1800 O</w:t>
      </w:r>
      <w:r w:rsidR="002606E5">
        <w:t>bčanského zákoníku</w:t>
      </w:r>
      <w:r>
        <w:t xml:space="preserve"> se nepoužijí. </w:t>
      </w:r>
    </w:p>
    <w:p w:rsidR="00F82009" w:rsidRDefault="00F82009" w:rsidP="00F82009"/>
    <w:p w:rsidR="00F82009" w:rsidRDefault="00D06BC1" w:rsidP="00F82009">
      <w:pPr>
        <w:numPr>
          <w:ilvl w:val="0"/>
          <w:numId w:val="13"/>
        </w:numPr>
        <w:ind w:left="426" w:hanging="426"/>
        <w:jc w:val="both"/>
      </w:pPr>
      <w:r>
        <w:t>Veškeré změny a doplňky</w:t>
      </w:r>
      <w:r w:rsidR="00266C3C">
        <w:t xml:space="preserve"> </w:t>
      </w:r>
      <w:r w:rsidR="00CB63F8">
        <w:t>Smlou</w:t>
      </w:r>
      <w:r w:rsidR="00266C3C">
        <w:t>vy musí být učiněny písemně</w:t>
      </w:r>
      <w:r w:rsidR="009462C0">
        <w:t xml:space="preserve"> </w:t>
      </w:r>
      <w:r>
        <w:t xml:space="preserve">ve formě </w:t>
      </w:r>
      <w:r w:rsidR="00266C3C">
        <w:t xml:space="preserve">číslovaného dodatku k </w:t>
      </w:r>
      <w:r w:rsidR="00CB63F8">
        <w:t>Smlou</w:t>
      </w:r>
      <w:r w:rsidR="00266C3C">
        <w:t>vě, podepsaného opráv</w:t>
      </w:r>
      <w:r>
        <w:t xml:space="preserve">něnými zástupci obou smluvních </w:t>
      </w:r>
      <w:r w:rsidR="00955DFF">
        <w:t>stran.</w:t>
      </w:r>
    </w:p>
    <w:p w:rsidR="00F82009" w:rsidRDefault="00F82009" w:rsidP="00F82009"/>
    <w:p w:rsidR="00F82009" w:rsidRDefault="00CB63F8" w:rsidP="00F82009">
      <w:pPr>
        <w:numPr>
          <w:ilvl w:val="0"/>
          <w:numId w:val="13"/>
        </w:numPr>
        <w:ind w:left="426" w:hanging="426"/>
        <w:jc w:val="both"/>
      </w:pPr>
      <w:r>
        <w:t>Smlou</w:t>
      </w:r>
      <w:r w:rsidR="00266C3C">
        <w:t xml:space="preserve">va je vyhotovena ve </w:t>
      </w:r>
      <w:r w:rsidR="00024B4D">
        <w:t>dvou</w:t>
      </w:r>
      <w:r w:rsidR="00266C3C" w:rsidRPr="00F82009">
        <w:rPr>
          <w:i/>
          <w:sz w:val="20"/>
          <w:szCs w:val="20"/>
        </w:rPr>
        <w:t xml:space="preserve"> </w:t>
      </w:r>
      <w:r w:rsidR="00266C3C">
        <w:t xml:space="preserve">výtiscích s platností originálu, z nichž každá ze smluvních stran obdrží </w:t>
      </w:r>
      <w:r w:rsidR="00024B4D">
        <w:t>jeden výtisk</w:t>
      </w:r>
      <w:r w:rsidR="00266C3C">
        <w:t>.</w:t>
      </w:r>
    </w:p>
    <w:p w:rsidR="00F82009" w:rsidRDefault="00F82009" w:rsidP="00F82009"/>
    <w:p w:rsidR="00F82009" w:rsidRDefault="002606E5" w:rsidP="00F82009">
      <w:pPr>
        <w:numPr>
          <w:ilvl w:val="0"/>
          <w:numId w:val="13"/>
        </w:numPr>
        <w:ind w:left="426" w:hanging="426"/>
        <w:jc w:val="both"/>
      </w:pPr>
      <w:r>
        <w:lastRenderedPageBreak/>
        <w:t>Smluvní strany</w:t>
      </w:r>
      <w:r w:rsidR="00266C3C">
        <w:t xml:space="preserve"> prohlašují, že </w:t>
      </w:r>
      <w:r w:rsidR="00CB63F8">
        <w:t>Smlou</w:t>
      </w:r>
      <w:r w:rsidR="00266C3C">
        <w:t>va byla sjednán</w:t>
      </w:r>
      <w:r w:rsidR="00955DFF">
        <w:t>a na základě jejich pravé a </w:t>
      </w:r>
      <w:r w:rsidR="00266C3C">
        <w:t>svobodné vůle, že si její obsah přečetl</w:t>
      </w:r>
      <w:r>
        <w:t>y</w:t>
      </w:r>
      <w:r w:rsidR="00266C3C">
        <w:t xml:space="preserve"> a bezvýhradně s ním souhlasí, což stvrzují svými vlastnoručními podpisy.</w:t>
      </w:r>
    </w:p>
    <w:p w:rsidR="00F82009" w:rsidRDefault="00F82009" w:rsidP="00F82009"/>
    <w:p w:rsidR="00955DFF" w:rsidRDefault="00266C3C" w:rsidP="00F82009">
      <w:pPr>
        <w:numPr>
          <w:ilvl w:val="0"/>
          <w:numId w:val="13"/>
        </w:numPr>
        <w:ind w:left="426" w:hanging="426"/>
        <w:jc w:val="both"/>
      </w:pPr>
      <w:r>
        <w:t xml:space="preserve">Tato </w:t>
      </w:r>
      <w:r w:rsidR="00CB63F8">
        <w:t>Smlou</w:t>
      </w:r>
      <w:r>
        <w:t xml:space="preserve">va </w:t>
      </w:r>
      <w:r w:rsidR="00D06BC1">
        <w:t xml:space="preserve">vstupuje v platnost a účinnost </w:t>
      </w:r>
      <w:r>
        <w:t>dnem jejího podpisu oběma smluvními stranami.</w:t>
      </w:r>
    </w:p>
    <w:p w:rsidR="00266C3C" w:rsidRPr="00F82009" w:rsidRDefault="00266C3C" w:rsidP="00321C2F">
      <w:pPr>
        <w:jc w:val="both"/>
      </w:pPr>
    </w:p>
    <w:p w:rsidR="00266C3C" w:rsidRPr="00F82009" w:rsidRDefault="00266C3C" w:rsidP="00321C2F">
      <w:pPr>
        <w:jc w:val="both"/>
      </w:pPr>
    </w:p>
    <w:p w:rsidR="00266C3C" w:rsidRDefault="00266C3C" w:rsidP="00321C2F">
      <w:pPr>
        <w:jc w:val="both"/>
      </w:pPr>
      <w:r>
        <w:t>V</w:t>
      </w:r>
      <w:r w:rsidR="00024B4D">
        <w:t>e Valdicích</w:t>
      </w:r>
      <w:r>
        <w:t xml:space="preserve"> dne </w:t>
      </w:r>
      <w:r>
        <w:tab/>
      </w:r>
      <w:r>
        <w:tab/>
      </w:r>
      <w:r>
        <w:tab/>
      </w:r>
      <w:r>
        <w:tab/>
      </w:r>
      <w:r>
        <w:tab/>
      </w:r>
      <w:r w:rsidR="00464E61">
        <w:t xml:space="preserve"> </w:t>
      </w:r>
      <w:r>
        <w:t>V</w:t>
      </w:r>
      <w:r w:rsidR="000D4296">
        <w:t xml:space="preserve"> </w:t>
      </w:r>
      <w:r w:rsidR="000D4296" w:rsidRPr="000D4296">
        <w:t>Česticích</w:t>
      </w:r>
      <w:r w:rsidRPr="000D4296">
        <w:t xml:space="preserve"> dne</w:t>
      </w:r>
      <w:r w:rsidR="00464E61">
        <w:t xml:space="preserve"> </w:t>
      </w:r>
      <w:proofErr w:type="gramStart"/>
      <w:r w:rsidR="00464E61">
        <w:t>20</w:t>
      </w:r>
      <w:r w:rsidR="000D4296" w:rsidRPr="000D4296">
        <w:t>.</w:t>
      </w:r>
      <w:r w:rsidR="00464E61">
        <w:t>3</w:t>
      </w:r>
      <w:r w:rsidR="000D4296" w:rsidRPr="000D4296">
        <w:t>.2017</w:t>
      </w:r>
      <w:proofErr w:type="gramEnd"/>
    </w:p>
    <w:p w:rsidR="00266C3C" w:rsidRDefault="00266C3C" w:rsidP="00321C2F">
      <w:pPr>
        <w:jc w:val="both"/>
      </w:pPr>
    </w:p>
    <w:p w:rsidR="00266C3C" w:rsidRDefault="00266C3C" w:rsidP="00321C2F">
      <w:pPr>
        <w:jc w:val="both"/>
      </w:pPr>
    </w:p>
    <w:p w:rsidR="00266C3C" w:rsidRDefault="00266C3C" w:rsidP="00321C2F">
      <w:pPr>
        <w:jc w:val="both"/>
      </w:pPr>
    </w:p>
    <w:p w:rsidR="00321C2F" w:rsidRDefault="00266C3C" w:rsidP="00321C2F">
      <w:pPr>
        <w:tabs>
          <w:tab w:val="left" w:pos="5103"/>
        </w:tabs>
        <w:jc w:val="both"/>
      </w:pPr>
      <w:r>
        <w:t>Za objednatele:</w:t>
      </w:r>
      <w:r w:rsidR="00321C2F">
        <w:tab/>
        <w:t>Za zhotovitele:</w:t>
      </w:r>
    </w:p>
    <w:p w:rsidR="00321C2F" w:rsidRDefault="00321C2F" w:rsidP="00321C2F">
      <w:pPr>
        <w:jc w:val="both"/>
      </w:pPr>
    </w:p>
    <w:p w:rsidR="00321C2F" w:rsidRDefault="00321C2F" w:rsidP="00321C2F">
      <w:pPr>
        <w:jc w:val="both"/>
      </w:pPr>
      <w:r>
        <w:tab/>
      </w:r>
    </w:p>
    <w:p w:rsidR="00321C2F" w:rsidRDefault="00321C2F" w:rsidP="00321C2F">
      <w:pPr>
        <w:tabs>
          <w:tab w:val="center" w:pos="1701"/>
          <w:tab w:val="center" w:pos="7088"/>
        </w:tabs>
        <w:jc w:val="both"/>
      </w:pPr>
      <w:r>
        <w:t>………………………………………</w:t>
      </w:r>
      <w:r>
        <w:tab/>
      </w:r>
      <w:r w:rsidRPr="000D4296">
        <w:t>………………………………………</w:t>
      </w:r>
    </w:p>
    <w:p w:rsidR="000D4296" w:rsidRDefault="00321C2F" w:rsidP="00321C2F">
      <w:pPr>
        <w:tabs>
          <w:tab w:val="center" w:pos="1701"/>
          <w:tab w:val="center" w:pos="7088"/>
        </w:tabs>
        <w:jc w:val="both"/>
      </w:pPr>
      <w:r>
        <w:tab/>
      </w:r>
      <w:r w:rsidR="00024B4D">
        <w:t>Vrchní rada</w:t>
      </w:r>
      <w:r>
        <w:tab/>
      </w:r>
      <w:r w:rsidR="000D4296">
        <w:t>Ludmila Myšáková</w:t>
      </w:r>
    </w:p>
    <w:p w:rsidR="00266C3C" w:rsidRDefault="00321C2F" w:rsidP="00321C2F">
      <w:pPr>
        <w:tabs>
          <w:tab w:val="center" w:pos="1701"/>
          <w:tab w:val="center" w:pos="7088"/>
        </w:tabs>
        <w:jc w:val="both"/>
      </w:pPr>
      <w:r>
        <w:tab/>
      </w:r>
      <w:r w:rsidR="00024B4D">
        <w:t>plk. Mgr. Jiří Mach</w:t>
      </w:r>
      <w:r>
        <w:tab/>
      </w:r>
      <w:r w:rsidR="000D4296">
        <w:t>jednatelka společnosti</w:t>
      </w:r>
    </w:p>
    <w:p w:rsidR="00CC1709" w:rsidRDefault="00321C2F" w:rsidP="00321C2F">
      <w:pPr>
        <w:tabs>
          <w:tab w:val="center" w:pos="1701"/>
          <w:tab w:val="center" w:pos="7088"/>
        </w:tabs>
        <w:jc w:val="both"/>
      </w:pPr>
      <w:r>
        <w:tab/>
      </w:r>
      <w:r w:rsidR="00024B4D">
        <w:t>ředitel věznice Valdice</w:t>
      </w:r>
      <w:r>
        <w:tab/>
      </w:r>
    </w:p>
    <w:sectPr w:rsidR="00CC1709" w:rsidSect="00333ED2">
      <w:footerReference w:type="default" r:id="rId9"/>
      <w:pgSz w:w="11906" w:h="16838"/>
      <w:pgMar w:top="1417" w:right="1417" w:bottom="993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4E" w:rsidRDefault="000C7F4E" w:rsidP="00333ED2">
      <w:r>
        <w:separator/>
      </w:r>
    </w:p>
  </w:endnote>
  <w:endnote w:type="continuationSeparator" w:id="0">
    <w:p w:rsidR="000C7F4E" w:rsidRDefault="000C7F4E" w:rsidP="003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070300"/>
      <w:docPartObj>
        <w:docPartGallery w:val="Page Numbers (Bottom of Page)"/>
        <w:docPartUnique/>
      </w:docPartObj>
    </w:sdtPr>
    <w:sdtEndPr/>
    <w:sdtContent>
      <w:p w:rsidR="000C7F4E" w:rsidRDefault="000C7F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77">
          <w:rPr>
            <w:noProof/>
          </w:rPr>
          <w:t>7</w:t>
        </w:r>
        <w:r>
          <w:fldChar w:fldCharType="end"/>
        </w:r>
      </w:p>
    </w:sdtContent>
  </w:sdt>
  <w:p w:rsidR="000C7F4E" w:rsidRDefault="000C7F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4E" w:rsidRDefault="000C7F4E" w:rsidP="00333ED2">
      <w:r>
        <w:separator/>
      </w:r>
    </w:p>
  </w:footnote>
  <w:footnote w:type="continuationSeparator" w:id="0">
    <w:p w:rsidR="000C7F4E" w:rsidRDefault="000C7F4E" w:rsidP="003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43B"/>
    <w:multiLevelType w:val="hybridMultilevel"/>
    <w:tmpl w:val="86C6BC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B0A5F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4178"/>
    <w:multiLevelType w:val="hybridMultilevel"/>
    <w:tmpl w:val="C6AEA9F4"/>
    <w:lvl w:ilvl="0" w:tplc="0405000F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0A37140E"/>
    <w:multiLevelType w:val="hybridMultilevel"/>
    <w:tmpl w:val="0496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14299"/>
    <w:multiLevelType w:val="multilevel"/>
    <w:tmpl w:val="918C50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11E95B4B"/>
    <w:multiLevelType w:val="hybridMultilevel"/>
    <w:tmpl w:val="3DC87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23A0A"/>
    <w:multiLevelType w:val="hybridMultilevel"/>
    <w:tmpl w:val="ABC06A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D4856"/>
    <w:multiLevelType w:val="multilevel"/>
    <w:tmpl w:val="69F2D6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AB25F5E"/>
    <w:multiLevelType w:val="hybridMultilevel"/>
    <w:tmpl w:val="04EAD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56DEF"/>
    <w:multiLevelType w:val="hybridMultilevel"/>
    <w:tmpl w:val="174E694E"/>
    <w:lvl w:ilvl="0" w:tplc="04050011">
      <w:start w:val="1"/>
      <w:numFmt w:val="decimal"/>
      <w:lvlText w:val="%1)"/>
      <w:lvlJc w:val="left"/>
      <w:pPr>
        <w:ind w:left="788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1E915000"/>
    <w:multiLevelType w:val="hybridMultilevel"/>
    <w:tmpl w:val="EE84F908"/>
    <w:lvl w:ilvl="0" w:tplc="173496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ECD56AA"/>
    <w:multiLevelType w:val="hybridMultilevel"/>
    <w:tmpl w:val="94B42FC0"/>
    <w:lvl w:ilvl="0" w:tplc="BF28FD0E">
      <w:start w:val="4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07A25F6"/>
    <w:multiLevelType w:val="hybridMultilevel"/>
    <w:tmpl w:val="F0F45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D0409"/>
    <w:multiLevelType w:val="hybridMultilevel"/>
    <w:tmpl w:val="1114A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02EFD"/>
    <w:multiLevelType w:val="hybridMultilevel"/>
    <w:tmpl w:val="B5DEA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94C"/>
    <w:multiLevelType w:val="hybridMultilevel"/>
    <w:tmpl w:val="A8787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76EB5"/>
    <w:multiLevelType w:val="hybridMultilevel"/>
    <w:tmpl w:val="A550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F24D0"/>
    <w:multiLevelType w:val="hybridMultilevel"/>
    <w:tmpl w:val="B9DCD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A7475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32335"/>
    <w:multiLevelType w:val="hybridMultilevel"/>
    <w:tmpl w:val="C7CC615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73FEA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F411E"/>
    <w:multiLevelType w:val="hybridMultilevel"/>
    <w:tmpl w:val="D09C8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47D36"/>
    <w:multiLevelType w:val="hybridMultilevel"/>
    <w:tmpl w:val="7B107E24"/>
    <w:lvl w:ilvl="0" w:tplc="B60455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E5686"/>
    <w:multiLevelType w:val="hybridMultilevel"/>
    <w:tmpl w:val="4E8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E17DF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76702"/>
    <w:multiLevelType w:val="hybridMultilevel"/>
    <w:tmpl w:val="2FCE3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A3621"/>
    <w:multiLevelType w:val="hybridMultilevel"/>
    <w:tmpl w:val="96CED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D011A"/>
    <w:multiLevelType w:val="hybridMultilevel"/>
    <w:tmpl w:val="856AC100"/>
    <w:lvl w:ilvl="0" w:tplc="AC7A46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B3C3D"/>
    <w:multiLevelType w:val="hybridMultilevel"/>
    <w:tmpl w:val="0CC404E0"/>
    <w:lvl w:ilvl="0" w:tplc="50FA14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21"/>
  </w:num>
  <w:num w:numId="11">
    <w:abstractNumId w:val="5"/>
  </w:num>
  <w:num w:numId="12">
    <w:abstractNumId w:val="14"/>
  </w:num>
  <w:num w:numId="13">
    <w:abstractNumId w:val="13"/>
  </w:num>
  <w:num w:numId="14">
    <w:abstractNumId w:val="28"/>
  </w:num>
  <w:num w:numId="15">
    <w:abstractNumId w:val="17"/>
  </w:num>
  <w:num w:numId="16">
    <w:abstractNumId w:val="3"/>
  </w:num>
  <w:num w:numId="17">
    <w:abstractNumId w:val="25"/>
  </w:num>
  <w:num w:numId="18">
    <w:abstractNumId w:val="26"/>
  </w:num>
  <w:num w:numId="19">
    <w:abstractNumId w:val="16"/>
  </w:num>
  <w:num w:numId="20">
    <w:abstractNumId w:val="23"/>
  </w:num>
  <w:num w:numId="21">
    <w:abstractNumId w:val="15"/>
  </w:num>
  <w:num w:numId="22">
    <w:abstractNumId w:val="22"/>
  </w:num>
  <w:num w:numId="23">
    <w:abstractNumId w:val="18"/>
  </w:num>
  <w:num w:numId="24">
    <w:abstractNumId w:val="12"/>
  </w:num>
  <w:num w:numId="25">
    <w:abstractNumId w:val="19"/>
  </w:num>
  <w:num w:numId="26">
    <w:abstractNumId w:val="20"/>
  </w:num>
  <w:num w:numId="27">
    <w:abstractNumId w:val="9"/>
  </w:num>
  <w:num w:numId="28">
    <w:abstractNumId w:val="2"/>
  </w:num>
  <w:num w:numId="29">
    <w:abstractNumId w:val="27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3C"/>
    <w:rsid w:val="0000745F"/>
    <w:rsid w:val="00024B4D"/>
    <w:rsid w:val="000274FF"/>
    <w:rsid w:val="00031734"/>
    <w:rsid w:val="000547A1"/>
    <w:rsid w:val="00054BCC"/>
    <w:rsid w:val="000770FD"/>
    <w:rsid w:val="000819DF"/>
    <w:rsid w:val="00093781"/>
    <w:rsid w:val="000B2181"/>
    <w:rsid w:val="000C7F4E"/>
    <w:rsid w:val="000D4296"/>
    <w:rsid w:val="000D5969"/>
    <w:rsid w:val="000D69E8"/>
    <w:rsid w:val="00104C92"/>
    <w:rsid w:val="0011041D"/>
    <w:rsid w:val="00140280"/>
    <w:rsid w:val="00140C36"/>
    <w:rsid w:val="0015481D"/>
    <w:rsid w:val="001627B0"/>
    <w:rsid w:val="00166BEE"/>
    <w:rsid w:val="0017781B"/>
    <w:rsid w:val="001A24DD"/>
    <w:rsid w:val="001C4219"/>
    <w:rsid w:val="001E03F1"/>
    <w:rsid w:val="00247095"/>
    <w:rsid w:val="002606E5"/>
    <w:rsid w:val="00266C3C"/>
    <w:rsid w:val="002764A4"/>
    <w:rsid w:val="00282FA0"/>
    <w:rsid w:val="00283C41"/>
    <w:rsid w:val="002A35F1"/>
    <w:rsid w:val="002E6522"/>
    <w:rsid w:val="00321C2F"/>
    <w:rsid w:val="00333ED2"/>
    <w:rsid w:val="003407BD"/>
    <w:rsid w:val="00357CC1"/>
    <w:rsid w:val="003655D9"/>
    <w:rsid w:val="003810C0"/>
    <w:rsid w:val="00397FD8"/>
    <w:rsid w:val="003A3B44"/>
    <w:rsid w:val="003A5BFF"/>
    <w:rsid w:val="003A71AA"/>
    <w:rsid w:val="003C4BD3"/>
    <w:rsid w:val="003C56AA"/>
    <w:rsid w:val="004411E5"/>
    <w:rsid w:val="00464E61"/>
    <w:rsid w:val="00486E01"/>
    <w:rsid w:val="004907A1"/>
    <w:rsid w:val="004A0EDD"/>
    <w:rsid w:val="004D4F8D"/>
    <w:rsid w:val="004E39E2"/>
    <w:rsid w:val="004F49FA"/>
    <w:rsid w:val="0050603F"/>
    <w:rsid w:val="00517CC0"/>
    <w:rsid w:val="005233F1"/>
    <w:rsid w:val="005311C5"/>
    <w:rsid w:val="005464F9"/>
    <w:rsid w:val="00575784"/>
    <w:rsid w:val="0058560D"/>
    <w:rsid w:val="00592919"/>
    <w:rsid w:val="005C7BAA"/>
    <w:rsid w:val="005D7B66"/>
    <w:rsid w:val="005E10C8"/>
    <w:rsid w:val="005F00F3"/>
    <w:rsid w:val="005F4A3B"/>
    <w:rsid w:val="00644711"/>
    <w:rsid w:val="00644B67"/>
    <w:rsid w:val="00673A83"/>
    <w:rsid w:val="006B7A3A"/>
    <w:rsid w:val="006C768C"/>
    <w:rsid w:val="00747469"/>
    <w:rsid w:val="00793FAA"/>
    <w:rsid w:val="007E12BB"/>
    <w:rsid w:val="007F0F8B"/>
    <w:rsid w:val="007F3DED"/>
    <w:rsid w:val="00800B6C"/>
    <w:rsid w:val="00806EF5"/>
    <w:rsid w:val="008147D4"/>
    <w:rsid w:val="00820B87"/>
    <w:rsid w:val="00834A34"/>
    <w:rsid w:val="00850B2D"/>
    <w:rsid w:val="00855997"/>
    <w:rsid w:val="00872F51"/>
    <w:rsid w:val="00896466"/>
    <w:rsid w:val="008A2E41"/>
    <w:rsid w:val="008A63C4"/>
    <w:rsid w:val="0090680A"/>
    <w:rsid w:val="009079D0"/>
    <w:rsid w:val="009462C0"/>
    <w:rsid w:val="00953224"/>
    <w:rsid w:val="00955DFF"/>
    <w:rsid w:val="00971BA6"/>
    <w:rsid w:val="009815AB"/>
    <w:rsid w:val="009A77EC"/>
    <w:rsid w:val="009B0163"/>
    <w:rsid w:val="009C539F"/>
    <w:rsid w:val="00A241EF"/>
    <w:rsid w:val="00A35DFC"/>
    <w:rsid w:val="00A36916"/>
    <w:rsid w:val="00A44C9D"/>
    <w:rsid w:val="00A52E42"/>
    <w:rsid w:val="00A5354D"/>
    <w:rsid w:val="00A91D87"/>
    <w:rsid w:val="00A97492"/>
    <w:rsid w:val="00AA347F"/>
    <w:rsid w:val="00AB6988"/>
    <w:rsid w:val="00AF453A"/>
    <w:rsid w:val="00B1373C"/>
    <w:rsid w:val="00B2328D"/>
    <w:rsid w:val="00B8126E"/>
    <w:rsid w:val="00BA2271"/>
    <w:rsid w:val="00BA6558"/>
    <w:rsid w:val="00BF364B"/>
    <w:rsid w:val="00BF3F9D"/>
    <w:rsid w:val="00C12BDB"/>
    <w:rsid w:val="00C337AB"/>
    <w:rsid w:val="00C55485"/>
    <w:rsid w:val="00C57BD1"/>
    <w:rsid w:val="00CB63F8"/>
    <w:rsid w:val="00CC1709"/>
    <w:rsid w:val="00CE045A"/>
    <w:rsid w:val="00D06BC1"/>
    <w:rsid w:val="00D06F47"/>
    <w:rsid w:val="00D075B8"/>
    <w:rsid w:val="00D07F27"/>
    <w:rsid w:val="00D12070"/>
    <w:rsid w:val="00D30184"/>
    <w:rsid w:val="00D30F75"/>
    <w:rsid w:val="00D40AB9"/>
    <w:rsid w:val="00D51AB9"/>
    <w:rsid w:val="00D55CCA"/>
    <w:rsid w:val="00D77BC9"/>
    <w:rsid w:val="00E23F77"/>
    <w:rsid w:val="00E5325C"/>
    <w:rsid w:val="00E739BA"/>
    <w:rsid w:val="00E770E9"/>
    <w:rsid w:val="00E95AAF"/>
    <w:rsid w:val="00EB6348"/>
    <w:rsid w:val="00ED0A33"/>
    <w:rsid w:val="00F82009"/>
    <w:rsid w:val="00FB5E4A"/>
    <w:rsid w:val="00FC0D83"/>
    <w:rsid w:val="00FC1D13"/>
    <w:rsid w:val="00FD51AD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E045A"/>
    <w:rPr>
      <w:sz w:val="24"/>
      <w:szCs w:val="24"/>
    </w:rPr>
  </w:style>
  <w:style w:type="paragraph" w:styleId="Zhlav">
    <w:name w:val="header"/>
    <w:basedOn w:val="Normln"/>
    <w:link w:val="ZhlavChar"/>
    <w:rsid w:val="00333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3E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33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E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CE045A"/>
    <w:rPr>
      <w:sz w:val="24"/>
      <w:szCs w:val="24"/>
    </w:rPr>
  </w:style>
  <w:style w:type="paragraph" w:styleId="Zhlav">
    <w:name w:val="header"/>
    <w:basedOn w:val="Normln"/>
    <w:link w:val="ZhlavChar"/>
    <w:rsid w:val="00333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3E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33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8C30-BF4C-470C-955D-AC1B09A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2341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Kaska Miloš ing.</cp:lastModifiedBy>
  <cp:revision>5</cp:revision>
  <cp:lastPrinted>2017-03-30T06:56:00Z</cp:lastPrinted>
  <dcterms:created xsi:type="dcterms:W3CDTF">2017-03-22T12:43:00Z</dcterms:created>
  <dcterms:modified xsi:type="dcterms:W3CDTF">2017-06-30T11:15:00Z</dcterms:modified>
</cp:coreProperties>
</file>