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A4" w:rsidRDefault="002C0083" w:rsidP="002C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DÍLO</w:t>
      </w:r>
      <w:r w:rsidR="008C6563">
        <w:rPr>
          <w:rFonts w:ascii="Times New Roman" w:hAnsi="Times New Roman" w:cs="Times New Roman"/>
          <w:b/>
          <w:sz w:val="28"/>
          <w:szCs w:val="28"/>
        </w:rPr>
        <w:t xml:space="preserve"> Č. II- </w:t>
      </w:r>
      <w:r w:rsidR="001A6B9A">
        <w:rPr>
          <w:rFonts w:ascii="Times New Roman" w:hAnsi="Times New Roman" w:cs="Times New Roman"/>
          <w:b/>
          <w:sz w:val="28"/>
          <w:szCs w:val="28"/>
        </w:rPr>
        <w:t>214</w:t>
      </w:r>
      <w:r w:rsidR="0058106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C0083" w:rsidRDefault="002C0083" w:rsidP="002C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§ 2586 a násl. zákona č. 89/2012 Sb., občanský zákoník</w:t>
      </w:r>
      <w:r w:rsidR="00C84302"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strany</w:t>
      </w:r>
    </w:p>
    <w:p w:rsidR="00427F47" w:rsidRDefault="00427F47" w:rsidP="0042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města Brna, příspěvková organizace</w:t>
      </w:r>
      <w:r>
        <w:rPr>
          <w:rFonts w:ascii="Times New Roman" w:hAnsi="Times New Roman" w:cs="Times New Roman"/>
          <w:sz w:val="24"/>
          <w:szCs w:val="24"/>
        </w:rPr>
        <w:br/>
        <w:t>se sídlem: Špilberk 210/1, 662 24 Brno</w:t>
      </w:r>
      <w:r>
        <w:rPr>
          <w:rFonts w:ascii="Times New Roman" w:hAnsi="Times New Roman" w:cs="Times New Roman"/>
          <w:sz w:val="24"/>
          <w:szCs w:val="24"/>
        </w:rPr>
        <w:br/>
        <w:t>IČ: 00101427</w:t>
      </w:r>
      <w:r>
        <w:rPr>
          <w:rFonts w:ascii="Times New Roman" w:hAnsi="Times New Roman" w:cs="Times New Roman"/>
          <w:sz w:val="24"/>
          <w:szCs w:val="24"/>
        </w:rPr>
        <w:br/>
        <w:t>DIČ: CZ00101427</w:t>
      </w:r>
      <w:r>
        <w:rPr>
          <w:rFonts w:ascii="Times New Roman" w:hAnsi="Times New Roman" w:cs="Times New Roman"/>
          <w:sz w:val="24"/>
          <w:szCs w:val="24"/>
        </w:rPr>
        <w:br/>
        <w:t xml:space="preserve">zapsaná v obchodním rejstříku vedeném Krajským soudem v Brně, 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., vložka 34</w:t>
      </w:r>
      <w:r>
        <w:rPr>
          <w:rFonts w:ascii="Times New Roman" w:hAnsi="Times New Roman" w:cs="Times New Roman"/>
          <w:sz w:val="24"/>
          <w:szCs w:val="24"/>
        </w:rPr>
        <w:br/>
        <w:t xml:space="preserve">bankovní spojení: </w:t>
      </w:r>
      <w:proofErr w:type="spellStart"/>
      <w:r w:rsidR="00CB587E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zastoupená PhDr. Pavlem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7F47" w:rsidRDefault="007A388B" w:rsidP="0042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81065" w:rsidRDefault="00581065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sz w:val="24"/>
        </w:rPr>
      </w:pPr>
      <w:r>
        <w:rPr>
          <w:sz w:val="24"/>
        </w:rPr>
        <w:t>David Židlický</w:t>
      </w:r>
    </w:p>
    <w:p w:rsidR="00581065" w:rsidRDefault="00581065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</w:rPr>
      </w:pPr>
      <w:r>
        <w:rPr>
          <w:sz w:val="24"/>
        </w:rPr>
        <w:t xml:space="preserve">se sídlem: </w:t>
      </w:r>
      <w:proofErr w:type="spellStart"/>
      <w:r w:rsidR="00CB587E">
        <w:rPr>
          <w:sz w:val="24"/>
        </w:rPr>
        <w:t>xxx</w:t>
      </w:r>
      <w:proofErr w:type="spellEnd"/>
    </w:p>
    <w:p w:rsidR="00581065" w:rsidRDefault="00581065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</w:rPr>
      </w:pPr>
      <w:r>
        <w:rPr>
          <w:sz w:val="24"/>
        </w:rPr>
        <w:t>IČ: 62097261; DIČ: CZ 7611203853</w:t>
      </w:r>
    </w:p>
    <w:p w:rsidR="00581065" w:rsidRDefault="00581065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1701"/>
        <w:jc w:val="both"/>
        <w:rPr>
          <w:sz w:val="24"/>
        </w:rPr>
      </w:pPr>
      <w:r>
        <w:rPr>
          <w:sz w:val="24"/>
        </w:rPr>
        <w:t>fyzická osoba podnikající dle živnostenského zákona nezapsaná v obchodním rejstříku</w:t>
      </w:r>
      <w:r>
        <w:rPr>
          <w:sz w:val="24"/>
        </w:rPr>
        <w:tab/>
      </w:r>
    </w:p>
    <w:p w:rsidR="00581065" w:rsidRDefault="00581065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</w:rPr>
      </w:pPr>
      <w:r>
        <w:rPr>
          <w:sz w:val="24"/>
        </w:rPr>
        <w:t xml:space="preserve">bankovní spojení: </w:t>
      </w:r>
      <w:r w:rsidR="00CB587E">
        <w:rPr>
          <w:sz w:val="24"/>
        </w:rPr>
        <w:t>xxx</w:t>
      </w:r>
      <w:bookmarkStart w:id="0" w:name="_GoBack"/>
      <w:bookmarkEnd w:id="0"/>
    </w:p>
    <w:p w:rsidR="003B3B51" w:rsidRPr="003B3B51" w:rsidRDefault="003B3B51" w:rsidP="0058106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zhotovitel</w:t>
      </w:r>
      <w:r>
        <w:rPr>
          <w:sz w:val="24"/>
        </w:rPr>
        <w:t>)</w:t>
      </w:r>
    </w:p>
    <w:p w:rsidR="00581065" w:rsidRDefault="00581065" w:rsidP="00427F47">
      <w:pPr>
        <w:rPr>
          <w:rFonts w:ascii="Times New Roman" w:hAnsi="Times New Roman" w:cs="Times New Roman"/>
          <w:sz w:val="24"/>
          <w:szCs w:val="24"/>
        </w:rPr>
      </w:pP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:rsidR="003B3B51" w:rsidRDefault="00AB5219" w:rsidP="003B3B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 w:rsidR="00581065">
        <w:rPr>
          <w:rFonts w:ascii="Times New Roman" w:hAnsi="Times New Roman" w:cs="Times New Roman"/>
          <w:sz w:val="24"/>
          <w:szCs w:val="24"/>
        </w:rPr>
        <w:t xml:space="preserve">předtisková příprava a tiskové práce </w:t>
      </w:r>
      <w:r w:rsidR="00ED5160">
        <w:rPr>
          <w:rFonts w:ascii="Times New Roman" w:hAnsi="Times New Roman" w:cs="Times New Roman"/>
          <w:sz w:val="24"/>
          <w:szCs w:val="24"/>
        </w:rPr>
        <w:t xml:space="preserve">reprezentativní publikace </w:t>
      </w:r>
      <w:r w:rsidR="003B3B51">
        <w:rPr>
          <w:rFonts w:ascii="Times New Roman" w:hAnsi="Times New Roman" w:cs="Times New Roman"/>
          <w:sz w:val="24"/>
          <w:szCs w:val="24"/>
        </w:rPr>
        <w:t>v</w:t>
      </w:r>
      <w:r w:rsidR="00ED5160">
        <w:rPr>
          <w:rFonts w:ascii="Times New Roman" w:hAnsi="Times New Roman" w:cs="Times New Roman"/>
          <w:sz w:val="24"/>
          <w:szCs w:val="24"/>
        </w:rPr>
        <w:t> českém a anglickém jazyce</w:t>
      </w:r>
      <w:r w:rsidR="00581065" w:rsidRPr="00581065">
        <w:rPr>
          <w:rFonts w:ascii="Times New Roman" w:hAnsi="Times New Roman" w:cs="Times New Roman"/>
          <w:sz w:val="24"/>
          <w:szCs w:val="24"/>
        </w:rPr>
        <w:t xml:space="preserve"> „ZAHRADA VILY TUGENDHAT / THE TUGENDHAT HOUSE´S GARDEN“, </w:t>
      </w:r>
      <w:r w:rsidR="00581065">
        <w:rPr>
          <w:rFonts w:ascii="Times New Roman" w:hAnsi="Times New Roman" w:cs="Times New Roman"/>
          <w:sz w:val="24"/>
          <w:szCs w:val="24"/>
        </w:rPr>
        <w:t>dále jen „dílo“</w:t>
      </w:r>
      <w:r w:rsidR="003B3B51">
        <w:rPr>
          <w:rFonts w:ascii="Times New Roman" w:hAnsi="Times New Roman" w:cs="Times New Roman"/>
          <w:sz w:val="24"/>
          <w:szCs w:val="24"/>
        </w:rPr>
        <w:t>.</w:t>
      </w:r>
    </w:p>
    <w:p w:rsidR="003B3B51" w:rsidRPr="003B3B51" w:rsidRDefault="003B3B51" w:rsidP="003B3B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Bližší specifikace díla: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Formát publikace 230 x 270 mm 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Vazba V4 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180 stran bloku + obálka 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Tisk - CMYK + P / CMYK + P obálka </w:t>
      </w:r>
      <w:proofErr w:type="spellStart"/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termoražba</w:t>
      </w:r>
      <w:proofErr w:type="spellEnd"/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Papír ArtSamt135g volumen, obálka 300g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Náklad 1500 kusů </w:t>
      </w:r>
    </w:p>
    <w:p w:rsidR="00ED5160" w:rsidRPr="00730269" w:rsidRDefault="00ED5160" w:rsidP="00ED5160">
      <w:pPr>
        <w:pStyle w:val="Body"/>
        <w:ind w:left="36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730269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Baleno po jednom kuse do folie. </w:t>
      </w:r>
    </w:p>
    <w:p w:rsidR="00ED5160" w:rsidRPr="00730269" w:rsidRDefault="00ED5160" w:rsidP="00ED5160">
      <w:pPr>
        <w:pStyle w:val="Body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:rsidR="0058391B" w:rsidRPr="0058391B" w:rsidRDefault="004C5C31" w:rsidP="00583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Dílo</w:t>
      </w:r>
      <w:r w:rsidR="007A5CD0">
        <w:rPr>
          <w:rFonts w:ascii="Times New Roman" w:hAnsi="Times New Roman" w:cs="Times New Roman"/>
          <w:b/>
          <w:sz w:val="24"/>
          <w:szCs w:val="24"/>
        </w:rPr>
        <w:br/>
      </w:r>
    </w:p>
    <w:p w:rsidR="004C5C31" w:rsidRDefault="000D40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provedení</w:t>
      </w:r>
      <w:r w:rsidR="003B3B51">
        <w:rPr>
          <w:rFonts w:ascii="Times New Roman" w:hAnsi="Times New Roman" w:cs="Times New Roman"/>
          <w:sz w:val="24"/>
          <w:szCs w:val="24"/>
        </w:rPr>
        <w:t xml:space="preserve"> a dodání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D0" w:rsidRPr="007A5CD0">
        <w:rPr>
          <w:rFonts w:ascii="Times New Roman" w:hAnsi="Times New Roman" w:cs="Times New Roman"/>
          <w:sz w:val="24"/>
          <w:szCs w:val="24"/>
        </w:rPr>
        <w:t xml:space="preserve">díla </w:t>
      </w:r>
      <w:r w:rsidR="00B332B1">
        <w:rPr>
          <w:rFonts w:ascii="Times New Roman" w:hAnsi="Times New Roman" w:cs="Times New Roman"/>
          <w:sz w:val="24"/>
          <w:szCs w:val="24"/>
        </w:rPr>
        <w:t>je nejpozději do 29. 12. 2017.</w:t>
      </w:r>
    </w:p>
    <w:p w:rsidR="003927B4" w:rsidRPr="003927B4" w:rsidRDefault="007A5CD0" w:rsidP="003927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212">
        <w:rPr>
          <w:rFonts w:ascii="Times New Roman" w:hAnsi="Times New Roman" w:cs="Times New Roman"/>
          <w:sz w:val="24"/>
          <w:szCs w:val="24"/>
        </w:rPr>
        <w:lastRenderedPageBreak/>
        <w:t xml:space="preserve">Místem </w:t>
      </w:r>
      <w:r w:rsidR="003B3B51">
        <w:rPr>
          <w:rFonts w:ascii="Times New Roman" w:hAnsi="Times New Roman" w:cs="Times New Roman"/>
          <w:sz w:val="24"/>
          <w:szCs w:val="24"/>
        </w:rPr>
        <w:t xml:space="preserve">dodání </w:t>
      </w:r>
      <w:r w:rsidRPr="00871212">
        <w:rPr>
          <w:rFonts w:ascii="Times New Roman" w:hAnsi="Times New Roman" w:cs="Times New Roman"/>
          <w:sz w:val="24"/>
          <w:szCs w:val="24"/>
        </w:rPr>
        <w:t xml:space="preserve">díla je </w:t>
      </w:r>
      <w:r w:rsidR="00871212" w:rsidRPr="00871212">
        <w:rPr>
          <w:rFonts w:ascii="Times New Roman" w:hAnsi="Times New Roman" w:cs="Times New Roman"/>
          <w:sz w:val="24"/>
          <w:szCs w:val="24"/>
        </w:rPr>
        <w:t xml:space="preserve">NKP Vila </w:t>
      </w:r>
      <w:proofErr w:type="spellStart"/>
      <w:r w:rsidR="00871212" w:rsidRPr="00871212">
        <w:rPr>
          <w:rFonts w:ascii="Times New Roman" w:hAnsi="Times New Roman" w:cs="Times New Roman"/>
          <w:sz w:val="24"/>
          <w:szCs w:val="24"/>
        </w:rPr>
        <w:t>Tugendhat</w:t>
      </w:r>
      <w:proofErr w:type="spellEnd"/>
      <w:r w:rsidR="00871212" w:rsidRPr="00871212">
        <w:rPr>
          <w:rFonts w:ascii="Times New Roman" w:hAnsi="Times New Roman" w:cs="Times New Roman"/>
          <w:sz w:val="24"/>
          <w:szCs w:val="24"/>
        </w:rPr>
        <w:t>, Černopolní 45, 613 00 B</w:t>
      </w:r>
      <w:r w:rsidR="000D40D0">
        <w:rPr>
          <w:rFonts w:ascii="Times New Roman" w:hAnsi="Times New Roman" w:cs="Times New Roman"/>
          <w:sz w:val="24"/>
          <w:szCs w:val="24"/>
        </w:rPr>
        <w:t>rno</w:t>
      </w:r>
      <w:r w:rsidR="00B332B1">
        <w:rPr>
          <w:rFonts w:ascii="Times New Roman" w:hAnsi="Times New Roman" w:cs="Times New Roman"/>
          <w:sz w:val="24"/>
          <w:szCs w:val="24"/>
        </w:rPr>
        <w:t>. Dílo bude předáno pověřené</w:t>
      </w:r>
      <w:r w:rsidR="007901AC">
        <w:rPr>
          <w:rFonts w:ascii="Times New Roman" w:hAnsi="Times New Roman" w:cs="Times New Roman"/>
          <w:sz w:val="24"/>
          <w:szCs w:val="24"/>
        </w:rPr>
        <w:t xml:space="preserve"> osobě </w:t>
      </w:r>
      <w:r w:rsidR="00B332B1">
        <w:rPr>
          <w:rFonts w:ascii="Times New Roman" w:hAnsi="Times New Roman" w:cs="Times New Roman"/>
          <w:sz w:val="24"/>
          <w:szCs w:val="24"/>
        </w:rPr>
        <w:t>objednatele, Ing. arch. Ivetě Černé, na základě písemného předávacího protokolu. Protokol bude obsahovat celkový počet předaných a převzatých publikací a bude potvrzen jak objednatelem, tak zhotovitelem.</w:t>
      </w:r>
    </w:p>
    <w:p w:rsidR="007A5CD0" w:rsidRPr="00871212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1212">
        <w:rPr>
          <w:rFonts w:ascii="Times New Roman" w:hAnsi="Times New Roman" w:cs="Times New Roman"/>
          <w:sz w:val="24"/>
          <w:szCs w:val="24"/>
        </w:rPr>
        <w:t xml:space="preserve">Zhotovitel prohlašuje, že dílo provede ve výše uvedeném termínu, řádně a kvalitně, na své nebezpečí, za níže uvedenou cenu a v souladu se zadávacími podmínkami objednatele. 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disponuje odbornými znalostmi, které jsou k provedení díla nezbytné.</w:t>
      </w:r>
    </w:p>
    <w:p w:rsidR="007A5CD0" w:rsidRPr="00196284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poskytnout zhotoviteli nezbytnou součinnost nutnou k provedení díla.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průběžně kontrolovat provádění díla sám nebo prostřednictvím jím pověřené osoby (dále jen „pověřená osoba“).</w:t>
      </w:r>
    </w:p>
    <w:p w:rsidR="00BB7502" w:rsidRDefault="003052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</w:t>
      </w:r>
      <w:r w:rsidR="007F09C2">
        <w:rPr>
          <w:rFonts w:ascii="Times New Roman" w:hAnsi="Times New Roman" w:cs="Times New Roman"/>
          <w:sz w:val="24"/>
          <w:szCs w:val="24"/>
        </w:rPr>
        <w:t xml:space="preserve"> odmítnout dílo převzít, pokud vykazuje vady. Odmítne-li objednatel dílo z tohoto důvodu převzít, stanoví zhotoviteli lhůtu, v níž má vady odstranit.</w:t>
      </w:r>
      <w:r w:rsidR="006710AE">
        <w:rPr>
          <w:rFonts w:ascii="Times New Roman" w:hAnsi="Times New Roman" w:cs="Times New Roman"/>
          <w:sz w:val="24"/>
          <w:szCs w:val="24"/>
        </w:rPr>
        <w:t xml:space="preserve"> Nebudou-li vady v této lhůtě odstraněny, má objednatel právo od smlouvy odstoupit.</w:t>
      </w:r>
    </w:p>
    <w:p w:rsidR="00A83D16" w:rsidRPr="007A5CD0" w:rsidRDefault="00A83D16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dílo záruku za jakost v délce 12 měsíců. Zhotovitel neručí za škody vzniklé nesprávným užíváním nebo nesprávnou svépomocnou údržbou díla. </w:t>
      </w:r>
    </w:p>
    <w:p w:rsidR="00073B66" w:rsidRDefault="00073B66" w:rsidP="00073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871212" w:rsidRDefault="007A5CD0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provedení díla je dohodu </w:t>
      </w:r>
      <w:r w:rsidR="004F774B">
        <w:rPr>
          <w:rFonts w:ascii="Times New Roman" w:hAnsi="Times New Roman" w:cs="Times New Roman"/>
          <w:sz w:val="24"/>
          <w:szCs w:val="24"/>
        </w:rPr>
        <w:t xml:space="preserve">smluvních stran stanovena </w:t>
      </w:r>
      <w:r w:rsidR="00871212">
        <w:rPr>
          <w:rFonts w:ascii="Times New Roman" w:hAnsi="Times New Roman" w:cs="Times New Roman"/>
          <w:sz w:val="24"/>
          <w:szCs w:val="24"/>
        </w:rPr>
        <w:t>na:</w:t>
      </w:r>
    </w:p>
    <w:p w:rsidR="00DD3BA4" w:rsidRDefault="00DD3BA4" w:rsidP="00DD3BA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725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056"/>
        <w:gridCol w:w="1267"/>
        <w:gridCol w:w="1134"/>
        <w:gridCol w:w="1134"/>
        <w:gridCol w:w="1134"/>
      </w:tblGrid>
      <w:tr w:rsidR="00DD3BA4" w:rsidTr="00DD3BA4">
        <w:trPr>
          <w:trHeight w:val="490"/>
        </w:trPr>
        <w:tc>
          <w:tcPr>
            <w:tcW w:w="40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DD3BA4">
            <w:pPr>
              <w:pStyle w:val="Odstavecseseznamem"/>
              <w:tabs>
                <w:tab w:val="left" w:pos="709"/>
                <w:tab w:val="left" w:pos="1418"/>
                <w:tab w:val="left" w:pos="2127"/>
              </w:tabs>
              <w:ind w:left="360"/>
            </w:pPr>
            <w:r w:rsidRPr="00DD3BA4"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ČINNOST</w:t>
            </w:r>
          </w:p>
        </w:tc>
        <w:tc>
          <w:tcPr>
            <w:tcW w:w="12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KOMPLETNÍ ČÁSTKA BEZ DPH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DPH</w:t>
            </w:r>
          </w:p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  <w:r>
              <w:rPr>
                <w:sz w:val="18"/>
                <w:szCs w:val="18"/>
              </w:rPr>
              <w:t>KOMPLETNÍ ČÁSTKA S DPH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DPH výše</w:t>
            </w:r>
          </w:p>
        </w:tc>
      </w:tr>
      <w:tr w:rsidR="00DD3BA4" w:rsidTr="00DD3BA4">
        <w:trPr>
          <w:trHeight w:val="930"/>
        </w:trPr>
        <w:tc>
          <w:tcPr>
            <w:tcW w:w="40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Příprava pro tisk </w:t>
            </w:r>
          </w:p>
          <w:p w:rsidR="00DD3BA4" w:rsidRDefault="00DD3BA4" w:rsidP="000E4A25">
            <w:pPr>
              <w:pStyle w:val="FreeForm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i/>
                <w:iCs/>
                <w:sz w:val="18"/>
                <w:szCs w:val="18"/>
              </w:rPr>
              <w:t>Grafický návrh, úpravy obrazového materiálu, DTP, korektury, obrazová redakce a koncepce, fotografie</w:t>
            </w:r>
          </w:p>
        </w:tc>
        <w:tc>
          <w:tcPr>
            <w:tcW w:w="12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 xml:space="preserve">130 000,- </w:t>
            </w:r>
          </w:p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 xml:space="preserve">27 300,- 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157 300,-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21 %</w:t>
            </w:r>
          </w:p>
        </w:tc>
      </w:tr>
      <w:tr w:rsidR="00DD3BA4" w:rsidTr="00DD3BA4">
        <w:trPr>
          <w:trHeight w:val="665"/>
        </w:trPr>
        <w:tc>
          <w:tcPr>
            <w:tcW w:w="40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rPr>
                <w:rFonts w:ascii="Helvetica" w:eastAsia="Helvetica" w:hAnsi="Helvetica" w:cs="Helvetica"/>
                <w:b/>
                <w:bCs/>
                <w:color w:val="000000"/>
                <w:sz w:val="18"/>
                <w:szCs w:val="18"/>
                <w:u w:color="000000"/>
              </w:rPr>
            </w:pPr>
            <w:proofErr w:type="spellStart"/>
            <w: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Tiskov</w:t>
            </w:r>
            <w:proofErr w:type="spellEnd"/>
            <w: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  <w:lang w:val="fr-FR"/>
              </w:rPr>
              <w:t xml:space="preserve">é </w:t>
            </w:r>
            <w: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práce </w:t>
            </w:r>
          </w:p>
          <w:p w:rsidR="00DD3BA4" w:rsidRDefault="00DD3BA4" w:rsidP="00436B7E">
            <w:r>
              <w:rPr>
                <w:rFonts w:ascii="Helvetica" w:hAnsi="Helvetica" w:cs="Arial Unicode MS"/>
                <w:i/>
                <w:iCs/>
                <w:color w:val="000000"/>
                <w:sz w:val="18"/>
                <w:szCs w:val="18"/>
                <w:u w:color="000000"/>
              </w:rPr>
              <w:t>Tisk</w:t>
            </w:r>
            <w:r w:rsidR="007A388B">
              <w:rPr>
                <w:rFonts w:ascii="Helvetica" w:hAnsi="Helvetica" w:cs="Arial Unicode MS"/>
                <w:i/>
                <w:i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Helvetica" w:hAnsi="Helvetica" w:cs="Arial Unicode MS"/>
                <w:i/>
                <w:iCs/>
                <w:color w:val="000000"/>
                <w:sz w:val="18"/>
                <w:szCs w:val="18"/>
                <w:u w:color="000000"/>
              </w:rPr>
              <w:t>a dodání cel</w:t>
            </w:r>
            <w:r>
              <w:rPr>
                <w:rFonts w:ascii="Helvetica" w:hAnsi="Helvetica" w:cs="Arial Unicode MS"/>
                <w:i/>
                <w:iCs/>
                <w:color w:val="000000"/>
                <w:sz w:val="18"/>
                <w:szCs w:val="18"/>
                <w:u w:color="000000"/>
                <w:lang w:val="fr-FR"/>
              </w:rPr>
              <w:t>é</w:t>
            </w:r>
            <w:r>
              <w:rPr>
                <w:rFonts w:ascii="Helvetica" w:hAnsi="Helvetica" w:cs="Arial Unicode MS"/>
                <w:i/>
                <w:iCs/>
                <w:color w:val="000000"/>
                <w:sz w:val="18"/>
                <w:szCs w:val="18"/>
                <w:u w:color="000000"/>
              </w:rPr>
              <w:t>ho nákladu publikací, produkce a náhled tisku</w:t>
            </w:r>
          </w:p>
        </w:tc>
        <w:tc>
          <w:tcPr>
            <w:tcW w:w="12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 xml:space="preserve">240 000,- 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24 000,-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 xml:space="preserve">264 000,- 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10 %</w:t>
            </w:r>
          </w:p>
        </w:tc>
      </w:tr>
      <w:tr w:rsidR="00DD3BA4" w:rsidTr="00DD3BA4">
        <w:trPr>
          <w:trHeight w:val="490"/>
        </w:trPr>
        <w:tc>
          <w:tcPr>
            <w:tcW w:w="40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/>
        </w:tc>
        <w:tc>
          <w:tcPr>
            <w:tcW w:w="12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CENA BEZ DPH CELKEM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DPH CELKEM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</w:tabs>
              <w:jc w:val="center"/>
            </w:pPr>
            <w:r>
              <w:rPr>
                <w:rFonts w:ascii="Helvetica" w:hAnsi="Helvetica" w:cs="Arial Unicode MS"/>
                <w:color w:val="000000"/>
                <w:sz w:val="18"/>
                <w:szCs w:val="18"/>
                <w:u w:color="000000"/>
              </w:rPr>
              <w:t>CENA VČ DPH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A4" w:rsidRDefault="00DD3BA4" w:rsidP="000E4A25"/>
        </w:tc>
      </w:tr>
      <w:tr w:rsidR="00DD3BA4" w:rsidTr="00DD3BA4">
        <w:trPr>
          <w:trHeight w:val="300"/>
        </w:trPr>
        <w:tc>
          <w:tcPr>
            <w:tcW w:w="40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DD3BA4">
            <w:pPr>
              <w:pStyle w:val="FreeForm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one"/>
                <w:b/>
                <w:bCs/>
                <w:sz w:val="18"/>
                <w:szCs w:val="18"/>
                <w:lang w:val="de-DE"/>
              </w:rPr>
              <w:t xml:space="preserve">CELKEM </w:t>
            </w:r>
          </w:p>
        </w:tc>
        <w:tc>
          <w:tcPr>
            <w:tcW w:w="12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370 000,- Kč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jc w:val="center"/>
            </w:pPr>
            <w: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51 300,- Kč</w:t>
            </w:r>
          </w:p>
        </w:tc>
        <w:tc>
          <w:tcPr>
            <w:tcW w:w="11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BA4" w:rsidRDefault="00DD3BA4" w:rsidP="000E4A25">
            <w:pPr>
              <w:tabs>
                <w:tab w:val="left" w:pos="709"/>
              </w:tabs>
              <w:jc w:val="center"/>
            </w:pPr>
            <w: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421 300,- Kč</w:t>
            </w:r>
          </w:p>
        </w:tc>
        <w:tc>
          <w:tcPr>
            <w:tcW w:w="1134" w:type="dxa"/>
            <w:tcBorders>
              <w:top w:val="single" w:sz="8" w:space="0" w:color="FFFFFF"/>
              <w:left w:val="dotted" w:sz="2" w:space="0" w:color="000000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A4" w:rsidRDefault="00DD3BA4" w:rsidP="000E4A25"/>
        </w:tc>
      </w:tr>
    </w:tbl>
    <w:p w:rsidR="00DD3BA4" w:rsidRDefault="00DD3BA4" w:rsidP="00DD3BA4"/>
    <w:p w:rsidR="00DD3BA4" w:rsidRPr="00DD3BA4" w:rsidRDefault="00DD3BA4" w:rsidP="00DD3BA4">
      <w:pPr>
        <w:pStyle w:val="Body"/>
        <w:ind w:left="360"/>
        <w:rPr>
          <w:sz w:val="18"/>
          <w:szCs w:val="18"/>
        </w:rPr>
      </w:pPr>
    </w:p>
    <w:p w:rsidR="00B82450" w:rsidRDefault="00B332B1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zaplatí zhotoviteli výše specifikovanou cenu díla na základě faktury vystavené zhotovitelem, kterou je zhotovitel povinen dodat objednateli zároveň s předáním díla.</w:t>
      </w:r>
      <w:r w:rsidR="0087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B51" w:rsidRDefault="003B3B51" w:rsidP="003B3B5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Faktura musí obsahovat tyto náležitosti:</w:t>
      </w:r>
    </w:p>
    <w:p w:rsid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číslo faktury;</w:t>
      </w:r>
    </w:p>
    <w:p w:rsidR="003927B4" w:rsidRPr="003B3B51" w:rsidRDefault="003927B4" w:rsidP="003927B4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přesné označení objednatele a zhotovitele (obchodní jméno, sídlo, IČO, DIČ);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označení účtu, na který má být fakturovaná částka poukázána;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datum vystavení a splatnosti;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číslo této smlouvy;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rozpis provedených prací;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fakturovaná částka;</w:t>
      </w:r>
    </w:p>
    <w:p w:rsidR="003B3B51" w:rsidRPr="003B3B51" w:rsidRDefault="003B3B51" w:rsidP="003B3B5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podpis oprávněné osoby.</w:t>
      </w:r>
    </w:p>
    <w:p w:rsidR="003B3B51" w:rsidRPr="003B3B51" w:rsidRDefault="003B3B51" w:rsidP="003B3B5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 xml:space="preserve">Splatnost faktury je </w:t>
      </w:r>
      <w:r w:rsidR="00B332B1">
        <w:rPr>
          <w:rFonts w:ascii="Times New Roman" w:hAnsi="Times New Roman" w:cs="Times New Roman"/>
          <w:sz w:val="24"/>
          <w:szCs w:val="24"/>
        </w:rPr>
        <w:t>stanovena do 29. 12. 2017.</w:t>
      </w:r>
    </w:p>
    <w:p w:rsidR="003B3B51" w:rsidRPr="003B3B51" w:rsidRDefault="003B3B51" w:rsidP="003B3B5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 xml:space="preserve">Objednatel je oprávněn ve lhůtě splatnosti fakturu zhotoviteli vrátit, jestliže neobsahuje náležitosti podle čl. </w:t>
      </w:r>
      <w:r w:rsidR="004875C8">
        <w:rPr>
          <w:rFonts w:ascii="Times New Roman" w:hAnsi="Times New Roman" w:cs="Times New Roman"/>
          <w:sz w:val="24"/>
          <w:szCs w:val="24"/>
        </w:rPr>
        <w:t>I</w:t>
      </w:r>
      <w:r w:rsidRPr="003B3B51">
        <w:rPr>
          <w:rFonts w:ascii="Times New Roman" w:hAnsi="Times New Roman" w:cs="Times New Roman"/>
          <w:sz w:val="24"/>
          <w:szCs w:val="24"/>
        </w:rPr>
        <w:t xml:space="preserve">V. odst. </w:t>
      </w:r>
      <w:r w:rsidR="004875C8">
        <w:rPr>
          <w:rFonts w:ascii="Times New Roman" w:hAnsi="Times New Roman" w:cs="Times New Roman"/>
          <w:sz w:val="24"/>
          <w:szCs w:val="24"/>
        </w:rPr>
        <w:t>3</w:t>
      </w:r>
      <w:r w:rsidRPr="003B3B51">
        <w:rPr>
          <w:rFonts w:ascii="Times New Roman" w:hAnsi="Times New Roman" w:cs="Times New Roman"/>
          <w:sz w:val="24"/>
          <w:szCs w:val="24"/>
        </w:rPr>
        <w:t xml:space="preserve">, jestliže ve faktuře uvedený rozsah provedených prací a na základě toho vyúčtovaná cena neodpovídá skutečně provedeným pracím a službám nebo jestliže fakturovaná částka není v souladu s čl. IV. </w:t>
      </w:r>
      <w:r w:rsidR="00B41AB4">
        <w:rPr>
          <w:rFonts w:ascii="Times New Roman" w:hAnsi="Times New Roman" w:cs="Times New Roman"/>
          <w:sz w:val="24"/>
          <w:szCs w:val="24"/>
        </w:rPr>
        <w:t>Do doručení nové faktury nemá zhotovitel právo účtovat objednateli smluvní pokutu podle čl. IV bodu 7.</w:t>
      </w:r>
      <w:r w:rsidRPr="003B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B51" w:rsidRPr="004875C8" w:rsidRDefault="003B3B51" w:rsidP="00487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3B51">
        <w:rPr>
          <w:rFonts w:ascii="Times New Roman" w:hAnsi="Times New Roman" w:cs="Times New Roman"/>
          <w:sz w:val="24"/>
          <w:szCs w:val="24"/>
        </w:rPr>
        <w:t>Objednatel je povinen splatnou a řádně vyhotovenou fakturu zhotovitele zaplatit převodem na účet zhotovitele.</w:t>
      </w:r>
    </w:p>
    <w:p w:rsidR="007F09C2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má právo účtovat objednateli smluvní pokutu ve výši 0,05% z ceny díla za každý den prodlení splatnosti ceny.</w:t>
      </w:r>
    </w:p>
    <w:p w:rsidR="007F09C2" w:rsidRPr="007A5CD0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zhotoviteli smluvní pokutu ve výši 0,05% z ceny díla za každý den prodlení termínu odevzdání díla.</w:t>
      </w:r>
    </w:p>
    <w:p w:rsidR="000A6A07" w:rsidRDefault="000A6A07" w:rsidP="000A6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34B23"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Vznik, změna a zánik smlouvy</w:t>
      </w:r>
    </w:p>
    <w:p w:rsidR="000A6A07" w:rsidRDefault="004F774B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450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této smlouvy lze provádět pouze formou vzestupně číslovaných písemných dodatků potvrzených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zániku smlouvy může dojít: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písemnou dohodou smluvních stran,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odstoupením jedné ze smluvních stran</w:t>
      </w:r>
      <w:r w:rsidR="00A66C1D">
        <w:rPr>
          <w:rFonts w:ascii="Times New Roman" w:hAnsi="Times New Roman" w:cs="Times New Roman"/>
          <w:sz w:val="24"/>
          <w:szCs w:val="24"/>
        </w:rPr>
        <w:t xml:space="preserve"> dle čl. V bodu 4-</w:t>
      </w:r>
      <w:r w:rsidR="007F09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výpovědí. Výpověď musí být učiněna písemně a doručena druhé smluvní straně s tím, že výpovědní lhůta je 1 měsíc a počíná běžet následující den po jejím doručení.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odstoupit, pokud dojde k závažnému porušení smluvních vztah</w:t>
      </w:r>
      <w:r w:rsidR="00ED3728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pokud tento úmysl oznámí jedna smluvní strana druhé písemně do 7 pracovních dnů od vzniku</w:t>
      </w:r>
      <w:r w:rsidR="00ED3728">
        <w:rPr>
          <w:rFonts w:ascii="Times New Roman" w:hAnsi="Times New Roman" w:cs="Times New Roman"/>
          <w:sz w:val="24"/>
          <w:szCs w:val="24"/>
        </w:rPr>
        <w:t xml:space="preserve"> tohoto</w:t>
      </w:r>
      <w:r>
        <w:rPr>
          <w:rFonts w:ascii="Times New Roman" w:hAnsi="Times New Roman" w:cs="Times New Roman"/>
          <w:sz w:val="24"/>
          <w:szCs w:val="24"/>
        </w:rPr>
        <w:t xml:space="preserve"> závažného porušení</w:t>
      </w:r>
      <w:r w:rsidR="00ED3728">
        <w:rPr>
          <w:rFonts w:ascii="Times New Roman" w:hAnsi="Times New Roman" w:cs="Times New Roman"/>
          <w:sz w:val="24"/>
          <w:szCs w:val="24"/>
        </w:rPr>
        <w:t>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Závažným porušením smluvních vztahů je porušení takové, při kterém porušující strana věděla nebo mohla vědět, že strana druhá při </w:t>
      </w:r>
      <w:r w:rsidR="00ED3728">
        <w:rPr>
          <w:rFonts w:ascii="Times New Roman" w:hAnsi="Times New Roman" w:cs="Times New Roman"/>
          <w:sz w:val="24"/>
          <w:szCs w:val="24"/>
        </w:rPr>
        <w:t xml:space="preserve">něm </w:t>
      </w:r>
      <w:r>
        <w:rPr>
          <w:rFonts w:ascii="Times New Roman" w:hAnsi="Times New Roman" w:cs="Times New Roman"/>
          <w:sz w:val="24"/>
          <w:szCs w:val="24"/>
        </w:rPr>
        <w:t>nebude mít dále zájem na plnění smlouvy.</w:t>
      </w:r>
    </w:p>
    <w:p w:rsidR="007F09C2" w:rsidRDefault="007F09C2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dnem následujícím po jeho doručení smluvní straně.</w:t>
      </w:r>
    </w:p>
    <w:p w:rsidR="007F09C2" w:rsidRDefault="007F09C2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také odstoupit postupem podle čl. III bodu 7.</w:t>
      </w:r>
    </w:p>
    <w:p w:rsidR="003927B4" w:rsidRDefault="0039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09C2" w:rsidRPr="00B82450" w:rsidRDefault="007F09C2" w:rsidP="007F09C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4B23" w:rsidRDefault="00934B23" w:rsidP="0093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stanoven jinak, řídí se právní vztahy z ní vyplývající ustanoveními občanského zákoníku.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Vyskytnou-li se události, které jedné nebo oběma smluvním stranám částečně či úplně znemožní plnit své povinnosti podle smlouvy, jsou strany povinny se o tom bez zbytečného odkladu vzájemně informovat a společně podniknout kroky k jejich překonání. Nesplnění této povinnosti zakládá nárok na náhradu škody.</w:t>
      </w:r>
    </w:p>
    <w:p w:rsidR="00B911E6" w:rsidRDefault="00B911E6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pověřuje jednáním v běžných smluvních záležitostech Ing. arch. Ivetu Černou.</w:t>
      </w:r>
    </w:p>
    <w:p w:rsidR="00174C67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2 vyhotoveních, z nichž každá smluvní strana obdrží jedno.</w:t>
      </w:r>
    </w:p>
    <w:p w:rsid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některé ustanovení smlouvy bylo nebo se stalo zcela nebo částečně neúčinným, není tím dotčena účinnost zbývajících ustanovení. Smluvní strany v tomto případě dohodnou náhradou ustanovení nové, které bude co nejvíce odpovídat účelu ustanovení původního.</w:t>
      </w:r>
    </w:p>
    <w:p w:rsidR="00A83D16" w:rsidRDefault="00A83D16" w:rsidP="00A83D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 xml:space="preserve">bere na vědomí, že smlouvy s hodnotou předmětu převyšující 50.000 Kč bez DPH včetně dohod, na základě kterých se tyto smlouvy mění, nahrazují nebo ruší, zveřejní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83D16">
        <w:rPr>
          <w:rFonts w:ascii="Times New Roman" w:hAnsi="Times New Roman" w:cs="Times New Roman"/>
          <w:sz w:val="24"/>
          <w:szCs w:val="24"/>
        </w:rPr>
        <w:t xml:space="preserve">v Registru smluv zřízeném jako informační systém veřejné správy na základě 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Zhotovitel </w:t>
      </w:r>
      <w:r w:rsidRPr="00A83D16">
        <w:rPr>
          <w:rFonts w:ascii="Times New Roman" w:hAnsi="Times New Roman" w:cs="Times New Roman"/>
          <w:sz w:val="24"/>
          <w:szCs w:val="24"/>
        </w:rPr>
        <w:t>výslovně souhlasí s tím, aby tato smlouva včetně případných dohod o její změně, nahrazení nebo zrušení byly v</w:t>
      </w:r>
      <w:r>
        <w:rPr>
          <w:rFonts w:ascii="Times New Roman" w:hAnsi="Times New Roman" w:cs="Times New Roman"/>
          <w:sz w:val="24"/>
          <w:szCs w:val="24"/>
        </w:rPr>
        <w:t xml:space="preserve"> plném rozsahu v Registru smluv o</w:t>
      </w:r>
      <w:r w:rsidRPr="00A83D16">
        <w:rPr>
          <w:rFonts w:ascii="Times New Roman" w:hAnsi="Times New Roman" w:cs="Times New Roman"/>
          <w:sz w:val="24"/>
          <w:szCs w:val="24"/>
        </w:rPr>
        <w:t>bjednatelem</w:t>
      </w:r>
      <w:r>
        <w:rPr>
          <w:rFonts w:ascii="Times New Roman" w:hAnsi="Times New Roman" w:cs="Times New Roman"/>
          <w:sz w:val="24"/>
          <w:szCs w:val="24"/>
        </w:rPr>
        <w:t xml:space="preserve"> zveřejněny. 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>prohlašuje, že skutečnosti uvedené v této smlouvě nepovažuje za obchodní tajemství a uděluje svolení k jejich užití a zveřejnění bez stanovení jakýchkoliv dalších podmínek.</w:t>
      </w:r>
    </w:p>
    <w:p w:rsidR="00B82450" w:rsidRP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tato smlouva byla uzavřena podle jejich pravé a svobodné vůle a s jejím obsahem bez výhrad souhlasí, což stvrzují vlastnoručními podpisy.</w:t>
      </w:r>
    </w:p>
    <w:p w:rsidR="00174C67" w:rsidRDefault="00174C67" w:rsidP="00174C67">
      <w:pPr>
        <w:rPr>
          <w:rFonts w:ascii="Times New Roman" w:hAnsi="Times New Roman" w:cs="Times New Roman"/>
          <w:sz w:val="24"/>
          <w:szCs w:val="24"/>
        </w:rPr>
      </w:pP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dne:</w:t>
      </w:r>
      <w:r w:rsidR="000D40D0">
        <w:rPr>
          <w:rFonts w:ascii="Times New Roman" w:hAnsi="Times New Roman" w:cs="Times New Roman"/>
          <w:sz w:val="24"/>
          <w:szCs w:val="24"/>
        </w:rPr>
        <w:t xml:space="preserve"> 5.</w:t>
      </w:r>
      <w:r w:rsidR="00436B7E">
        <w:rPr>
          <w:rFonts w:ascii="Times New Roman" w:hAnsi="Times New Roman" w:cs="Times New Roman"/>
          <w:sz w:val="24"/>
          <w:szCs w:val="24"/>
        </w:rPr>
        <w:t xml:space="preserve"> </w:t>
      </w:r>
      <w:r w:rsidR="000D40D0">
        <w:rPr>
          <w:rFonts w:ascii="Times New Roman" w:hAnsi="Times New Roman" w:cs="Times New Roman"/>
          <w:sz w:val="24"/>
          <w:szCs w:val="24"/>
        </w:rPr>
        <w:t>12.</w:t>
      </w:r>
      <w:r w:rsidR="00436B7E">
        <w:rPr>
          <w:rFonts w:ascii="Times New Roman" w:hAnsi="Times New Roman" w:cs="Times New Roman"/>
          <w:sz w:val="24"/>
          <w:szCs w:val="24"/>
        </w:rPr>
        <w:t xml:space="preserve"> </w:t>
      </w:r>
      <w:r w:rsidR="000D40D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   dne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B2A9D">
        <w:rPr>
          <w:rFonts w:ascii="Times New Roman" w:hAnsi="Times New Roman" w:cs="Times New Roman"/>
          <w:sz w:val="24"/>
          <w:szCs w:val="24"/>
        </w:rPr>
        <w:t>zhotovitele</w:t>
      </w:r>
    </w:p>
    <w:p w:rsidR="00851A6F" w:rsidRPr="000A6A07" w:rsidRDefault="005837D4" w:rsidP="00A8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Pavel Ciprian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  <w:t>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Muzeum </w:t>
      </w:r>
      <w:r w:rsidR="00A83D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ěsta Brna</w:t>
      </w:r>
      <w:r w:rsidR="00B65B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1A6F" w:rsidRPr="000A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6813"/>
    <w:multiLevelType w:val="hybridMultilevel"/>
    <w:tmpl w:val="EBDE5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A5"/>
    <w:multiLevelType w:val="hybridMultilevel"/>
    <w:tmpl w:val="83CC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78FA"/>
    <w:multiLevelType w:val="hybridMultilevel"/>
    <w:tmpl w:val="05D4D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5134E"/>
    <w:multiLevelType w:val="hybridMultilevel"/>
    <w:tmpl w:val="FFF02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20407"/>
    <w:multiLevelType w:val="hybridMultilevel"/>
    <w:tmpl w:val="4ABA1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33031"/>
    <w:multiLevelType w:val="hybridMultilevel"/>
    <w:tmpl w:val="126C11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26B95"/>
    <w:multiLevelType w:val="hybridMultilevel"/>
    <w:tmpl w:val="B9187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F2E83"/>
    <w:multiLevelType w:val="hybridMultilevel"/>
    <w:tmpl w:val="37FC42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E3D80"/>
    <w:multiLevelType w:val="hybridMultilevel"/>
    <w:tmpl w:val="70FA8A7A"/>
    <w:lvl w:ilvl="0" w:tplc="0330CB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83"/>
    <w:rsid w:val="00016ED4"/>
    <w:rsid w:val="00073B66"/>
    <w:rsid w:val="000A6A07"/>
    <w:rsid w:val="000D40D0"/>
    <w:rsid w:val="00142835"/>
    <w:rsid w:val="00144590"/>
    <w:rsid w:val="00174C67"/>
    <w:rsid w:val="00196284"/>
    <w:rsid w:val="001A6B9A"/>
    <w:rsid w:val="001C53B4"/>
    <w:rsid w:val="00213457"/>
    <w:rsid w:val="00244CC3"/>
    <w:rsid w:val="002C0083"/>
    <w:rsid w:val="003052D0"/>
    <w:rsid w:val="00324783"/>
    <w:rsid w:val="003927B4"/>
    <w:rsid w:val="003969F6"/>
    <w:rsid w:val="003B3B51"/>
    <w:rsid w:val="00427F47"/>
    <w:rsid w:val="00436B7E"/>
    <w:rsid w:val="004875C8"/>
    <w:rsid w:val="004A642B"/>
    <w:rsid w:val="004C5C31"/>
    <w:rsid w:val="004F774B"/>
    <w:rsid w:val="00575293"/>
    <w:rsid w:val="00581065"/>
    <w:rsid w:val="005837D4"/>
    <w:rsid w:val="0058391B"/>
    <w:rsid w:val="005E3373"/>
    <w:rsid w:val="006233E4"/>
    <w:rsid w:val="006309CB"/>
    <w:rsid w:val="006710AE"/>
    <w:rsid w:val="006E677F"/>
    <w:rsid w:val="00730269"/>
    <w:rsid w:val="007901AC"/>
    <w:rsid w:val="007A388B"/>
    <w:rsid w:val="007A5CD0"/>
    <w:rsid w:val="007F09C2"/>
    <w:rsid w:val="008437E4"/>
    <w:rsid w:val="00851A6F"/>
    <w:rsid w:val="00871212"/>
    <w:rsid w:val="008C6563"/>
    <w:rsid w:val="008D3B0C"/>
    <w:rsid w:val="00934B23"/>
    <w:rsid w:val="009560AD"/>
    <w:rsid w:val="00A66C1D"/>
    <w:rsid w:val="00A83D16"/>
    <w:rsid w:val="00AB2A9D"/>
    <w:rsid w:val="00AB5219"/>
    <w:rsid w:val="00AD49A4"/>
    <w:rsid w:val="00B332B1"/>
    <w:rsid w:val="00B41AB4"/>
    <w:rsid w:val="00B65BF6"/>
    <w:rsid w:val="00B82450"/>
    <w:rsid w:val="00B911E6"/>
    <w:rsid w:val="00BB7502"/>
    <w:rsid w:val="00BD05E2"/>
    <w:rsid w:val="00C32C35"/>
    <w:rsid w:val="00C84302"/>
    <w:rsid w:val="00CB587E"/>
    <w:rsid w:val="00CD6DE9"/>
    <w:rsid w:val="00DD3BA4"/>
    <w:rsid w:val="00DE0D3C"/>
    <w:rsid w:val="00E16D2E"/>
    <w:rsid w:val="00E52A52"/>
    <w:rsid w:val="00EC12D5"/>
    <w:rsid w:val="00ED3728"/>
    <w:rsid w:val="00ED5160"/>
    <w:rsid w:val="00ED535D"/>
    <w:rsid w:val="00EF0788"/>
    <w:rsid w:val="00F42E27"/>
    <w:rsid w:val="00F93FE3"/>
    <w:rsid w:val="00FA516B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92590-6348-4145-BEDA-2E6FAA23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58106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paragraph" w:customStyle="1" w:styleId="Body">
    <w:name w:val="Body"/>
    <w:rsid w:val="00DD3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DD3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DD3BA4"/>
  </w:style>
  <w:style w:type="paragraph" w:customStyle="1" w:styleId="FreeForm">
    <w:name w:val="Free Form"/>
    <w:rsid w:val="00DD3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9055-F27D-474B-A20C-C8DE970D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Randová, Markéta</cp:lastModifiedBy>
  <cp:revision>3</cp:revision>
  <cp:lastPrinted>2017-12-07T09:24:00Z</cp:lastPrinted>
  <dcterms:created xsi:type="dcterms:W3CDTF">2017-12-13T11:43:00Z</dcterms:created>
  <dcterms:modified xsi:type="dcterms:W3CDTF">2017-12-13T11:45:00Z</dcterms:modified>
</cp:coreProperties>
</file>