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707A8" w14:textId="77777777" w:rsidR="001C5D98" w:rsidRPr="001C33AB" w:rsidRDefault="001C5D98" w:rsidP="001C5D98">
      <w:pPr>
        <w:pStyle w:val="Bezmezer"/>
        <w:spacing w:after="120"/>
        <w:jc w:val="center"/>
        <w:rPr>
          <w:b/>
          <w:sz w:val="36"/>
          <w:szCs w:val="36"/>
        </w:rPr>
      </w:pPr>
      <w:r w:rsidRPr="001C33AB">
        <w:rPr>
          <w:b/>
          <w:sz w:val="36"/>
          <w:szCs w:val="36"/>
        </w:rPr>
        <w:t>LICENČNÍ SMLOUVA</w:t>
      </w:r>
    </w:p>
    <w:p w14:paraId="67ADBA8E" w14:textId="77777777" w:rsidR="001C5D98" w:rsidRPr="00BC5C8D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2"/>
          <w:szCs w:val="22"/>
        </w:rPr>
      </w:pPr>
      <w:r w:rsidRPr="00BC5C8D">
        <w:rPr>
          <w:sz w:val="22"/>
          <w:szCs w:val="22"/>
        </w:rPr>
        <w:t>uzavřená dle § 2358 a násl. zákona č. 89/2012 Sb., občanský zákoník, v platném znění</w:t>
      </w:r>
    </w:p>
    <w:p w14:paraId="0EDAC39D" w14:textId="77777777" w:rsidR="00BC5C8D" w:rsidRPr="005F0446" w:rsidRDefault="00BC5C8D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</w:p>
    <w:p w14:paraId="798F1255" w14:textId="77777777" w:rsidR="002C2D1E" w:rsidRPr="00BC5C8D" w:rsidRDefault="002C2D1E" w:rsidP="00BC5C8D">
      <w:pPr>
        <w:tabs>
          <w:tab w:val="left" w:pos="1332"/>
        </w:tabs>
        <w:rPr>
          <w:rFonts w:cs="Arial"/>
          <w:b/>
        </w:rPr>
      </w:pPr>
      <w:r w:rsidRPr="00BC5C8D">
        <w:rPr>
          <w:rFonts w:cs="Arial"/>
          <w:b/>
        </w:rPr>
        <w:t>Česká agentura na podporu obchodu/</w:t>
      </w:r>
      <w:proofErr w:type="spellStart"/>
      <w:r w:rsidRPr="00BC5C8D">
        <w:rPr>
          <w:rFonts w:cs="Arial"/>
          <w:b/>
        </w:rPr>
        <w:t>CzechTrade</w:t>
      </w:r>
      <w:proofErr w:type="spellEnd"/>
    </w:p>
    <w:p w14:paraId="00BF3ED8" w14:textId="77777777" w:rsidR="002C2D1E" w:rsidRPr="00BC5C8D" w:rsidRDefault="002C2D1E" w:rsidP="00BC5C8D">
      <w:pPr>
        <w:tabs>
          <w:tab w:val="left" w:pos="1332"/>
        </w:tabs>
        <w:rPr>
          <w:rFonts w:cs="Arial"/>
        </w:rPr>
      </w:pPr>
      <w:r w:rsidRPr="00BC5C8D">
        <w:rPr>
          <w:rFonts w:cs="Arial"/>
        </w:rPr>
        <w:t>IČ: 00001171, DIČ: CZ00001171</w:t>
      </w:r>
    </w:p>
    <w:p w14:paraId="43DA909A" w14:textId="77777777" w:rsidR="002C2D1E" w:rsidRPr="00BC5C8D" w:rsidRDefault="002C2D1E" w:rsidP="00BC5C8D">
      <w:pPr>
        <w:tabs>
          <w:tab w:val="left" w:pos="1332"/>
        </w:tabs>
        <w:rPr>
          <w:rFonts w:cs="Arial"/>
        </w:rPr>
      </w:pPr>
      <w:r w:rsidRPr="00BC5C8D">
        <w:rPr>
          <w:rFonts w:cs="Arial"/>
        </w:rPr>
        <w:t>se sídlem Dittrichova 21, Praha 2, 128 01</w:t>
      </w:r>
    </w:p>
    <w:p w14:paraId="32EA3D43" w14:textId="77777777" w:rsidR="002C2D1E" w:rsidRPr="00BC5C8D" w:rsidRDefault="002C2D1E" w:rsidP="00BC5C8D">
      <w:pPr>
        <w:tabs>
          <w:tab w:val="left" w:pos="1332"/>
        </w:tabs>
        <w:rPr>
          <w:rFonts w:cs="Arial"/>
        </w:rPr>
      </w:pPr>
      <w:r w:rsidRPr="00BC5C8D">
        <w:t>příspěvková organizace nezapsaná v obchodním rejstříku</w:t>
      </w:r>
    </w:p>
    <w:p w14:paraId="5F3D060F" w14:textId="77777777" w:rsidR="001C5D98" w:rsidRDefault="002C2D1E" w:rsidP="00BC5C8D">
      <w:pPr>
        <w:tabs>
          <w:tab w:val="left" w:pos="1332"/>
        </w:tabs>
        <w:rPr>
          <w:rFonts w:cs="Arial"/>
        </w:rPr>
      </w:pPr>
      <w:r w:rsidRPr="00BC5C8D">
        <w:rPr>
          <w:rFonts w:cs="Arial"/>
        </w:rPr>
        <w:t xml:space="preserve">zastoupena </w:t>
      </w:r>
      <w:r w:rsidR="008E0B89">
        <w:rPr>
          <w:rFonts w:cs="Arial"/>
        </w:rPr>
        <w:t>Ing. Radomilem Doležalem, MBA, generálním ředitel</w:t>
      </w:r>
      <w:r w:rsidR="007D5BA3">
        <w:rPr>
          <w:rFonts w:cs="Arial"/>
        </w:rPr>
        <w:t>e</w:t>
      </w:r>
      <w:r w:rsidR="008E0B89">
        <w:rPr>
          <w:rFonts w:cs="Arial"/>
        </w:rPr>
        <w:t>m</w:t>
      </w:r>
    </w:p>
    <w:p w14:paraId="431E5BAB" w14:textId="77777777" w:rsidR="00D97517" w:rsidRPr="00BC5C8D" w:rsidRDefault="00D97517" w:rsidP="00BC5C8D">
      <w:pPr>
        <w:tabs>
          <w:tab w:val="left" w:pos="1332"/>
        </w:tabs>
        <w:rPr>
          <w:rFonts w:cs="Arial"/>
        </w:rPr>
      </w:pPr>
    </w:p>
    <w:p w14:paraId="7EAF9060" w14:textId="77777777" w:rsidR="001C5D98" w:rsidRPr="00BC5C8D" w:rsidRDefault="001C5D98" w:rsidP="00BC5C8D">
      <w:pPr>
        <w:pStyle w:val="Normlnweb"/>
        <w:shd w:val="clear" w:color="auto" w:fill="FFFFFF"/>
        <w:spacing w:before="0" w:beforeAutospacing="0" w:after="0" w:afterAutospacing="0"/>
        <w:jc w:val="both"/>
      </w:pPr>
      <w:r w:rsidRPr="00BC5C8D">
        <w:t>(„</w:t>
      </w:r>
      <w:r w:rsidR="007E4320" w:rsidRPr="007E4320">
        <w:rPr>
          <w:b/>
        </w:rPr>
        <w:t>nabyvatel</w:t>
      </w:r>
      <w:r w:rsidRPr="00BC5C8D">
        <w:t>“)</w:t>
      </w:r>
    </w:p>
    <w:p w14:paraId="3042AA3D" w14:textId="77777777" w:rsidR="001C5D98" w:rsidRPr="00BC5C8D" w:rsidRDefault="001C5D98" w:rsidP="00BC5C8D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0889A747" w14:textId="77777777" w:rsidR="00897D9A" w:rsidRDefault="00BC5C8D" w:rsidP="00BC5C8D">
      <w:pPr>
        <w:pStyle w:val="Normlnweb"/>
        <w:shd w:val="clear" w:color="auto" w:fill="FFFFFF"/>
        <w:spacing w:before="0" w:beforeAutospacing="0" w:after="0" w:afterAutospacing="0"/>
        <w:jc w:val="both"/>
      </w:pPr>
      <w:r>
        <w:t>a</w:t>
      </w:r>
    </w:p>
    <w:p w14:paraId="23E2FC5A" w14:textId="77777777" w:rsidR="00BC5C8D" w:rsidRPr="00BC5C8D" w:rsidRDefault="00BC5C8D" w:rsidP="00BC5C8D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55F7CCF4" w14:textId="77777777" w:rsidR="001C5D98" w:rsidRPr="00BC5C8D" w:rsidRDefault="008E0B89" w:rsidP="00BC5C8D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/>
        <w:jc w:val="both"/>
      </w:pPr>
      <w:r>
        <w:t>Mgr. Eva Koňaříková</w:t>
      </w:r>
    </w:p>
    <w:p w14:paraId="1E7E98B1" w14:textId="77777777" w:rsidR="001C5D98" w:rsidRPr="00BC5C8D" w:rsidRDefault="008E0B89" w:rsidP="00BC5C8D">
      <w:pPr>
        <w:pStyle w:val="cotext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Hovězí 653, 756 01 Hovězí</w:t>
      </w:r>
    </w:p>
    <w:p w14:paraId="79B46EED" w14:textId="77777777" w:rsidR="001C5D98" w:rsidRPr="00BC5C8D" w:rsidRDefault="008E0B89" w:rsidP="00BC5C8D">
      <w:pPr>
        <w:pStyle w:val="cotext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06600930</w:t>
      </w:r>
    </w:p>
    <w:p w14:paraId="1A1075E2" w14:textId="49A2CAEE" w:rsidR="001C5D98" w:rsidRPr="00BC5C8D" w:rsidRDefault="00DF0A5C" w:rsidP="00BC5C8D">
      <w:pPr>
        <w:pStyle w:val="cotext"/>
        <w:spacing w:before="0"/>
        <w:ind w:left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Č.ú</w:t>
      </w:r>
      <w:proofErr w:type="spellEnd"/>
      <w:r>
        <w:rPr>
          <w:rFonts w:ascii="Times New Roman" w:hAnsi="Times New Roman" w:cs="Times New Roman"/>
          <w:sz w:val="24"/>
        </w:rPr>
        <w:t>.: 1013940469/6100</w:t>
      </w:r>
      <w:proofErr w:type="gramEnd"/>
    </w:p>
    <w:p w14:paraId="04871547" w14:textId="77777777" w:rsidR="001C5D98" w:rsidRPr="00BC5C8D" w:rsidRDefault="001C5D98" w:rsidP="00BC5C8D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4D4804C8" w14:textId="77777777" w:rsidR="001C5D98" w:rsidRPr="00BC5C8D" w:rsidRDefault="001C5D98" w:rsidP="00BC5C8D">
      <w:pPr>
        <w:pStyle w:val="Normlnweb"/>
        <w:shd w:val="clear" w:color="auto" w:fill="FFFFFF"/>
        <w:spacing w:before="0" w:beforeAutospacing="0" w:after="0" w:afterAutospacing="0"/>
        <w:jc w:val="both"/>
      </w:pPr>
      <w:r w:rsidRPr="00BC5C8D">
        <w:t>(„</w:t>
      </w:r>
      <w:r w:rsidR="007E4320" w:rsidRPr="007E4320">
        <w:rPr>
          <w:b/>
        </w:rPr>
        <w:t>poskytovatel</w:t>
      </w:r>
      <w:r w:rsidRPr="00BC5C8D">
        <w:t>“)</w:t>
      </w:r>
    </w:p>
    <w:p w14:paraId="5EEC4B24" w14:textId="77777777" w:rsidR="001C5D98" w:rsidRPr="00BC5C8D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2A0B7FCB" w14:textId="77777777" w:rsidR="001C5D98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BC5C8D">
        <w:t>poskytovatel a nabyvatel dále také společně jako „</w:t>
      </w:r>
      <w:r w:rsidRPr="0010577F">
        <w:t>smluvní strany“</w:t>
      </w:r>
      <w:r>
        <w:t xml:space="preserve"> a každý samostatně jako „smluvní strana“ uzavírají níže uvedeného dne, měsíce a roku tuto </w:t>
      </w:r>
    </w:p>
    <w:p w14:paraId="16324ED0" w14:textId="77777777" w:rsidR="001C5D98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230640A7" w14:textId="77777777" w:rsidR="001C5D98" w:rsidRPr="00D97517" w:rsidRDefault="001C5D98" w:rsidP="001C5D9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b/>
          <w:sz w:val="28"/>
          <w:szCs w:val="28"/>
        </w:rPr>
      </w:pPr>
      <w:r w:rsidRPr="00D97517">
        <w:rPr>
          <w:b/>
          <w:sz w:val="28"/>
          <w:szCs w:val="28"/>
        </w:rPr>
        <w:t>licenční smlouvu</w:t>
      </w:r>
    </w:p>
    <w:p w14:paraId="41EB1E42" w14:textId="77777777" w:rsidR="001C5D98" w:rsidRPr="0010577F" w:rsidRDefault="001C5D98" w:rsidP="001C5D98">
      <w:pPr>
        <w:spacing w:before="60" w:after="60" w:line="276" w:lineRule="auto"/>
        <w:jc w:val="both"/>
      </w:pPr>
      <w:bookmarkStart w:id="0" w:name="OLE_LINK1"/>
      <w:bookmarkStart w:id="1" w:name="OLE_LINK2"/>
      <w:bookmarkStart w:id="2" w:name="OLE_LINK3"/>
    </w:p>
    <w:p w14:paraId="73F4B0C6" w14:textId="77777777" w:rsidR="007F4526" w:rsidRDefault="007F4526" w:rsidP="007F452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  <w:r w:rsidR="003D6E25">
        <w:rPr>
          <w:b/>
          <w:sz w:val="28"/>
          <w:szCs w:val="28"/>
          <w:u w:val="single"/>
        </w:rPr>
        <w:t xml:space="preserve"> a předmět smlouvy</w:t>
      </w:r>
    </w:p>
    <w:p w14:paraId="0D2EA43A" w14:textId="7C453231" w:rsidR="00541F44" w:rsidRDefault="007F4526" w:rsidP="0041157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</w:pPr>
      <w:r w:rsidRPr="00B46497">
        <w:t xml:space="preserve">Poskytovatel je výlučným vlastníkem autorských práv </w:t>
      </w:r>
      <w:r w:rsidR="0041157C">
        <w:t>k</w:t>
      </w:r>
      <w:r w:rsidR="00C136A9">
        <w:t xml:space="preserve"> autorskému </w:t>
      </w:r>
      <w:r w:rsidR="00B33333">
        <w:t>dílu</w:t>
      </w:r>
      <w:r w:rsidR="00C136A9">
        <w:t>,</w:t>
      </w:r>
      <w:r w:rsidR="00B33333">
        <w:t xml:space="preserve"> </w:t>
      </w:r>
      <w:r w:rsidR="00C136A9">
        <w:t xml:space="preserve">které zaznamenává </w:t>
      </w:r>
      <w:r w:rsidR="0041157C" w:rsidRPr="0041157C">
        <w:t>česk</w:t>
      </w:r>
      <w:r w:rsidR="00C136A9">
        <w:t>ou</w:t>
      </w:r>
      <w:r w:rsidR="0041157C" w:rsidRPr="0041157C">
        <w:t xml:space="preserve"> </w:t>
      </w:r>
      <w:r w:rsidR="00640AB4">
        <w:t>účast</w:t>
      </w:r>
      <w:r w:rsidR="00640AB4" w:rsidRPr="0041157C">
        <w:t xml:space="preserve"> </w:t>
      </w:r>
      <w:r w:rsidR="0041157C" w:rsidRPr="0041157C">
        <w:t>na</w:t>
      </w:r>
      <w:r w:rsidR="00640AB4">
        <w:t xml:space="preserve"> světové</w:t>
      </w:r>
      <w:r w:rsidR="0041157C" w:rsidRPr="0041157C">
        <w:t xml:space="preserve"> výstavě Expo </w:t>
      </w:r>
      <w:proofErr w:type="spellStart"/>
      <w:r w:rsidR="0041157C" w:rsidRPr="0041157C">
        <w:t>Astana</w:t>
      </w:r>
      <w:proofErr w:type="spellEnd"/>
      <w:r w:rsidR="0041157C" w:rsidRPr="0041157C">
        <w:t xml:space="preserve"> 2017</w:t>
      </w:r>
      <w:r w:rsidR="0041157C">
        <w:t xml:space="preserve"> konané ve dnech </w:t>
      </w:r>
      <w:r w:rsidR="0041157C" w:rsidRPr="00181EBF">
        <w:t>1.6. - 10. 9. 2017</w:t>
      </w:r>
      <w:r w:rsidRPr="00B46497">
        <w:t xml:space="preserve"> („</w:t>
      </w:r>
      <w:r w:rsidRPr="00B6610E">
        <w:rPr>
          <w:b/>
        </w:rPr>
        <w:t>dílo</w:t>
      </w:r>
      <w:r w:rsidRPr="00B46497">
        <w:t>“).</w:t>
      </w:r>
      <w:r w:rsidR="00B33333">
        <w:t xml:space="preserve"> </w:t>
      </w:r>
      <w:r w:rsidR="00992B07">
        <w:t>Autorské dílo je soubor fotografií (570 kusů) a videosekvencí (30 kusů), které budou poskytovateli předány na DVD nosičích</w:t>
      </w:r>
      <w:r w:rsidR="00D80220">
        <w:t>, na nichž je dílo hmotně zachyceno</w:t>
      </w:r>
      <w:r w:rsidR="00992B07">
        <w:t>.</w:t>
      </w:r>
      <w:r w:rsidRPr="00B46497">
        <w:t xml:space="preserve"> Poskytovatel je oprávněn </w:t>
      </w:r>
      <w:r w:rsidR="00B46497" w:rsidRPr="00B46497">
        <w:t xml:space="preserve">dílem samostatně a </w:t>
      </w:r>
      <w:r w:rsidR="00541F44">
        <w:t>bez jakýchkoliv omezení</w:t>
      </w:r>
      <w:r w:rsidR="00B46497" w:rsidRPr="00B46497">
        <w:t xml:space="preserve"> nakládat</w:t>
      </w:r>
      <w:r w:rsidR="00541F44">
        <w:t xml:space="preserve">, </w:t>
      </w:r>
      <w:r w:rsidR="0041157C">
        <w:t>a to bez právních vad takového</w:t>
      </w:r>
      <w:r w:rsidR="00B46497" w:rsidRPr="00B46497">
        <w:t xml:space="preserve"> jednání.</w:t>
      </w:r>
    </w:p>
    <w:p w14:paraId="515F0821" w14:textId="77777777" w:rsidR="007F4526" w:rsidRDefault="007F4526" w:rsidP="008F64F2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45C7C9A2" w14:textId="77777777" w:rsidR="007F4526" w:rsidRPr="00C0710E" w:rsidRDefault="009C45F7" w:rsidP="001C5D98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Licence</w:t>
      </w:r>
    </w:p>
    <w:p w14:paraId="1C8F180E" w14:textId="77777777" w:rsidR="009F0C4B" w:rsidRDefault="009F0C4B" w:rsidP="009F0C4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Poskytovatel</w:t>
      </w:r>
      <w:r w:rsidRPr="009F0C4B">
        <w:t xml:space="preserve"> tímto poskytuje nabyvateli oprávnění k výkonu práva autorského (</w:t>
      </w:r>
      <w:r w:rsidRPr="009F0C4B">
        <w:rPr>
          <w:b/>
        </w:rPr>
        <w:t>licenci</w:t>
      </w:r>
      <w:r w:rsidRPr="009F0C4B">
        <w:t>) k dílu, a to především právo užít dílo všemi způsoby, jež povaha díla připouští, v neomezeném rozsahu, v původní nebo i zpracované či jinak pozměněné podobě.</w:t>
      </w:r>
    </w:p>
    <w:p w14:paraId="389AA083" w14:textId="77777777" w:rsidR="009C45F7" w:rsidRDefault="009C45F7" w:rsidP="009C45F7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bookmarkEnd w:id="0"/>
    <w:bookmarkEnd w:id="1"/>
    <w:bookmarkEnd w:id="2"/>
    <w:p w14:paraId="1F0C89C0" w14:textId="77777777" w:rsidR="001C5D98" w:rsidRDefault="009C45F7" w:rsidP="001C5D98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Rozsah užití</w:t>
      </w:r>
    </w:p>
    <w:p w14:paraId="3F0D3B27" w14:textId="77777777" w:rsidR="0096329A" w:rsidRDefault="0096329A" w:rsidP="00B60D10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>Nabyvatel je oprávněn licenci užívat na území České republiky</w:t>
      </w:r>
      <w:r w:rsidR="00734B66">
        <w:t xml:space="preserve"> i v zahraničí, v prostředí internetu, na sociálních sítích, či na jakékoli marketingové platformě dle potřeb nabyvatele</w:t>
      </w:r>
      <w:r>
        <w:t>.</w:t>
      </w:r>
    </w:p>
    <w:p w14:paraId="79A32E0B" w14:textId="77777777" w:rsidR="00615264" w:rsidRDefault="00615264" w:rsidP="00615264">
      <w:pPr>
        <w:pStyle w:val="Normlnweb"/>
        <w:shd w:val="clear" w:color="auto" w:fill="FFFFFF"/>
        <w:spacing w:before="60" w:beforeAutospacing="0" w:after="60" w:afterAutospacing="0" w:line="276" w:lineRule="auto"/>
        <w:ind w:left="357"/>
        <w:jc w:val="both"/>
        <w:rPr>
          <w:b/>
          <w:sz w:val="28"/>
          <w:szCs w:val="28"/>
          <w:u w:val="single"/>
        </w:rPr>
      </w:pPr>
    </w:p>
    <w:p w14:paraId="042A44E6" w14:textId="77777777" w:rsidR="00F22847" w:rsidRPr="00F22847" w:rsidRDefault="00F22847" w:rsidP="00B60D10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F22847">
        <w:rPr>
          <w:b/>
          <w:sz w:val="28"/>
          <w:szCs w:val="28"/>
          <w:u w:val="single"/>
        </w:rPr>
        <w:t>Podlicence</w:t>
      </w:r>
    </w:p>
    <w:p w14:paraId="64A1EA6B" w14:textId="77777777" w:rsidR="0096329A" w:rsidRDefault="00615264" w:rsidP="00615264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</w:pPr>
      <w:r w:rsidRPr="00615264">
        <w:t xml:space="preserve">Nabyvatel je oprávněn poskytnout třetí osobě podlicenci k dílu, </w:t>
      </w:r>
      <w:r w:rsidR="0019164C">
        <w:t>s</w:t>
      </w:r>
      <w:r w:rsidRPr="00615264">
        <w:t xml:space="preserve"> č</w:t>
      </w:r>
      <w:r w:rsidR="0019164C">
        <w:t>ím</w:t>
      </w:r>
      <w:r w:rsidRPr="00615264">
        <w:t xml:space="preserve">ž </w:t>
      </w:r>
      <w:r w:rsidR="0019164C">
        <w:t>poskytovatel</w:t>
      </w:r>
      <w:r w:rsidRPr="00615264">
        <w:t xml:space="preserve"> tímto výslovně uděluje souhlas.</w:t>
      </w:r>
    </w:p>
    <w:p w14:paraId="32AAF3EC" w14:textId="77777777" w:rsidR="00615264" w:rsidRDefault="00615264" w:rsidP="00615264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14:paraId="635C7189" w14:textId="77777777" w:rsidR="0096329A" w:rsidRPr="00F22847" w:rsidRDefault="0096329A" w:rsidP="0096329A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Postoupení licence</w:t>
      </w:r>
    </w:p>
    <w:p w14:paraId="6C7C7593" w14:textId="77777777" w:rsidR="0096329A" w:rsidRDefault="0096329A" w:rsidP="00615264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Nabyvatel </w:t>
      </w:r>
      <w:r w:rsidR="006B1131">
        <w:t>není</w:t>
      </w:r>
      <w:r>
        <w:t xml:space="preserve"> oprávněn </w:t>
      </w:r>
      <w:r w:rsidR="006B1131">
        <w:t>bez předchozího písemného</w:t>
      </w:r>
      <w:r>
        <w:t xml:space="preserve"> souhlasu poskytovatele </w:t>
      </w:r>
      <w:r w:rsidR="00615264">
        <w:t xml:space="preserve">postoupit </w:t>
      </w:r>
      <w:r>
        <w:t xml:space="preserve">licenci </w:t>
      </w:r>
      <w:r w:rsidR="006B1131">
        <w:t>třetí osobě, byť jen zčásti</w:t>
      </w:r>
      <w:r>
        <w:t>. Nabyvatel je povinen sdělit poskytovateli bez zbytečného odkladu, že licenci postoupil, jakož i osobu postupníka.</w:t>
      </w:r>
    </w:p>
    <w:p w14:paraId="7DB77C50" w14:textId="77777777" w:rsidR="0096329A" w:rsidRDefault="0096329A" w:rsidP="0096329A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03290945" w14:textId="77777777" w:rsidR="0096329A" w:rsidRPr="00D160F9" w:rsidRDefault="00D160F9" w:rsidP="0096329A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D160F9">
        <w:rPr>
          <w:b/>
          <w:sz w:val="28"/>
          <w:szCs w:val="28"/>
          <w:u w:val="single"/>
        </w:rPr>
        <w:t>Výhradní</w:t>
      </w:r>
      <w:r w:rsidR="0096329A" w:rsidRPr="00D160F9">
        <w:rPr>
          <w:b/>
          <w:sz w:val="28"/>
          <w:szCs w:val="28"/>
          <w:u w:val="single"/>
        </w:rPr>
        <w:t xml:space="preserve"> licence</w:t>
      </w:r>
    </w:p>
    <w:p w14:paraId="58554773" w14:textId="6369A0B1" w:rsidR="00B60D10" w:rsidRDefault="00B60D10" w:rsidP="00D160F9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 w:rsidRPr="00D160F9">
        <w:t xml:space="preserve">Poskytovatel poskytuje nabyvateli licenci jako licenci výhradní. </w:t>
      </w:r>
      <w:r w:rsidR="00D160F9" w:rsidRPr="00D160F9">
        <w:t>Poskytovatel</w:t>
      </w:r>
      <w:r w:rsidRPr="00D160F9">
        <w:t xml:space="preserve"> nemá právo poskytnout licenci třetí osobě po dobu trvání výhradní licence. </w:t>
      </w:r>
      <w:r w:rsidR="00D160F9" w:rsidRPr="00D160F9">
        <w:t>Poskytovatel</w:t>
      </w:r>
      <w:r w:rsidRPr="00D160F9">
        <w:t xml:space="preserve"> se zdrží výkonu autorského práva k dílu po dobu trvání výhradní licence</w:t>
      </w:r>
      <w:r w:rsidR="002E66D7">
        <w:t xml:space="preserve"> s výjimkou dle 6.2</w:t>
      </w:r>
      <w:r w:rsidRPr="00D160F9">
        <w:t>.</w:t>
      </w:r>
    </w:p>
    <w:p w14:paraId="5AA2E723" w14:textId="77777777" w:rsidR="00992B07" w:rsidRPr="00D160F9" w:rsidRDefault="00992B07" w:rsidP="00D160F9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>Poskytovatel je oprávněn užít autorské dílo v</w:t>
      </w:r>
      <w:r w:rsidR="00D80220">
        <w:t> přiměřeném rozsahu za účelem prezentace svých služeb (portfolia).</w:t>
      </w:r>
    </w:p>
    <w:p w14:paraId="368A0AD3" w14:textId="77777777" w:rsidR="0096329A" w:rsidRDefault="0096329A" w:rsidP="0096329A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68CE03B6" w14:textId="77777777" w:rsidR="0066414B" w:rsidRPr="00F22847" w:rsidRDefault="0066414B" w:rsidP="0066414B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Práva a povinnosti poskytovatele</w:t>
      </w:r>
    </w:p>
    <w:p w14:paraId="42714CC3" w14:textId="77777777" w:rsidR="0066414B" w:rsidRDefault="0066414B" w:rsidP="00AB215B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>Udělením licence vzniká poskytovateli povinnost</w:t>
      </w:r>
      <w:r w:rsidR="00D160F9">
        <w:t xml:space="preserve"> strpět zásah do práva užít dílo</w:t>
      </w:r>
      <w:r>
        <w:t xml:space="preserve"> v rozsahu vyplývajícím z této licenční smlouvy.</w:t>
      </w:r>
    </w:p>
    <w:p w14:paraId="0F9AA10C" w14:textId="77777777" w:rsidR="0066414B" w:rsidRDefault="0066414B" w:rsidP="00AB215B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 xml:space="preserve">Poskytovatel poskytne nabyvateli </w:t>
      </w:r>
      <w:r w:rsidR="00D160F9">
        <w:t xml:space="preserve">bezodkladně </w:t>
      </w:r>
      <w:r>
        <w:t>po uzavření této licenční smlouvy veškeré podklady a informace potřebné k výkonu licence</w:t>
      </w:r>
      <w:r w:rsidR="00D160F9">
        <w:t xml:space="preserve"> v rozsahu dle přílohy k této smlouvě.</w:t>
      </w:r>
    </w:p>
    <w:p w14:paraId="3A20F26C" w14:textId="77777777" w:rsidR="00C637FB" w:rsidRDefault="00C637FB" w:rsidP="00AB215B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 xml:space="preserve">Poskytovatel poskytne nabyvateli bez zbytečného odkladu na vyžádání součinnost k právní </w:t>
      </w:r>
      <w:r w:rsidR="00FC7405">
        <w:t>ochraně jeho licence, dojde-li k ohrožení nebo porušení nabyvatelovy licence.</w:t>
      </w:r>
    </w:p>
    <w:p w14:paraId="1D00E165" w14:textId="77777777" w:rsidR="0066414B" w:rsidRPr="0010577F" w:rsidRDefault="0066414B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45D39018" w14:textId="77777777" w:rsidR="0066414B" w:rsidRPr="00F22847" w:rsidRDefault="0066414B" w:rsidP="0066414B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Práva a povinnosti nabyvatele</w:t>
      </w:r>
    </w:p>
    <w:p w14:paraId="604BCF98" w14:textId="77777777" w:rsidR="006B1131" w:rsidRDefault="006B1131" w:rsidP="00AB215B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>Nabyvatel není povinen licenci využít. Nevyužije-li nabyvatel licenci vůbec, poskytovatel není povinen vrátit nabyvateli odměnu, kterou od něho přijal na základě této licenční smlouvy. Ustanovení § 2381 odst. 1 občanského zákoníku se tak nepoužije.</w:t>
      </w:r>
    </w:p>
    <w:p w14:paraId="5767E31E" w14:textId="77777777" w:rsidR="006B1131" w:rsidRDefault="00AD540D" w:rsidP="00AB215B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>Nabyvatel</w:t>
      </w:r>
      <w:r w:rsidR="006B1131">
        <w:t xml:space="preserve"> </w:t>
      </w:r>
      <w:r>
        <w:t xml:space="preserve">je </w:t>
      </w:r>
      <w:r w:rsidR="006B1131">
        <w:t>oprávněn dílo užít ve zpracované či jinak změněné podobě.</w:t>
      </w:r>
      <w:r w:rsidR="00C637FB">
        <w:t xml:space="preserve"> </w:t>
      </w:r>
    </w:p>
    <w:p w14:paraId="4780DB20" w14:textId="77777777" w:rsidR="00C637FB" w:rsidRDefault="00C637FB" w:rsidP="00AB215B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lastRenderedPageBreak/>
        <w:t>Nabyvatel utají před třetími osobami podklady a sdělení, jichž se mu dostalo od poskytovatele.</w:t>
      </w:r>
    </w:p>
    <w:p w14:paraId="6AAF19AD" w14:textId="77777777" w:rsidR="00560893" w:rsidRDefault="00560893" w:rsidP="00560893">
      <w:pPr>
        <w:pStyle w:val="Normlnweb"/>
        <w:shd w:val="clear" w:color="auto" w:fill="FFFFFF"/>
        <w:spacing w:after="60" w:afterAutospacing="0" w:line="276" w:lineRule="auto"/>
        <w:ind w:left="357"/>
        <w:jc w:val="both"/>
      </w:pPr>
    </w:p>
    <w:p w14:paraId="356343AD" w14:textId="77777777" w:rsidR="00586661" w:rsidRPr="00F22847" w:rsidRDefault="00586661" w:rsidP="00586661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Právní bezvadnost</w:t>
      </w:r>
    </w:p>
    <w:p w14:paraId="3C2810A6" w14:textId="77777777" w:rsidR="00586661" w:rsidRDefault="00586661" w:rsidP="00AB215B">
      <w:pPr>
        <w:pStyle w:val="Normlnweb"/>
        <w:numPr>
          <w:ilvl w:val="1"/>
          <w:numId w:val="1"/>
        </w:numPr>
        <w:shd w:val="clear" w:color="auto" w:fill="FFFFFF"/>
        <w:spacing w:after="60" w:afterAutospacing="0" w:line="276" w:lineRule="auto"/>
        <w:ind w:left="357" w:hanging="357"/>
        <w:jc w:val="both"/>
      </w:pPr>
      <w:r>
        <w:t>Poskytovatel odpovídá nabyvateli za právní bezvadnost práv nabytých touto licenční smlouvou, tj. za to, že užitím díla podle této licenční smlouvy nemůže dojít k neoprávněnému zásahu do práv třetích osob ani k jinému porušení právních předpisů, že případné majetkové nároky třetích osob byly vypořádány a nabyvateli v souvislosti s užitím díla nemohou vzniknout peněžité ani jiné povinnosti vůči třetím osobám.</w:t>
      </w:r>
      <w:r w:rsidR="003F3FF9">
        <w:t xml:space="preserve"> Ukáže-li se toto proh</w:t>
      </w:r>
      <w:r w:rsidR="00C573BF">
        <w:t>lášení nepravdivým, nabyvatel je oprávněn žádat zaplacení smluvní pokuty ve výši 50 000 Kč jako částečnou kompenzaci za uplatňování případných majetkových nároků třetích osob zmíněných v předchozí větě. Tím není dotčeno právo nabyvatele na vymáhání škody.</w:t>
      </w:r>
      <w:r w:rsidR="003F3FF9">
        <w:t xml:space="preserve"> </w:t>
      </w:r>
      <w:r>
        <w:t xml:space="preserve"> </w:t>
      </w:r>
    </w:p>
    <w:p w14:paraId="51B2D316" w14:textId="77777777" w:rsidR="00C637FB" w:rsidRPr="0010577F" w:rsidRDefault="00C637FB" w:rsidP="00C637F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5458CCC1" w14:textId="77777777" w:rsidR="00C637FB" w:rsidRPr="00F22847" w:rsidRDefault="009F0C4B" w:rsidP="00C637FB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9F0C4B">
        <w:rPr>
          <w:b/>
          <w:sz w:val="28"/>
          <w:szCs w:val="28"/>
        </w:rPr>
        <w:t xml:space="preserve"> </w:t>
      </w:r>
      <w:r w:rsidR="00C637FB">
        <w:rPr>
          <w:b/>
          <w:sz w:val="28"/>
          <w:szCs w:val="28"/>
          <w:u w:val="single"/>
        </w:rPr>
        <w:t>Odměna</w:t>
      </w:r>
    </w:p>
    <w:p w14:paraId="6DB3F92D" w14:textId="77777777" w:rsidR="00271AE9" w:rsidRDefault="00C637FB" w:rsidP="00271AE9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Nabyvatel se zavazuje poskytnout poskytovatel</w:t>
      </w:r>
      <w:r w:rsidR="0027782F">
        <w:t xml:space="preserve">i odměnu za poskytnutou licenci ve výši </w:t>
      </w:r>
      <w:r w:rsidR="00FE360E">
        <w:rPr>
          <w:b/>
        </w:rPr>
        <w:t>91 650</w:t>
      </w:r>
      <w:r w:rsidR="00271AE9" w:rsidRPr="00271AE9">
        <w:rPr>
          <w:b/>
        </w:rPr>
        <w:t xml:space="preserve"> Kč</w:t>
      </w:r>
      <w:r w:rsidR="00271AE9">
        <w:t xml:space="preserve"> (slovy: </w:t>
      </w:r>
      <w:r w:rsidR="00FE360E">
        <w:t>devadesát jedna</w:t>
      </w:r>
      <w:r w:rsidR="00271AE9">
        <w:t xml:space="preserve"> tisíc šest set padesát korun </w:t>
      </w:r>
      <w:proofErr w:type="gramStart"/>
      <w:r w:rsidR="00271AE9">
        <w:t>českých) („</w:t>
      </w:r>
      <w:r w:rsidR="00271AE9" w:rsidRPr="0027782F">
        <w:rPr>
          <w:b/>
        </w:rPr>
        <w:t>odměna</w:t>
      </w:r>
      <w:proofErr w:type="gramEnd"/>
      <w:r w:rsidR="00271AE9">
        <w:t>“). Odměna se sjednává bez DPH. Odměna je určena dle specifikace v předávacím protokolu, který je jako příloha č. 1 nedílnou součástí této smlouvy.</w:t>
      </w:r>
    </w:p>
    <w:p w14:paraId="2C6B3739" w14:textId="77777777" w:rsidR="00271AE9" w:rsidRDefault="00271AE9" w:rsidP="00271AE9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Smluvní strany se dohodly, že za činnosti spojené s produkcí díla náleží poskytovateli odměna ve výši </w:t>
      </w:r>
      <w:r w:rsidRPr="00FE360E">
        <w:rPr>
          <w:b/>
        </w:rPr>
        <w:t>8 350 Kč</w:t>
      </w:r>
      <w:r w:rsidR="00FE360E">
        <w:t xml:space="preserve"> (slovy: osm tisíc tři sta padesát korun českých)</w:t>
      </w:r>
      <w:r>
        <w:t>, rozepsaná v příloze č. 2, která je nedílnou součástí této smlouvy.</w:t>
      </w:r>
    </w:p>
    <w:p w14:paraId="2832538F" w14:textId="77777777" w:rsidR="0027782F" w:rsidRDefault="0027782F" w:rsidP="00C637F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Nabyvatel se zavazuje odměnu zaplatit na základě poskytovatelem vystaveného daňového dokladu (faktury) se splatností 14 dnů ode dne následujícího po </w:t>
      </w:r>
      <w:r w:rsidR="006B6DB1">
        <w:t>jeho</w:t>
      </w:r>
      <w:r w:rsidR="00A3056C">
        <w:t xml:space="preserve"> doručení nabyvateli. Odměna bude nabyvatelem zaplacena bezhotovostně na účet </w:t>
      </w:r>
      <w:r w:rsidR="006B6DB1">
        <w:t>poskytovatele</w:t>
      </w:r>
      <w:r w:rsidR="00A3056C">
        <w:t xml:space="preserve"> uvedený v záhlaví této licenční smlouvy.</w:t>
      </w:r>
      <w:r w:rsidR="001C16D6">
        <w:t xml:space="preserve"> Faktura musí být bezvadná a mít veškeré zákonné náležitosti, jinak se nabyvatel nedostává do prodlení s úhradou odměny.</w:t>
      </w:r>
    </w:p>
    <w:p w14:paraId="2DBC643A" w14:textId="77777777" w:rsidR="00A3056C" w:rsidRDefault="00A3056C" w:rsidP="00C637FB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Pro případ prodlení nabyvatele se zaplacením odměny sjednávají smluvní strany smluvní pokutu ve výši 0,05 % z dlužné částky za každý byť </w:t>
      </w:r>
      <w:r w:rsidR="006B6DB1">
        <w:t xml:space="preserve">i </w:t>
      </w:r>
      <w:r>
        <w:t>jen započatý den prodlení.</w:t>
      </w:r>
    </w:p>
    <w:p w14:paraId="2F5DBF4A" w14:textId="77777777" w:rsidR="0066414B" w:rsidRDefault="0066414B" w:rsidP="0066414B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3A8058E4" w14:textId="77777777" w:rsidR="00A3056C" w:rsidRPr="00F22847" w:rsidRDefault="00814108" w:rsidP="00A3056C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AB215B">
        <w:rPr>
          <w:b/>
          <w:sz w:val="28"/>
          <w:szCs w:val="28"/>
        </w:rPr>
        <w:t xml:space="preserve"> </w:t>
      </w:r>
      <w:r w:rsidR="00A3056C">
        <w:rPr>
          <w:b/>
          <w:sz w:val="28"/>
          <w:szCs w:val="28"/>
          <w:u w:val="single"/>
        </w:rPr>
        <w:t>Doba trvání smlouvy</w:t>
      </w:r>
    </w:p>
    <w:p w14:paraId="68DF08F4" w14:textId="77777777" w:rsidR="00A3056C" w:rsidRDefault="00A3056C" w:rsidP="00A3056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Tato licenční smlouva se uzavírá na dobu určitou, a to na dobu trvání majetkových autorských práva poskytovatele.</w:t>
      </w:r>
    </w:p>
    <w:p w14:paraId="4F676895" w14:textId="77777777" w:rsidR="000858D2" w:rsidRDefault="000858D2" w:rsidP="000858D2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</w:p>
    <w:p w14:paraId="5A78E8DF" w14:textId="77777777" w:rsidR="00560893" w:rsidRDefault="00560893" w:rsidP="000858D2">
      <w:pPr>
        <w:pStyle w:val="Normlnweb"/>
        <w:shd w:val="clear" w:color="auto" w:fill="FFFFFF"/>
        <w:spacing w:before="60" w:beforeAutospacing="0" w:after="60" w:afterAutospacing="0" w:line="276" w:lineRule="auto"/>
        <w:ind w:left="709"/>
        <w:jc w:val="both"/>
      </w:pPr>
    </w:p>
    <w:p w14:paraId="27F35BD2" w14:textId="77777777" w:rsidR="00855763" w:rsidRPr="00F22847" w:rsidRDefault="00814108" w:rsidP="00855763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AB215B">
        <w:rPr>
          <w:b/>
          <w:sz w:val="28"/>
          <w:szCs w:val="28"/>
        </w:rPr>
        <w:lastRenderedPageBreak/>
        <w:t xml:space="preserve"> </w:t>
      </w:r>
      <w:r w:rsidR="00855763">
        <w:rPr>
          <w:b/>
          <w:sz w:val="28"/>
          <w:szCs w:val="28"/>
          <w:u w:val="single"/>
        </w:rPr>
        <w:t>Odstoupení od smlouvy pro nečinnost nabyvatele</w:t>
      </w:r>
    </w:p>
    <w:p w14:paraId="3E16500B" w14:textId="77777777" w:rsidR="00855763" w:rsidRDefault="00A3056C" w:rsidP="00A3056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Nevyužívá-li nabyvatel výhradní licenci vůbec nebo využívá-li ji n</w:t>
      </w:r>
      <w:r w:rsidR="00814108">
        <w:t>edostatečně a jsou-li tím ve zcela závažné míře</w:t>
      </w:r>
      <w:r>
        <w:t xml:space="preserve"> nepříznivě dotčeny oprávněné zájmy poskytovatele, může poskytovatel od této licenční smlouvy odstoupit. To neplatí v případě, že nevyužívání nebo nedostatečné využívání licence je způsobeno okolnostmi převážně spočívajícími na straně poskytovatele.</w:t>
      </w:r>
      <w:r w:rsidR="00814108">
        <w:t xml:space="preserve"> Tato licenční smlouva zaniká</w:t>
      </w:r>
      <w:r w:rsidR="00586661">
        <w:t xml:space="preserve"> dnem doručení odstoupení nabyvateli.</w:t>
      </w:r>
    </w:p>
    <w:p w14:paraId="79099E25" w14:textId="77777777" w:rsidR="00A3056C" w:rsidRDefault="00A3056C" w:rsidP="00A3056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Nabyvatel může z důvodů uvedených </w:t>
      </w:r>
      <w:r w:rsidR="00855763">
        <w:t>v předchozím odstavci</w:t>
      </w:r>
      <w:r>
        <w:t xml:space="preserve"> </w:t>
      </w:r>
      <w:r w:rsidR="006B6DB1">
        <w:t>od</w:t>
      </w:r>
      <w:r>
        <w:t>stoupit teprve poté, kdy nabyvatele vyzve, aby v</w:t>
      </w:r>
      <w:r w:rsidR="00814108">
        <w:t> uložené l</w:t>
      </w:r>
      <w:r>
        <w:t>hůtě</w:t>
      </w:r>
      <w:r w:rsidR="00814108">
        <w:t>, nejméně dvou měsíců,</w:t>
      </w:r>
      <w:r>
        <w:t xml:space="preserve"> od doručení výzvy licenci dostatečně využil, a nabyvatel oprávnění dostatečně nevyužije ani přes tuto výzvu.</w:t>
      </w:r>
    </w:p>
    <w:p w14:paraId="0104DDB8" w14:textId="77777777" w:rsidR="00855763" w:rsidRDefault="00855763" w:rsidP="00A3056C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Poskytovatel nemůže právo na odstoupení od této licenční smlouvy pro nečinnost nabyvatele uplatnit před uplynutím dvou (2) let od poskytnutí licence. </w:t>
      </w:r>
    </w:p>
    <w:p w14:paraId="32BA7B17" w14:textId="77777777" w:rsidR="00855763" w:rsidRDefault="00855763" w:rsidP="00855763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3710F162" w14:textId="77777777" w:rsidR="00855763" w:rsidRPr="00F22847" w:rsidRDefault="000620E2" w:rsidP="00855763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AB215B">
        <w:rPr>
          <w:b/>
          <w:sz w:val="28"/>
          <w:szCs w:val="28"/>
        </w:rPr>
        <w:t xml:space="preserve"> </w:t>
      </w:r>
      <w:r w:rsidR="00855763">
        <w:rPr>
          <w:b/>
          <w:sz w:val="28"/>
          <w:szCs w:val="28"/>
          <w:u w:val="single"/>
        </w:rPr>
        <w:t>Zánik licence</w:t>
      </w:r>
    </w:p>
    <w:p w14:paraId="2008FB48" w14:textId="77777777" w:rsidR="00855763" w:rsidRDefault="000620E2" w:rsidP="00855763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>Zánikem nabyvatele přecházejí</w:t>
      </w:r>
      <w:r w:rsidR="00855763">
        <w:t xml:space="preserve"> práva a povinnost z této licenční smlouvy na </w:t>
      </w:r>
      <w:r w:rsidR="006B6DB1">
        <w:t>jeho</w:t>
      </w:r>
      <w:r w:rsidR="00855763">
        <w:t xml:space="preserve"> právního nástupce.</w:t>
      </w:r>
    </w:p>
    <w:p w14:paraId="139CBDA5" w14:textId="77777777" w:rsidR="00586661" w:rsidRDefault="00586661" w:rsidP="00586661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7F24172A" w14:textId="77777777" w:rsidR="00586661" w:rsidRPr="00F22847" w:rsidRDefault="000620E2" w:rsidP="00586661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AB215B">
        <w:rPr>
          <w:b/>
          <w:sz w:val="28"/>
          <w:szCs w:val="28"/>
        </w:rPr>
        <w:t xml:space="preserve"> </w:t>
      </w:r>
      <w:r w:rsidR="00586661">
        <w:rPr>
          <w:b/>
          <w:sz w:val="28"/>
          <w:szCs w:val="28"/>
          <w:u w:val="single"/>
        </w:rPr>
        <w:t>Platnost a účinnost smlouvy</w:t>
      </w:r>
    </w:p>
    <w:p w14:paraId="26999740" w14:textId="77777777" w:rsidR="00586661" w:rsidRDefault="00586661" w:rsidP="00586661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  <w:r>
        <w:t xml:space="preserve">Tato licenční </w:t>
      </w:r>
      <w:r w:rsidR="000620E2">
        <w:t>smlouva je platná a účinná dnem jejího uveřejnění v registru smluv dle zákona č. 340/2015 Sb.,</w:t>
      </w:r>
      <w:r>
        <w:t xml:space="preserve"> </w:t>
      </w:r>
      <w:r w:rsidR="000620E2">
        <w:t xml:space="preserve">o registru smluv. Poskytovatel výslovně </w:t>
      </w:r>
      <w:r w:rsidR="008A07E2">
        <w:t>souhlasí s uveřejněním v elektronické podobě</w:t>
      </w:r>
      <w:r w:rsidR="008A07E2" w:rsidRPr="00576EC6">
        <w:t>, a to bez časového omezení</w:t>
      </w:r>
      <w:r w:rsidR="008A07E2">
        <w:t>.</w:t>
      </w:r>
    </w:p>
    <w:p w14:paraId="6D4C48CA" w14:textId="77777777" w:rsidR="00855763" w:rsidRDefault="00855763" w:rsidP="00855763">
      <w:pPr>
        <w:pStyle w:val="Normlnweb"/>
        <w:shd w:val="clear" w:color="auto" w:fill="FFFFFF"/>
        <w:spacing w:before="60" w:beforeAutospacing="0" w:after="60" w:afterAutospacing="0" w:line="276" w:lineRule="auto"/>
        <w:ind w:left="709" w:hanging="709"/>
        <w:jc w:val="both"/>
      </w:pPr>
    </w:p>
    <w:p w14:paraId="229165B8" w14:textId="77777777" w:rsidR="001C5D98" w:rsidRPr="00455BC1" w:rsidRDefault="00A11D78" w:rsidP="001C5D98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AB215B">
        <w:rPr>
          <w:b/>
          <w:sz w:val="28"/>
          <w:szCs w:val="28"/>
        </w:rPr>
        <w:t xml:space="preserve"> </w:t>
      </w:r>
      <w:r w:rsidR="001C5D98" w:rsidRPr="00455BC1">
        <w:rPr>
          <w:b/>
          <w:sz w:val="28"/>
          <w:szCs w:val="28"/>
          <w:u w:val="single"/>
        </w:rPr>
        <w:t>Z</w:t>
      </w:r>
      <w:r w:rsidR="001C5D98">
        <w:rPr>
          <w:b/>
          <w:sz w:val="28"/>
          <w:szCs w:val="28"/>
          <w:u w:val="single"/>
        </w:rPr>
        <w:t>ávěrečná ustanovení</w:t>
      </w:r>
    </w:p>
    <w:p w14:paraId="3EF812E5" w14:textId="77777777" w:rsidR="001C5D98" w:rsidRDefault="001C5D98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Změny této </w:t>
      </w:r>
      <w:r w:rsidR="00586661">
        <w:rPr>
          <w:rFonts w:eastAsia="MS Mincho"/>
        </w:rPr>
        <w:t xml:space="preserve">licenční </w:t>
      </w:r>
      <w:r w:rsidRPr="002D4127">
        <w:rPr>
          <w:rFonts w:eastAsia="MS Mincho"/>
        </w:rPr>
        <w:t xml:space="preserve">smlouvy lze činit pouze po dohodě obou </w:t>
      </w:r>
      <w:r w:rsidR="006B6DB1">
        <w:rPr>
          <w:rFonts w:eastAsia="MS Mincho"/>
        </w:rPr>
        <w:t xml:space="preserve">smluvních </w:t>
      </w:r>
      <w:r w:rsidRPr="002D4127">
        <w:rPr>
          <w:rFonts w:eastAsia="MS Mincho"/>
        </w:rPr>
        <w:t xml:space="preserve">stran písemnou formou. </w:t>
      </w:r>
    </w:p>
    <w:p w14:paraId="4DF9A6DE" w14:textId="77777777" w:rsidR="008A07E2" w:rsidRPr="002D4127" w:rsidRDefault="008A07E2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FA5CDE">
        <w:t xml:space="preserve">Strany se dohodly, že budou zachovávat mlčenlivost o všech skutečnostech, o kterých se při plnění této </w:t>
      </w:r>
      <w:r>
        <w:t>licenční smlouvy přímo nebo nepřímo dozvěděly</w:t>
      </w:r>
      <w:r w:rsidRPr="00FA5CDE">
        <w:t xml:space="preserve"> a které lze považovat ve smyslu </w:t>
      </w:r>
      <w:r>
        <w:t xml:space="preserve">občanského </w:t>
      </w:r>
      <w:r w:rsidRPr="00FA5CDE">
        <w:t>zákoníku za obchodní tajemství, či které jedna ze stran takto označí.</w:t>
      </w:r>
    </w:p>
    <w:p w14:paraId="7D837E04" w14:textId="77777777" w:rsidR="001C5D98" w:rsidRPr="002D4127" w:rsidRDefault="001C5D98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Tato </w:t>
      </w:r>
      <w:r w:rsidR="00586661">
        <w:rPr>
          <w:rFonts w:eastAsia="MS Mincho"/>
        </w:rPr>
        <w:t xml:space="preserve">licenční </w:t>
      </w:r>
      <w:r>
        <w:rPr>
          <w:rFonts w:eastAsia="MS Mincho"/>
        </w:rPr>
        <w:t>s</w:t>
      </w:r>
      <w:r w:rsidRPr="002D4127">
        <w:rPr>
          <w:rFonts w:eastAsia="MS Mincho"/>
        </w:rPr>
        <w:t xml:space="preserve">mlouva, jakož i práva a povinnosti vzniklé na základě této </w:t>
      </w:r>
      <w:r w:rsidR="00586661">
        <w:rPr>
          <w:rFonts w:eastAsia="MS Mincho"/>
        </w:rPr>
        <w:t xml:space="preserve">licenční </w:t>
      </w:r>
      <w:r>
        <w:rPr>
          <w:rFonts w:eastAsia="MS Mincho"/>
        </w:rPr>
        <w:t>s</w:t>
      </w:r>
      <w:r w:rsidRPr="002D4127">
        <w:rPr>
          <w:rFonts w:eastAsia="MS Mincho"/>
        </w:rPr>
        <w:t>mlouvy nebo v souvislosti s ní,</w:t>
      </w:r>
      <w:r w:rsidR="00586661"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ve znění pozdějších předpisů, občanský zákoník</w:t>
      </w:r>
      <w:r w:rsidR="00586661">
        <w:rPr>
          <w:rFonts w:eastAsia="MS Mincho"/>
        </w:rPr>
        <w:t>,</w:t>
      </w:r>
      <w:r w:rsidRPr="002D4127">
        <w:rPr>
          <w:rFonts w:eastAsia="MS Mincho"/>
        </w:rPr>
        <w:t xml:space="preserve"> a ostatními právními předpisy České republiky.</w:t>
      </w:r>
    </w:p>
    <w:p w14:paraId="38866AD2" w14:textId="77777777" w:rsidR="001C5D98" w:rsidRPr="002D4127" w:rsidRDefault="001C5D98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Tato </w:t>
      </w:r>
      <w:r w:rsidR="00586661">
        <w:rPr>
          <w:rFonts w:eastAsia="MS Mincho"/>
        </w:rPr>
        <w:t xml:space="preserve">licenční </w:t>
      </w:r>
      <w:r>
        <w:rPr>
          <w:rFonts w:eastAsia="MS Mincho"/>
        </w:rPr>
        <w:t>s</w:t>
      </w:r>
      <w:r w:rsidRPr="002D4127">
        <w:rPr>
          <w:rFonts w:eastAsia="MS Mincho"/>
        </w:rPr>
        <w:t xml:space="preserve">mlouva je uzavřena ve dvou (2) vyhotoveních, z nichž každá </w:t>
      </w:r>
      <w:r w:rsidR="006B6DB1">
        <w:rPr>
          <w:rFonts w:eastAsia="MS Mincho"/>
        </w:rPr>
        <w:t xml:space="preserve">smluvní </w:t>
      </w:r>
      <w:r w:rsidRPr="002D4127">
        <w:rPr>
          <w:rFonts w:eastAsia="MS Mincho"/>
        </w:rPr>
        <w:t>strana obdrží po jednom (1) vyhotovení.</w:t>
      </w:r>
    </w:p>
    <w:p w14:paraId="17BCCE70" w14:textId="77777777" w:rsidR="001C5D98" w:rsidRPr="002D4127" w:rsidRDefault="001C5D98" w:rsidP="001C5D9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eastAsia="MS Mincho"/>
        </w:rPr>
      </w:pPr>
      <w:r w:rsidRPr="009E1616">
        <w:lastRenderedPageBreak/>
        <w:t>S</w:t>
      </w:r>
      <w:r w:rsidR="006B6DB1">
        <w:t>mluvní s</w:t>
      </w:r>
      <w:r w:rsidRPr="009E1616">
        <w:t xml:space="preserve">trany po přečtení této </w:t>
      </w:r>
      <w:r w:rsidR="00586661">
        <w:t xml:space="preserve">licenční </w:t>
      </w:r>
      <w:r w:rsidRPr="009E1616">
        <w:t xml:space="preserve">smlouvy prohlašují, že souhlasí s jejím obsahem, že tato </w:t>
      </w:r>
      <w:r w:rsidR="00586661">
        <w:t xml:space="preserve">licenční </w:t>
      </w:r>
      <w:r w:rsidRPr="009E1616">
        <w:t>smlouva byla sepsána vážně, určitě, srozumitelně a na základě jejich pravé a svobodné vůle, na důkaz čehož připojují níže své podpisy</w:t>
      </w:r>
      <w:r w:rsidRPr="002D4127">
        <w:rPr>
          <w:rFonts w:eastAsia="MS Mincho"/>
        </w:rPr>
        <w:t xml:space="preserve">. </w:t>
      </w:r>
    </w:p>
    <w:p w14:paraId="4148517D" w14:textId="77777777" w:rsidR="00AB215B" w:rsidRDefault="00AB215B" w:rsidP="001C5D98">
      <w:pPr>
        <w:spacing w:before="60" w:after="60" w:line="276" w:lineRule="auto"/>
        <w:jc w:val="both"/>
      </w:pPr>
    </w:p>
    <w:p w14:paraId="0E6B0819" w14:textId="77777777" w:rsidR="009002C3" w:rsidRDefault="009002C3" w:rsidP="001C5D98">
      <w:pPr>
        <w:spacing w:before="60" w:after="60" w:line="276" w:lineRule="auto"/>
        <w:jc w:val="both"/>
      </w:pPr>
    </w:p>
    <w:p w14:paraId="3B2258D6" w14:textId="4801B4AB" w:rsidR="00F90544" w:rsidRPr="0010577F" w:rsidRDefault="00F90544" w:rsidP="00F90544">
      <w:pPr>
        <w:spacing w:before="60" w:after="60" w:line="276" w:lineRule="auto"/>
        <w:jc w:val="both"/>
      </w:pPr>
      <w:r w:rsidRPr="00041B65">
        <w:t xml:space="preserve">V </w:t>
      </w:r>
      <w:r w:rsidR="008E0B89" w:rsidRPr="00041B65">
        <w:t>Praze</w:t>
      </w:r>
      <w:r w:rsidRPr="00041B65">
        <w:t xml:space="preserve"> dne </w:t>
      </w:r>
      <w:r w:rsidR="008E0B89" w:rsidRPr="00041B65">
        <w:t>……………….</w:t>
      </w:r>
      <w:r w:rsidRPr="00041B65">
        <w:tab/>
      </w:r>
      <w:r w:rsidRPr="00041B65">
        <w:tab/>
      </w:r>
      <w:r w:rsidRPr="00041B65">
        <w:tab/>
      </w:r>
      <w:r w:rsidR="008E0B89" w:rsidRPr="00041B65">
        <w:tab/>
      </w:r>
      <w:r w:rsidR="008E0B89" w:rsidRPr="00041B65">
        <w:tab/>
      </w:r>
      <w:r w:rsidRPr="00041B65">
        <w:t xml:space="preserve">V </w:t>
      </w:r>
      <w:r w:rsidR="00DC29C4">
        <w:t>Praze dne 06</w:t>
      </w:r>
      <w:bookmarkStart w:id="3" w:name="_GoBack"/>
      <w:bookmarkEnd w:id="3"/>
      <w:r w:rsidR="002D57C6">
        <w:t>.12.2017</w:t>
      </w:r>
    </w:p>
    <w:p w14:paraId="2FB6D499" w14:textId="77777777" w:rsidR="001C5D98" w:rsidRPr="0010577F" w:rsidRDefault="001C5D98" w:rsidP="001C5D98">
      <w:pPr>
        <w:spacing w:before="60" w:after="60" w:line="276" w:lineRule="auto"/>
        <w:jc w:val="both"/>
      </w:pPr>
    </w:p>
    <w:p w14:paraId="1406B6AB" w14:textId="77777777" w:rsidR="001C5D98" w:rsidRDefault="001C5D98" w:rsidP="001C5D98">
      <w:pPr>
        <w:spacing w:before="60" w:after="60" w:line="276" w:lineRule="auto"/>
        <w:jc w:val="both"/>
      </w:pPr>
    </w:p>
    <w:p w14:paraId="609A83BA" w14:textId="77777777" w:rsidR="009002C3" w:rsidRDefault="009002C3" w:rsidP="001C5D98">
      <w:pPr>
        <w:spacing w:before="60" w:after="60" w:line="276" w:lineRule="auto"/>
        <w:jc w:val="both"/>
      </w:pPr>
    </w:p>
    <w:p w14:paraId="22BC6CF6" w14:textId="77777777" w:rsidR="009002C3" w:rsidRDefault="009002C3" w:rsidP="001C5D98">
      <w:pPr>
        <w:spacing w:before="60" w:after="60" w:line="276" w:lineRule="auto"/>
        <w:jc w:val="both"/>
      </w:pPr>
    </w:p>
    <w:p w14:paraId="31ACCC8B" w14:textId="77777777" w:rsidR="001C5D98" w:rsidRPr="0010577F" w:rsidRDefault="001C5D98" w:rsidP="001C5D98">
      <w:pPr>
        <w:spacing w:before="60" w:after="60" w:line="276" w:lineRule="auto"/>
        <w:jc w:val="both"/>
      </w:pPr>
      <w:r w:rsidRPr="0010577F">
        <w:t>________________________</w:t>
      </w:r>
      <w:r w:rsidR="00A11D78">
        <w:t>_______</w:t>
      </w:r>
      <w:r w:rsidRPr="0010577F">
        <w:tab/>
      </w:r>
      <w:r w:rsidRPr="0010577F">
        <w:tab/>
      </w:r>
      <w:r w:rsidRPr="0010577F">
        <w:tab/>
        <w:t>________________________</w:t>
      </w:r>
    </w:p>
    <w:p w14:paraId="4D2FCCA8" w14:textId="77777777" w:rsidR="00A11D78" w:rsidRPr="008E0B89" w:rsidRDefault="00A11D78" w:rsidP="00A11D78">
      <w:pPr>
        <w:tabs>
          <w:tab w:val="left" w:pos="1332"/>
        </w:tabs>
        <w:rPr>
          <w:rFonts w:cs="Arial"/>
          <w:b/>
        </w:rPr>
      </w:pPr>
      <w:r w:rsidRPr="008E0B89">
        <w:rPr>
          <w:rFonts w:cs="Arial"/>
          <w:b/>
        </w:rPr>
        <w:t>Česká agentura na podporu obchodu</w:t>
      </w:r>
      <w:r w:rsidRPr="008E0B89">
        <w:rPr>
          <w:rFonts w:cs="Arial"/>
          <w:b/>
        </w:rPr>
        <w:tab/>
      </w:r>
      <w:r w:rsidRPr="008E0B89">
        <w:rPr>
          <w:rFonts w:cs="Arial"/>
          <w:b/>
        </w:rPr>
        <w:tab/>
      </w:r>
      <w:r w:rsidRPr="008E0B89">
        <w:rPr>
          <w:rFonts w:cs="Arial"/>
          <w:b/>
        </w:rPr>
        <w:tab/>
      </w:r>
      <w:r w:rsidR="008E0B89" w:rsidRPr="008E0B89">
        <w:rPr>
          <w:rFonts w:cs="Arial"/>
          <w:b/>
        </w:rPr>
        <w:t>Mgr. Eva Koňaříková</w:t>
      </w:r>
    </w:p>
    <w:p w14:paraId="3DCB32E8" w14:textId="77777777" w:rsidR="00A11D78" w:rsidRDefault="008E0B89" w:rsidP="00A11D78">
      <w:pPr>
        <w:tabs>
          <w:tab w:val="left" w:pos="1332"/>
        </w:tabs>
        <w:rPr>
          <w:rFonts w:cs="Arial"/>
        </w:rPr>
      </w:pPr>
      <w:r>
        <w:rPr>
          <w:rFonts w:cs="Arial"/>
        </w:rPr>
        <w:t>Ing. Radomil Doležal, MBA</w:t>
      </w:r>
    </w:p>
    <w:p w14:paraId="376CBB02" w14:textId="77777777" w:rsidR="008E0B89" w:rsidRPr="00A11D78" w:rsidRDefault="008E0B89" w:rsidP="00A11D78">
      <w:pPr>
        <w:tabs>
          <w:tab w:val="left" w:pos="1332"/>
        </w:tabs>
        <w:rPr>
          <w:rFonts w:cs="Arial"/>
        </w:rPr>
      </w:pPr>
      <w:r>
        <w:rPr>
          <w:rFonts w:cs="Arial"/>
        </w:rPr>
        <w:t>generální ředitel</w:t>
      </w:r>
    </w:p>
    <w:p w14:paraId="614F1590" w14:textId="77777777" w:rsidR="001C5D98" w:rsidRPr="0010577F" w:rsidRDefault="00586661" w:rsidP="001C5D98">
      <w:pPr>
        <w:spacing w:before="60" w:after="60" w:line="276" w:lineRule="auto"/>
        <w:jc w:val="both"/>
      </w:pPr>
      <w:r>
        <w:tab/>
      </w:r>
    </w:p>
    <w:p w14:paraId="31FB2D59" w14:textId="77777777" w:rsidR="00FE360E" w:rsidRDefault="00FE360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C0788BA" w14:textId="77777777" w:rsidR="00AD540D" w:rsidRPr="009041C8" w:rsidRDefault="00AD540D">
      <w:pPr>
        <w:rPr>
          <w:b/>
        </w:rPr>
      </w:pPr>
      <w:r w:rsidRPr="009041C8">
        <w:rPr>
          <w:b/>
        </w:rPr>
        <w:lastRenderedPageBreak/>
        <w:t>Příloha</w:t>
      </w:r>
      <w:r w:rsidR="00BA3E83" w:rsidRPr="009041C8">
        <w:rPr>
          <w:b/>
        </w:rPr>
        <w:t xml:space="preserve"> č. 1</w:t>
      </w:r>
      <w:r w:rsidR="009041C8">
        <w:rPr>
          <w:b/>
        </w:rPr>
        <w:t xml:space="preserve">: </w:t>
      </w:r>
      <w:r w:rsidR="009041C8" w:rsidRPr="00181EBF">
        <w:rPr>
          <w:b/>
          <w:bCs/>
        </w:rPr>
        <w:t xml:space="preserve">výkaz </w:t>
      </w:r>
      <w:r w:rsidR="009041C8">
        <w:rPr>
          <w:b/>
          <w:bCs/>
        </w:rPr>
        <w:t>předaných věcí</w:t>
      </w:r>
    </w:p>
    <w:p w14:paraId="1814EF6F" w14:textId="77777777" w:rsidR="00D160F9" w:rsidRPr="00181EBF" w:rsidRDefault="00D160F9" w:rsidP="00D160F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53"/>
        <w:gridCol w:w="2954"/>
        <w:gridCol w:w="1559"/>
        <w:gridCol w:w="1694"/>
      </w:tblGrid>
      <w:tr w:rsidR="00D160F9" w:rsidRPr="00181EBF" w14:paraId="00F7683F" w14:textId="77777777" w:rsidTr="003C6D92">
        <w:trPr>
          <w:trHeight w:val="804"/>
        </w:trPr>
        <w:tc>
          <w:tcPr>
            <w:tcW w:w="9060" w:type="dxa"/>
            <w:gridSpan w:val="4"/>
            <w:noWrap/>
            <w:hideMark/>
          </w:tcPr>
          <w:p w14:paraId="76324113" w14:textId="77777777" w:rsidR="00D160F9" w:rsidRPr="00181EBF" w:rsidRDefault="00A01131" w:rsidP="009041C8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Dílo: </w:t>
            </w:r>
            <w:r w:rsidR="00D160F9" w:rsidRPr="00181EBF">
              <w:rPr>
                <w:b/>
                <w:bCs/>
              </w:rPr>
              <w:t>Předávací/akceptační protokol</w:t>
            </w:r>
          </w:p>
        </w:tc>
      </w:tr>
      <w:tr w:rsidR="00D160F9" w:rsidRPr="00181EBF" w14:paraId="791F6332" w14:textId="77777777" w:rsidTr="003C6D92">
        <w:trPr>
          <w:trHeight w:val="999"/>
        </w:trPr>
        <w:tc>
          <w:tcPr>
            <w:tcW w:w="2853" w:type="dxa"/>
            <w:noWrap/>
            <w:hideMark/>
          </w:tcPr>
          <w:p w14:paraId="2E66F38F" w14:textId="77777777" w:rsidR="00D160F9" w:rsidRPr="00181EBF" w:rsidRDefault="00EB64B5" w:rsidP="00EB64B5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  <w:r w:rsidR="00B333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předání</w:t>
            </w:r>
          </w:p>
        </w:tc>
        <w:tc>
          <w:tcPr>
            <w:tcW w:w="2954" w:type="dxa"/>
            <w:hideMark/>
          </w:tcPr>
          <w:p w14:paraId="3E9A710B" w14:textId="77777777" w:rsidR="00D160F9" w:rsidRPr="00181EBF" w:rsidRDefault="00D160F9" w:rsidP="003C6D92">
            <w:pPr>
              <w:spacing w:after="120"/>
              <w:jc w:val="both"/>
              <w:rPr>
                <w:b/>
                <w:bCs/>
              </w:rPr>
            </w:pPr>
            <w:r w:rsidRPr="00181EBF">
              <w:rPr>
                <w:b/>
                <w:bCs/>
              </w:rPr>
              <w:t>Měrná jednotka</w:t>
            </w:r>
          </w:p>
        </w:tc>
        <w:tc>
          <w:tcPr>
            <w:tcW w:w="1559" w:type="dxa"/>
            <w:hideMark/>
          </w:tcPr>
          <w:p w14:paraId="45EF8BE6" w14:textId="77777777" w:rsidR="00D160F9" w:rsidRPr="00181EBF" w:rsidRDefault="00D160F9" w:rsidP="003C6D92">
            <w:pPr>
              <w:spacing w:after="120"/>
              <w:jc w:val="both"/>
              <w:rPr>
                <w:b/>
                <w:bCs/>
              </w:rPr>
            </w:pPr>
            <w:r w:rsidRPr="00181EBF">
              <w:rPr>
                <w:b/>
                <w:bCs/>
              </w:rPr>
              <w:t>jednotková cena</w:t>
            </w:r>
          </w:p>
        </w:tc>
        <w:tc>
          <w:tcPr>
            <w:tcW w:w="1694" w:type="dxa"/>
            <w:noWrap/>
            <w:hideMark/>
          </w:tcPr>
          <w:p w14:paraId="11D6D112" w14:textId="77777777" w:rsidR="00D160F9" w:rsidRPr="00181EBF" w:rsidRDefault="00D160F9" w:rsidP="003C6D92">
            <w:pPr>
              <w:spacing w:after="120"/>
              <w:jc w:val="both"/>
              <w:rPr>
                <w:b/>
                <w:bCs/>
              </w:rPr>
            </w:pPr>
            <w:r w:rsidRPr="00181EBF">
              <w:rPr>
                <w:b/>
                <w:bCs/>
              </w:rPr>
              <w:t>Kč bez DPH</w:t>
            </w:r>
          </w:p>
        </w:tc>
      </w:tr>
      <w:tr w:rsidR="00D160F9" w:rsidRPr="00181EBF" w14:paraId="0DEBD3E8" w14:textId="77777777" w:rsidTr="003C6D92">
        <w:trPr>
          <w:trHeight w:val="624"/>
        </w:trPr>
        <w:tc>
          <w:tcPr>
            <w:tcW w:w="2853" w:type="dxa"/>
            <w:hideMark/>
          </w:tcPr>
          <w:p w14:paraId="442D7631" w14:textId="77777777" w:rsidR="00D160F9" w:rsidRPr="00181EBF" w:rsidRDefault="00D160F9" w:rsidP="003C6D92">
            <w:pPr>
              <w:spacing w:after="120"/>
              <w:jc w:val="both"/>
              <w:rPr>
                <w:b/>
              </w:rPr>
            </w:pPr>
            <w:r w:rsidRPr="00181EBF">
              <w:rPr>
                <w:b/>
              </w:rPr>
              <w:t>Fotografie</w:t>
            </w:r>
          </w:p>
        </w:tc>
        <w:tc>
          <w:tcPr>
            <w:tcW w:w="2954" w:type="dxa"/>
            <w:noWrap/>
            <w:hideMark/>
          </w:tcPr>
          <w:p w14:paraId="1F1C078D" w14:textId="77777777" w:rsidR="00D160F9" w:rsidRPr="00181EBF" w:rsidRDefault="00136236" w:rsidP="0013623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570</w:t>
            </w:r>
            <w:r w:rsidR="00D160F9" w:rsidRPr="00181EBF">
              <w:rPr>
                <w:b/>
              </w:rPr>
              <w:t>/ks</w:t>
            </w:r>
          </w:p>
        </w:tc>
        <w:tc>
          <w:tcPr>
            <w:tcW w:w="1559" w:type="dxa"/>
            <w:hideMark/>
          </w:tcPr>
          <w:p w14:paraId="115A6638" w14:textId="77777777" w:rsidR="00D160F9" w:rsidRPr="00181EBF" w:rsidRDefault="00A01131" w:rsidP="003C6D9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145</w:t>
            </w:r>
            <w:r w:rsidR="00D160F9" w:rsidRPr="00181EBF">
              <w:rPr>
                <w:b/>
              </w:rPr>
              <w:t xml:space="preserve"> Kč</w:t>
            </w:r>
          </w:p>
        </w:tc>
        <w:tc>
          <w:tcPr>
            <w:tcW w:w="1694" w:type="dxa"/>
            <w:hideMark/>
          </w:tcPr>
          <w:p w14:paraId="54103C72" w14:textId="77777777" w:rsidR="00D160F9" w:rsidRPr="00181EBF" w:rsidRDefault="00A01131" w:rsidP="00A01131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82 650</w:t>
            </w:r>
            <w:r w:rsidR="00D160F9" w:rsidRPr="00181EBF">
              <w:rPr>
                <w:b/>
              </w:rPr>
              <w:t xml:space="preserve"> Kč</w:t>
            </w:r>
          </w:p>
        </w:tc>
      </w:tr>
      <w:tr w:rsidR="00D160F9" w:rsidRPr="00181EBF" w14:paraId="30B616C9" w14:textId="77777777" w:rsidTr="003C6D92">
        <w:trPr>
          <w:trHeight w:val="624"/>
        </w:trPr>
        <w:tc>
          <w:tcPr>
            <w:tcW w:w="2853" w:type="dxa"/>
            <w:hideMark/>
          </w:tcPr>
          <w:p w14:paraId="2B2D33BD" w14:textId="77777777" w:rsidR="00D160F9" w:rsidRPr="00181EBF" w:rsidRDefault="00D160F9" w:rsidP="003C6D92">
            <w:pPr>
              <w:spacing w:after="120"/>
              <w:jc w:val="both"/>
              <w:rPr>
                <w:b/>
              </w:rPr>
            </w:pPr>
            <w:r w:rsidRPr="00181EBF">
              <w:rPr>
                <w:b/>
              </w:rPr>
              <w:t>Video</w:t>
            </w:r>
          </w:p>
        </w:tc>
        <w:tc>
          <w:tcPr>
            <w:tcW w:w="2954" w:type="dxa"/>
            <w:noWrap/>
            <w:hideMark/>
          </w:tcPr>
          <w:p w14:paraId="0026A5F1" w14:textId="77777777" w:rsidR="00D160F9" w:rsidRPr="00181EBF" w:rsidRDefault="00136236" w:rsidP="00136236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D160F9" w:rsidRPr="00181EBF">
              <w:rPr>
                <w:b/>
              </w:rPr>
              <w:t>/</w:t>
            </w:r>
            <w:r>
              <w:rPr>
                <w:b/>
              </w:rPr>
              <w:t>ks</w:t>
            </w:r>
          </w:p>
        </w:tc>
        <w:tc>
          <w:tcPr>
            <w:tcW w:w="1559" w:type="dxa"/>
            <w:hideMark/>
          </w:tcPr>
          <w:p w14:paraId="65B8BE94" w14:textId="77777777" w:rsidR="00D160F9" w:rsidRPr="00181EBF" w:rsidRDefault="00A01131" w:rsidP="003C6D9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300</w:t>
            </w:r>
            <w:r w:rsidR="00D160F9" w:rsidRPr="00181EBF">
              <w:rPr>
                <w:b/>
              </w:rPr>
              <w:t xml:space="preserve"> Kč</w:t>
            </w:r>
          </w:p>
        </w:tc>
        <w:tc>
          <w:tcPr>
            <w:tcW w:w="1694" w:type="dxa"/>
            <w:hideMark/>
          </w:tcPr>
          <w:p w14:paraId="7B741E29" w14:textId="77777777" w:rsidR="00D160F9" w:rsidRPr="00181EBF" w:rsidRDefault="00994C84" w:rsidP="00A01131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9 </w:t>
            </w:r>
            <w:r w:rsidR="00A01131">
              <w:rPr>
                <w:b/>
              </w:rPr>
              <w:t>000</w:t>
            </w:r>
            <w:r w:rsidR="00D160F9" w:rsidRPr="00181EBF">
              <w:rPr>
                <w:b/>
              </w:rPr>
              <w:t xml:space="preserve"> Kč</w:t>
            </w:r>
          </w:p>
        </w:tc>
      </w:tr>
      <w:tr w:rsidR="00D160F9" w:rsidRPr="00181EBF" w14:paraId="2EFD13CC" w14:textId="77777777" w:rsidTr="003C6D92">
        <w:trPr>
          <w:trHeight w:val="405"/>
        </w:trPr>
        <w:tc>
          <w:tcPr>
            <w:tcW w:w="2853" w:type="dxa"/>
            <w:noWrap/>
            <w:hideMark/>
          </w:tcPr>
          <w:p w14:paraId="5494FBA7" w14:textId="77777777" w:rsidR="00D160F9" w:rsidRPr="00181EBF" w:rsidRDefault="00D160F9" w:rsidP="009002C3">
            <w:pPr>
              <w:spacing w:after="120"/>
              <w:jc w:val="both"/>
              <w:rPr>
                <w:b/>
                <w:bCs/>
              </w:rPr>
            </w:pPr>
            <w:r w:rsidRPr="00181EBF">
              <w:rPr>
                <w:b/>
                <w:bCs/>
              </w:rPr>
              <w:t>Celkem bez DPH</w:t>
            </w:r>
          </w:p>
        </w:tc>
        <w:tc>
          <w:tcPr>
            <w:tcW w:w="2954" w:type="dxa"/>
            <w:noWrap/>
            <w:hideMark/>
          </w:tcPr>
          <w:p w14:paraId="72871F50" w14:textId="77777777" w:rsidR="00D160F9" w:rsidRPr="00181EBF" w:rsidRDefault="00D160F9" w:rsidP="003C6D92">
            <w:pPr>
              <w:spacing w:after="120"/>
              <w:jc w:val="both"/>
              <w:rPr>
                <w:b/>
                <w:bCs/>
              </w:rPr>
            </w:pPr>
            <w:r w:rsidRPr="00181EBF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4C9449C" w14:textId="77777777" w:rsidR="00D160F9" w:rsidRPr="00181EBF" w:rsidRDefault="00D160F9" w:rsidP="003C6D92">
            <w:pPr>
              <w:spacing w:after="120"/>
              <w:jc w:val="both"/>
              <w:rPr>
                <w:b/>
                <w:bCs/>
              </w:rPr>
            </w:pPr>
            <w:r w:rsidRPr="00181EBF">
              <w:rPr>
                <w:b/>
                <w:bCs/>
              </w:rPr>
              <w:t> </w:t>
            </w:r>
          </w:p>
        </w:tc>
        <w:tc>
          <w:tcPr>
            <w:tcW w:w="1694" w:type="dxa"/>
            <w:hideMark/>
          </w:tcPr>
          <w:p w14:paraId="7859FAF2" w14:textId="77777777" w:rsidR="00D160F9" w:rsidRPr="00181EBF" w:rsidRDefault="00FE360E" w:rsidP="00FE360E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91</w:t>
            </w:r>
            <w:r w:rsidR="00A01131">
              <w:rPr>
                <w:b/>
              </w:rPr>
              <w:t xml:space="preserve"> 650</w:t>
            </w:r>
            <w:r w:rsidR="00D160F9" w:rsidRPr="00181EBF">
              <w:rPr>
                <w:b/>
              </w:rPr>
              <w:t xml:space="preserve"> Kč</w:t>
            </w:r>
          </w:p>
        </w:tc>
      </w:tr>
    </w:tbl>
    <w:p w14:paraId="3DED3294" w14:textId="77777777" w:rsidR="009041C8" w:rsidRDefault="009041C8">
      <w:pPr>
        <w:rPr>
          <w:b/>
        </w:rPr>
      </w:pPr>
    </w:p>
    <w:p w14:paraId="4FBA3DD1" w14:textId="77777777" w:rsidR="00271AE9" w:rsidRDefault="00271AE9">
      <w:pPr>
        <w:rPr>
          <w:b/>
        </w:rPr>
      </w:pPr>
    </w:p>
    <w:p w14:paraId="36E263E7" w14:textId="77777777" w:rsidR="00AC66E9" w:rsidRPr="00AC66E9" w:rsidRDefault="00AC66E9">
      <w:pPr>
        <w:rPr>
          <w:b/>
        </w:rPr>
      </w:pPr>
      <w:r w:rsidRPr="00AC66E9">
        <w:rPr>
          <w:b/>
        </w:rPr>
        <w:t>Příloha č. 2: Produkce díla</w:t>
      </w:r>
    </w:p>
    <w:p w14:paraId="261F5AC1" w14:textId="77777777" w:rsidR="00AC66E9" w:rsidRDefault="00AC66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C66E9" w14:paraId="45002E96" w14:textId="77777777" w:rsidTr="00D137F2">
        <w:tc>
          <w:tcPr>
            <w:tcW w:w="2265" w:type="dxa"/>
          </w:tcPr>
          <w:p w14:paraId="1BE95CAE" w14:textId="77777777" w:rsidR="00AC66E9" w:rsidRPr="00AC66E9" w:rsidRDefault="00AC66E9" w:rsidP="00D137F2">
            <w:pPr>
              <w:rPr>
                <w:b/>
              </w:rPr>
            </w:pPr>
            <w:r w:rsidRPr="00AC66E9">
              <w:rPr>
                <w:b/>
              </w:rPr>
              <w:t>Produkce</w:t>
            </w:r>
          </w:p>
        </w:tc>
        <w:tc>
          <w:tcPr>
            <w:tcW w:w="2265" w:type="dxa"/>
          </w:tcPr>
          <w:p w14:paraId="62954C63" w14:textId="77777777" w:rsidR="00AC66E9" w:rsidRDefault="00AC66E9" w:rsidP="00D137F2">
            <w:r>
              <w:t>Měrná jednotka</w:t>
            </w:r>
          </w:p>
        </w:tc>
        <w:tc>
          <w:tcPr>
            <w:tcW w:w="2265" w:type="dxa"/>
          </w:tcPr>
          <w:p w14:paraId="14A04F41" w14:textId="77777777" w:rsidR="00AC66E9" w:rsidRDefault="00AC66E9" w:rsidP="00D137F2">
            <w:r>
              <w:t>Jednotková cena</w:t>
            </w:r>
          </w:p>
        </w:tc>
        <w:tc>
          <w:tcPr>
            <w:tcW w:w="2265" w:type="dxa"/>
          </w:tcPr>
          <w:p w14:paraId="650D298F" w14:textId="77777777" w:rsidR="00AC66E9" w:rsidRDefault="00AC66E9" w:rsidP="00AC66E9">
            <w:r>
              <w:t>Kč bez DPH</w:t>
            </w:r>
          </w:p>
        </w:tc>
      </w:tr>
      <w:tr w:rsidR="00AC66E9" w14:paraId="644C09C4" w14:textId="77777777" w:rsidTr="00D137F2">
        <w:tc>
          <w:tcPr>
            <w:tcW w:w="2265" w:type="dxa"/>
          </w:tcPr>
          <w:p w14:paraId="33080FF4" w14:textId="77777777" w:rsidR="00AC66E9" w:rsidRPr="00BA3E83" w:rsidRDefault="00AC66E9" w:rsidP="00D137F2">
            <w:r w:rsidRPr="00BA3E83">
              <w:rPr>
                <w:b/>
              </w:rPr>
              <w:t>Výběr obrazového materiálu</w:t>
            </w:r>
          </w:p>
        </w:tc>
        <w:tc>
          <w:tcPr>
            <w:tcW w:w="2265" w:type="dxa"/>
          </w:tcPr>
          <w:p w14:paraId="5758C6DA" w14:textId="77777777" w:rsidR="00AC66E9" w:rsidRPr="009041C8" w:rsidRDefault="00AC66E9" w:rsidP="00D137F2">
            <w:r w:rsidRPr="009041C8">
              <w:t>7/h</w:t>
            </w:r>
          </w:p>
        </w:tc>
        <w:tc>
          <w:tcPr>
            <w:tcW w:w="2265" w:type="dxa"/>
          </w:tcPr>
          <w:p w14:paraId="03D1706A" w14:textId="77777777" w:rsidR="00AC66E9" w:rsidRPr="009041C8" w:rsidRDefault="00AC66E9" w:rsidP="00D137F2">
            <w:r w:rsidRPr="009041C8">
              <w:t>250 Kč</w:t>
            </w:r>
          </w:p>
        </w:tc>
        <w:tc>
          <w:tcPr>
            <w:tcW w:w="2265" w:type="dxa"/>
          </w:tcPr>
          <w:p w14:paraId="14D25679" w14:textId="77777777" w:rsidR="00AC66E9" w:rsidRPr="009041C8" w:rsidRDefault="00AC66E9" w:rsidP="00D137F2">
            <w:r w:rsidRPr="009041C8">
              <w:t>1</w:t>
            </w:r>
            <w:r w:rsidR="00041B65">
              <w:t> </w:t>
            </w:r>
            <w:r w:rsidRPr="009041C8">
              <w:t>750</w:t>
            </w:r>
            <w:r w:rsidR="00041B65">
              <w:t xml:space="preserve"> Kč</w:t>
            </w:r>
          </w:p>
        </w:tc>
      </w:tr>
      <w:tr w:rsidR="00AC66E9" w14:paraId="7EF9BFD5" w14:textId="77777777" w:rsidTr="00D137F2">
        <w:tc>
          <w:tcPr>
            <w:tcW w:w="2265" w:type="dxa"/>
          </w:tcPr>
          <w:p w14:paraId="541F8BAE" w14:textId="77777777" w:rsidR="00AC66E9" w:rsidRPr="00BA3E83" w:rsidRDefault="00AC66E9" w:rsidP="00D137F2">
            <w:r w:rsidRPr="00BA3E83">
              <w:rPr>
                <w:b/>
              </w:rPr>
              <w:t>Postprodukce fotografií</w:t>
            </w:r>
          </w:p>
        </w:tc>
        <w:tc>
          <w:tcPr>
            <w:tcW w:w="2265" w:type="dxa"/>
          </w:tcPr>
          <w:p w14:paraId="593E6621" w14:textId="77777777" w:rsidR="00AC66E9" w:rsidRPr="009041C8" w:rsidRDefault="00AC66E9" w:rsidP="00D137F2">
            <w:r w:rsidRPr="009041C8">
              <w:t>12/h</w:t>
            </w:r>
          </w:p>
        </w:tc>
        <w:tc>
          <w:tcPr>
            <w:tcW w:w="2265" w:type="dxa"/>
          </w:tcPr>
          <w:p w14:paraId="49E0EA9C" w14:textId="77777777" w:rsidR="00AC66E9" w:rsidRPr="009041C8" w:rsidRDefault="00AC66E9" w:rsidP="00D137F2">
            <w:r w:rsidRPr="009041C8">
              <w:t>550 Kč</w:t>
            </w:r>
          </w:p>
        </w:tc>
        <w:tc>
          <w:tcPr>
            <w:tcW w:w="2265" w:type="dxa"/>
          </w:tcPr>
          <w:p w14:paraId="54954EB8" w14:textId="77777777" w:rsidR="00AC66E9" w:rsidRPr="009041C8" w:rsidRDefault="009041C8" w:rsidP="009041C8">
            <w:r w:rsidRPr="009041C8">
              <w:t xml:space="preserve">6 600 </w:t>
            </w:r>
            <w:r w:rsidR="00041B65">
              <w:t>Kč</w:t>
            </w:r>
          </w:p>
        </w:tc>
      </w:tr>
      <w:tr w:rsidR="009002C3" w14:paraId="5851C692" w14:textId="77777777" w:rsidTr="004A54D4">
        <w:tc>
          <w:tcPr>
            <w:tcW w:w="2265" w:type="dxa"/>
          </w:tcPr>
          <w:p w14:paraId="4E414A29" w14:textId="77777777" w:rsidR="009002C3" w:rsidRPr="00BA3E83" w:rsidRDefault="009002C3" w:rsidP="00D137F2">
            <w:pPr>
              <w:rPr>
                <w:b/>
              </w:rPr>
            </w:pPr>
            <w:r>
              <w:rPr>
                <w:b/>
              </w:rPr>
              <w:t>Celkem bez DPH</w:t>
            </w:r>
          </w:p>
        </w:tc>
        <w:tc>
          <w:tcPr>
            <w:tcW w:w="2265" w:type="dxa"/>
          </w:tcPr>
          <w:p w14:paraId="39C6E36F" w14:textId="77777777" w:rsidR="009002C3" w:rsidRPr="00AC66E9" w:rsidRDefault="009002C3" w:rsidP="00D137F2">
            <w:pPr>
              <w:rPr>
                <w:b/>
              </w:rPr>
            </w:pPr>
          </w:p>
        </w:tc>
        <w:tc>
          <w:tcPr>
            <w:tcW w:w="2265" w:type="dxa"/>
          </w:tcPr>
          <w:p w14:paraId="1E0FD951" w14:textId="77777777" w:rsidR="009002C3" w:rsidRPr="00AC66E9" w:rsidRDefault="009002C3" w:rsidP="00D137F2">
            <w:pPr>
              <w:rPr>
                <w:b/>
              </w:rPr>
            </w:pPr>
          </w:p>
        </w:tc>
        <w:tc>
          <w:tcPr>
            <w:tcW w:w="2265" w:type="dxa"/>
          </w:tcPr>
          <w:p w14:paraId="6110B08C" w14:textId="77777777" w:rsidR="009002C3" w:rsidRPr="00AC66E9" w:rsidRDefault="009002C3" w:rsidP="00D137F2">
            <w:pPr>
              <w:rPr>
                <w:b/>
              </w:rPr>
            </w:pPr>
            <w:r>
              <w:rPr>
                <w:b/>
              </w:rPr>
              <w:t>8</w:t>
            </w:r>
            <w:r w:rsidR="00041B65">
              <w:rPr>
                <w:b/>
              </w:rPr>
              <w:t> </w:t>
            </w:r>
            <w:r>
              <w:rPr>
                <w:b/>
              </w:rPr>
              <w:t>350</w:t>
            </w:r>
            <w:r w:rsidR="00041B65">
              <w:rPr>
                <w:b/>
              </w:rPr>
              <w:t xml:space="preserve"> Kč</w:t>
            </w:r>
          </w:p>
        </w:tc>
      </w:tr>
    </w:tbl>
    <w:p w14:paraId="543BB577" w14:textId="77777777" w:rsidR="00AC66E9" w:rsidRDefault="00AC66E9"/>
    <w:sectPr w:rsidR="00AC66E9" w:rsidSect="00AF3A1E">
      <w:footerReference w:type="default" r:id="rId8"/>
      <w:pgSz w:w="11906" w:h="16838"/>
      <w:pgMar w:top="2155" w:right="1418" w:bottom="215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29AE6" w14:textId="77777777" w:rsidR="00852CE8" w:rsidRDefault="00852CE8" w:rsidP="00BE045D">
      <w:r>
        <w:separator/>
      </w:r>
    </w:p>
  </w:endnote>
  <w:endnote w:type="continuationSeparator" w:id="0">
    <w:p w14:paraId="313FBD57" w14:textId="77777777" w:rsidR="00852CE8" w:rsidRDefault="00852CE8" w:rsidP="00B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949878"/>
      <w:docPartObj>
        <w:docPartGallery w:val="Page Numbers (Bottom of Page)"/>
        <w:docPartUnique/>
      </w:docPartObj>
    </w:sdtPr>
    <w:sdtEndPr/>
    <w:sdtContent>
      <w:p w14:paraId="3EDE08F4" w14:textId="77777777" w:rsidR="00A11D78" w:rsidRDefault="00A11D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9C4">
          <w:rPr>
            <w:noProof/>
          </w:rPr>
          <w:t>6</w:t>
        </w:r>
        <w:r>
          <w:fldChar w:fldCharType="end"/>
        </w:r>
      </w:p>
    </w:sdtContent>
  </w:sdt>
  <w:p w14:paraId="670A3B53" w14:textId="77777777" w:rsidR="00BE045D" w:rsidRDefault="00BE04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40C96" w14:textId="77777777" w:rsidR="00852CE8" w:rsidRDefault="00852CE8" w:rsidP="00BE045D">
      <w:r>
        <w:separator/>
      </w:r>
    </w:p>
  </w:footnote>
  <w:footnote w:type="continuationSeparator" w:id="0">
    <w:p w14:paraId="3347003A" w14:textId="77777777" w:rsidR="00852CE8" w:rsidRDefault="00852CE8" w:rsidP="00B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49"/>
    <w:rsid w:val="0001425F"/>
    <w:rsid w:val="00024A29"/>
    <w:rsid w:val="00041B65"/>
    <w:rsid w:val="000620E2"/>
    <w:rsid w:val="000858D2"/>
    <w:rsid w:val="000E1CC5"/>
    <w:rsid w:val="000E576D"/>
    <w:rsid w:val="00136236"/>
    <w:rsid w:val="00140754"/>
    <w:rsid w:val="0019164C"/>
    <w:rsid w:val="001C16D6"/>
    <w:rsid w:val="001C33AB"/>
    <w:rsid w:val="001C5D98"/>
    <w:rsid w:val="001D0EA7"/>
    <w:rsid w:val="001E5FDC"/>
    <w:rsid w:val="00241F60"/>
    <w:rsid w:val="00271AE9"/>
    <w:rsid w:val="0027782F"/>
    <w:rsid w:val="002C2D1E"/>
    <w:rsid w:val="002D57C6"/>
    <w:rsid w:val="002E66D7"/>
    <w:rsid w:val="00360BD6"/>
    <w:rsid w:val="003D6E25"/>
    <w:rsid w:val="003F3FF9"/>
    <w:rsid w:val="0040235D"/>
    <w:rsid w:val="0041157C"/>
    <w:rsid w:val="00471F08"/>
    <w:rsid w:val="004B69A7"/>
    <w:rsid w:val="004D0E11"/>
    <w:rsid w:val="0052562A"/>
    <w:rsid w:val="00530649"/>
    <w:rsid w:val="00541F44"/>
    <w:rsid w:val="00560893"/>
    <w:rsid w:val="00586661"/>
    <w:rsid w:val="005C74AD"/>
    <w:rsid w:val="00615264"/>
    <w:rsid w:val="00640AB4"/>
    <w:rsid w:val="00654177"/>
    <w:rsid w:val="0066414B"/>
    <w:rsid w:val="0068197C"/>
    <w:rsid w:val="006B1131"/>
    <w:rsid w:val="006B6DB1"/>
    <w:rsid w:val="006B6E95"/>
    <w:rsid w:val="00734B66"/>
    <w:rsid w:val="007C0C5E"/>
    <w:rsid w:val="007D36B1"/>
    <w:rsid w:val="007D5BA3"/>
    <w:rsid w:val="007E4320"/>
    <w:rsid w:val="007F39AA"/>
    <w:rsid w:val="007F4526"/>
    <w:rsid w:val="00814108"/>
    <w:rsid w:val="00852CE8"/>
    <w:rsid w:val="00855763"/>
    <w:rsid w:val="00881107"/>
    <w:rsid w:val="00897D9A"/>
    <w:rsid w:val="008A07E2"/>
    <w:rsid w:val="008E0B89"/>
    <w:rsid w:val="008F64F2"/>
    <w:rsid w:val="009002C3"/>
    <w:rsid w:val="009032BE"/>
    <w:rsid w:val="009041C8"/>
    <w:rsid w:val="00926F4E"/>
    <w:rsid w:val="0096329A"/>
    <w:rsid w:val="00982AE3"/>
    <w:rsid w:val="00992B07"/>
    <w:rsid w:val="00994C84"/>
    <w:rsid w:val="009C11D1"/>
    <w:rsid w:val="009C45F7"/>
    <w:rsid w:val="009F0C4B"/>
    <w:rsid w:val="009F5BDD"/>
    <w:rsid w:val="00A01131"/>
    <w:rsid w:val="00A11D78"/>
    <w:rsid w:val="00A3056C"/>
    <w:rsid w:val="00A36C01"/>
    <w:rsid w:val="00AB215B"/>
    <w:rsid w:val="00AC66E9"/>
    <w:rsid w:val="00AD540D"/>
    <w:rsid w:val="00B33333"/>
    <w:rsid w:val="00B46497"/>
    <w:rsid w:val="00B60D10"/>
    <w:rsid w:val="00B6610E"/>
    <w:rsid w:val="00BA3E83"/>
    <w:rsid w:val="00BC5797"/>
    <w:rsid w:val="00BC5C8D"/>
    <w:rsid w:val="00BE045D"/>
    <w:rsid w:val="00BE7528"/>
    <w:rsid w:val="00C136A9"/>
    <w:rsid w:val="00C573BF"/>
    <w:rsid w:val="00C637FB"/>
    <w:rsid w:val="00CE1A66"/>
    <w:rsid w:val="00CF7BD1"/>
    <w:rsid w:val="00D132ED"/>
    <w:rsid w:val="00D160F9"/>
    <w:rsid w:val="00D80148"/>
    <w:rsid w:val="00D80220"/>
    <w:rsid w:val="00D97517"/>
    <w:rsid w:val="00DC29C4"/>
    <w:rsid w:val="00DF0A5C"/>
    <w:rsid w:val="00DF5C84"/>
    <w:rsid w:val="00E12141"/>
    <w:rsid w:val="00E3620F"/>
    <w:rsid w:val="00E667D6"/>
    <w:rsid w:val="00EB41E7"/>
    <w:rsid w:val="00EB64B5"/>
    <w:rsid w:val="00EC3391"/>
    <w:rsid w:val="00F0496B"/>
    <w:rsid w:val="00F10751"/>
    <w:rsid w:val="00F22847"/>
    <w:rsid w:val="00F90544"/>
    <w:rsid w:val="00FC7405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D2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D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5D98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1C5D9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1C5D98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1C5D98"/>
    <w:rPr>
      <w:i/>
      <w:iCs/>
    </w:rPr>
  </w:style>
  <w:style w:type="character" w:customStyle="1" w:styleId="platne">
    <w:name w:val="platne"/>
    <w:basedOn w:val="Standardnpsmoodstavce"/>
    <w:rsid w:val="001C5D98"/>
  </w:style>
  <w:style w:type="paragraph" w:styleId="Zhlav">
    <w:name w:val="header"/>
    <w:basedOn w:val="Normln"/>
    <w:link w:val="ZhlavChar"/>
    <w:uiPriority w:val="99"/>
    <w:unhideWhenUsed/>
    <w:rsid w:val="00BE0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45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D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0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C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C4B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C4B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4B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table" w:styleId="Mkatabulky">
    <w:name w:val="Table Grid"/>
    <w:basedOn w:val="Normlntabulka"/>
    <w:rsid w:val="00D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C66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4169-5847-4314-9E78-A396B062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2017-12-05T15:26:00Z</dcterms:created>
  <dcterms:modified xsi:type="dcterms:W3CDTF">2017-12-06T11:56:00Z</dcterms:modified>
</cp:coreProperties>
</file>