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3E" w:rsidRPr="00752730" w:rsidRDefault="00EB66E7" w:rsidP="002D08C5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752730">
        <w:rPr>
          <w:rFonts w:asciiTheme="minorHAnsi" w:hAnsiTheme="minorHAnsi"/>
          <w:b/>
          <w:bCs/>
          <w:sz w:val="32"/>
          <w:szCs w:val="32"/>
        </w:rPr>
        <w:t xml:space="preserve">Smlouva o poskytnutí užívacích práv </w:t>
      </w:r>
      <w:r w:rsidR="005A6EDE">
        <w:rPr>
          <w:rFonts w:asciiTheme="minorHAnsi" w:hAnsiTheme="minorHAnsi"/>
          <w:b/>
          <w:bCs/>
          <w:sz w:val="32"/>
          <w:szCs w:val="32"/>
        </w:rPr>
        <w:t>ke službě systému</w:t>
      </w:r>
      <w:r w:rsidR="003647D4" w:rsidRPr="00752730">
        <w:rPr>
          <w:rFonts w:asciiTheme="minorHAnsi" w:hAnsiTheme="minorHAnsi"/>
          <w:b/>
          <w:bCs/>
          <w:sz w:val="32"/>
          <w:szCs w:val="32"/>
        </w:rPr>
        <w:t xml:space="preserve"> ASPI</w:t>
      </w:r>
    </w:p>
    <w:p w:rsidR="000F3227" w:rsidRPr="00752730" w:rsidRDefault="000F3227" w:rsidP="00D7093E">
      <w:pPr>
        <w:pStyle w:val="Default"/>
        <w:rPr>
          <w:rFonts w:asciiTheme="minorHAnsi" w:hAnsiTheme="minorHAnsi"/>
          <w:sz w:val="22"/>
          <w:szCs w:val="22"/>
        </w:rPr>
      </w:pPr>
    </w:p>
    <w:p w:rsidR="003647D4" w:rsidRDefault="003647D4" w:rsidP="00D7093E">
      <w:pPr>
        <w:pStyle w:val="Default"/>
        <w:rPr>
          <w:rFonts w:asciiTheme="minorHAnsi" w:hAnsiTheme="minorHAnsi"/>
          <w:sz w:val="20"/>
          <w:szCs w:val="20"/>
        </w:rPr>
      </w:pPr>
    </w:p>
    <w:p w:rsidR="00611FFC" w:rsidRPr="00460465" w:rsidRDefault="008C0CF6" w:rsidP="00D7093E">
      <w:pPr>
        <w:pStyle w:val="Default"/>
        <w:rPr>
          <w:rFonts w:asciiTheme="minorHAnsi" w:hAnsiTheme="minorHAnsi"/>
          <w:b/>
          <w:sz w:val="20"/>
          <w:szCs w:val="20"/>
        </w:rPr>
      </w:pPr>
      <w:r w:rsidRPr="00460465">
        <w:rPr>
          <w:rFonts w:asciiTheme="minorHAnsi" w:hAnsiTheme="minorHAnsi"/>
          <w:b/>
          <w:sz w:val="20"/>
          <w:szCs w:val="20"/>
        </w:rPr>
        <w:t>Agentura pro zdravotnický výzkum ČR</w:t>
      </w:r>
    </w:p>
    <w:p w:rsidR="003647D4" w:rsidRPr="0021125A" w:rsidRDefault="008C0CF6" w:rsidP="00D7093E">
      <w:pPr>
        <w:pStyle w:val="Default"/>
        <w:rPr>
          <w:rFonts w:asciiTheme="minorHAnsi" w:hAnsiTheme="minorHAnsi"/>
          <w:sz w:val="20"/>
          <w:szCs w:val="20"/>
        </w:rPr>
      </w:pPr>
      <w:r w:rsidRPr="0021125A">
        <w:rPr>
          <w:rFonts w:asciiTheme="minorHAnsi" w:hAnsiTheme="minorHAnsi"/>
          <w:sz w:val="20"/>
          <w:szCs w:val="20"/>
        </w:rPr>
        <w:t>Ruská 2412/85, 100 0</w:t>
      </w:r>
      <w:r w:rsidR="001560A4">
        <w:rPr>
          <w:rFonts w:asciiTheme="minorHAnsi" w:hAnsiTheme="minorHAnsi"/>
          <w:sz w:val="20"/>
          <w:szCs w:val="20"/>
        </w:rPr>
        <w:t>5</w:t>
      </w:r>
      <w:r w:rsidRPr="0021125A">
        <w:rPr>
          <w:rFonts w:asciiTheme="minorHAnsi" w:hAnsiTheme="minorHAnsi"/>
          <w:sz w:val="20"/>
          <w:szCs w:val="20"/>
        </w:rPr>
        <w:t xml:space="preserve"> Praha 10</w:t>
      </w:r>
    </w:p>
    <w:p w:rsidR="00752730" w:rsidRPr="003B26E1" w:rsidRDefault="003B26E1" w:rsidP="008028D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1125A">
        <w:rPr>
          <w:rFonts w:asciiTheme="minorHAnsi" w:hAnsiTheme="minorHAnsi" w:cstheme="minorHAnsi"/>
          <w:sz w:val="20"/>
          <w:szCs w:val="20"/>
        </w:rPr>
        <w:t>IČ: 03009491</w:t>
      </w:r>
    </w:p>
    <w:p w:rsidR="00752730" w:rsidRPr="003B26E1" w:rsidRDefault="008028D4" w:rsidP="008028D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3B26E1">
        <w:rPr>
          <w:rFonts w:asciiTheme="minorHAnsi" w:hAnsiTheme="minorHAnsi" w:cstheme="minorHAnsi"/>
          <w:sz w:val="20"/>
          <w:szCs w:val="20"/>
        </w:rPr>
        <w:t>DIČ:</w:t>
      </w:r>
      <w:r w:rsidRPr="003B26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B26E1" w:rsidRPr="003B26E1">
        <w:rPr>
          <w:rFonts w:asciiTheme="minorHAnsi" w:hAnsiTheme="minorHAnsi" w:cstheme="minorHAnsi"/>
          <w:b/>
          <w:sz w:val="20"/>
          <w:szCs w:val="20"/>
        </w:rPr>
        <w:t>CZ</w:t>
      </w:r>
      <w:r w:rsidR="003B26E1" w:rsidRPr="003B26E1">
        <w:rPr>
          <w:rFonts w:asciiTheme="minorHAnsi" w:hAnsiTheme="minorHAnsi" w:cstheme="minorHAnsi"/>
          <w:sz w:val="20"/>
          <w:szCs w:val="20"/>
        </w:rPr>
        <w:t>03009491</w:t>
      </w:r>
    </w:p>
    <w:p w:rsidR="00C841C9" w:rsidRPr="00C841C9" w:rsidRDefault="008028D4" w:rsidP="00C841C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3B26E1">
        <w:rPr>
          <w:rFonts w:asciiTheme="minorHAnsi" w:hAnsiTheme="minorHAnsi" w:cstheme="minorHAnsi"/>
          <w:sz w:val="20"/>
          <w:szCs w:val="20"/>
        </w:rPr>
        <w:t xml:space="preserve">zápis v obch. </w:t>
      </w:r>
      <w:proofErr w:type="gramStart"/>
      <w:r w:rsidRPr="003B26E1">
        <w:rPr>
          <w:rFonts w:asciiTheme="minorHAnsi" w:hAnsiTheme="minorHAnsi" w:cstheme="minorHAnsi"/>
          <w:sz w:val="20"/>
          <w:szCs w:val="20"/>
        </w:rPr>
        <w:t>rejstříku</w:t>
      </w:r>
      <w:proofErr w:type="gramEnd"/>
      <w:r w:rsidRPr="003B26E1">
        <w:rPr>
          <w:rFonts w:asciiTheme="minorHAnsi" w:hAnsiTheme="minorHAnsi" w:cstheme="minorHAnsi"/>
          <w:sz w:val="20"/>
          <w:szCs w:val="20"/>
        </w:rPr>
        <w:t xml:space="preserve"> v </w:t>
      </w:r>
      <w:r w:rsidRPr="003B26E1">
        <w:rPr>
          <w:rFonts w:asciiTheme="minorHAnsi" w:hAnsiTheme="minorHAnsi" w:cstheme="minorHAnsi"/>
          <w:sz w:val="20"/>
          <w:szCs w:val="20"/>
        </w:rPr>
        <w:br/>
      </w:r>
      <w:r w:rsidRPr="00C841C9">
        <w:rPr>
          <w:rFonts w:asciiTheme="minorHAnsi" w:hAnsiTheme="minorHAnsi" w:cstheme="minorHAnsi"/>
          <w:sz w:val="20"/>
          <w:szCs w:val="20"/>
        </w:rPr>
        <w:t xml:space="preserve">zástupce: </w:t>
      </w:r>
      <w:r w:rsidR="00C841C9" w:rsidRPr="00C841C9">
        <w:rPr>
          <w:rFonts w:asciiTheme="minorHAnsi" w:hAnsiTheme="minorHAnsi" w:cstheme="minorHAnsi"/>
          <w:sz w:val="20"/>
          <w:szCs w:val="20"/>
        </w:rPr>
        <w:t>prof. MUDr.</w:t>
      </w:r>
      <w:r w:rsidR="00C841C9">
        <w:rPr>
          <w:rFonts w:asciiTheme="minorHAnsi" w:hAnsiTheme="minorHAnsi" w:cstheme="minorHAnsi"/>
          <w:sz w:val="20"/>
          <w:szCs w:val="20"/>
        </w:rPr>
        <w:t xml:space="preserve"> Miroslav Ryska, </w:t>
      </w:r>
      <w:proofErr w:type="spellStart"/>
      <w:r w:rsidR="00C841C9">
        <w:rPr>
          <w:rFonts w:asciiTheme="minorHAnsi" w:hAnsiTheme="minorHAnsi" w:cstheme="minorHAnsi"/>
          <w:sz w:val="20"/>
          <w:szCs w:val="20"/>
        </w:rPr>
        <w:t>CSc.,předseda</w:t>
      </w:r>
      <w:proofErr w:type="spellEnd"/>
    </w:p>
    <w:p w:rsidR="001560A4" w:rsidRPr="001560A4" w:rsidRDefault="001560A4" w:rsidP="001560A4">
      <w:pPr>
        <w:spacing w:after="0" w:line="240" w:lineRule="auto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Pr="001560A4">
        <w:rPr>
          <w:rFonts w:asciiTheme="minorHAnsi" w:hAnsiTheme="minorHAnsi" w:cstheme="minorHAnsi"/>
          <w:sz w:val="20"/>
          <w:szCs w:val="20"/>
        </w:rPr>
        <w:t>ontakt:</w:t>
      </w:r>
      <w:r w:rsidR="00EF39C7">
        <w:rPr>
          <w:rFonts w:asciiTheme="minorHAnsi" w:hAnsiTheme="minorHAnsi" w:cstheme="minorHAnsi"/>
          <w:sz w:val="20"/>
          <w:szCs w:val="20"/>
        </w:rPr>
        <w:t xml:space="preserve">  </w:t>
      </w:r>
      <w:proofErr w:type="gramStart"/>
      <w:r w:rsidR="00F81967">
        <w:rPr>
          <w:rFonts w:asciiTheme="minorHAnsi" w:hAnsiTheme="minorHAnsi" w:cstheme="minorHAnsi"/>
          <w:sz w:val="20"/>
          <w:szCs w:val="20"/>
        </w:rPr>
        <w:t>XXXXX</w:t>
      </w:r>
      <w:r w:rsidR="00EF39C7">
        <w:rPr>
          <w:rFonts w:asciiTheme="minorHAnsi" w:hAnsiTheme="minorHAnsi" w:cstheme="minorHAnsi"/>
          <w:sz w:val="20"/>
          <w:szCs w:val="20"/>
        </w:rPr>
        <w:t xml:space="preserve"> </w:t>
      </w:r>
      <w:r w:rsidRPr="001560A4">
        <w:rPr>
          <w:rFonts w:asciiTheme="minorHAnsi" w:hAnsiTheme="minorHAnsi" w:cstheme="minorHAnsi"/>
          <w:sz w:val="20"/>
          <w:szCs w:val="20"/>
        </w:rPr>
        <w:t xml:space="preserve">, </w:t>
      </w:r>
      <w:r w:rsidRPr="001560A4">
        <w:rPr>
          <w:sz w:val="20"/>
          <w:szCs w:val="20"/>
        </w:rPr>
        <w:t>Tel.</w:t>
      </w:r>
      <w:proofErr w:type="gramEnd"/>
      <w:r w:rsidRPr="001560A4">
        <w:rPr>
          <w:sz w:val="20"/>
          <w:szCs w:val="20"/>
        </w:rPr>
        <w:t>:</w:t>
      </w:r>
      <w:r w:rsidR="00EF39C7">
        <w:rPr>
          <w:sz w:val="20"/>
          <w:szCs w:val="20"/>
        </w:rPr>
        <w:t xml:space="preserve">   </w:t>
      </w:r>
      <w:proofErr w:type="gramStart"/>
      <w:r w:rsidR="00F81967">
        <w:rPr>
          <w:sz w:val="20"/>
          <w:szCs w:val="20"/>
        </w:rPr>
        <w:t>XXXXXXXX</w:t>
      </w:r>
      <w:r w:rsidR="00EF39C7">
        <w:rPr>
          <w:sz w:val="20"/>
          <w:szCs w:val="20"/>
        </w:rPr>
        <w:t xml:space="preserve"> </w:t>
      </w:r>
      <w:r w:rsidRPr="001560A4">
        <w:rPr>
          <w:sz w:val="20"/>
          <w:szCs w:val="20"/>
        </w:rPr>
        <w:t>,e-mail</w:t>
      </w:r>
      <w:proofErr w:type="gramEnd"/>
      <w:r w:rsidRPr="001560A4">
        <w:rPr>
          <w:sz w:val="20"/>
          <w:szCs w:val="20"/>
        </w:rPr>
        <w:t xml:space="preserve">: </w:t>
      </w:r>
      <w:r w:rsidR="00F81967">
        <w:rPr>
          <w:sz w:val="20"/>
          <w:szCs w:val="20"/>
        </w:rPr>
        <w:t>XXXXXXXX</w:t>
      </w:r>
    </w:p>
    <w:p w:rsidR="008028D4" w:rsidRPr="00C841C9" w:rsidRDefault="008028D4" w:rsidP="001560A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proofErr w:type="gramStart"/>
      <w:r w:rsidRPr="001560A4">
        <w:rPr>
          <w:rFonts w:asciiTheme="minorHAnsi" w:hAnsiTheme="minorHAnsi" w:cstheme="minorHAnsi"/>
          <w:color w:val="auto"/>
          <w:sz w:val="20"/>
          <w:szCs w:val="20"/>
        </w:rPr>
        <w:t>j</w:t>
      </w:r>
      <w:r w:rsidRPr="00C841C9">
        <w:rPr>
          <w:rFonts w:asciiTheme="minorHAnsi" w:hAnsiTheme="minorHAnsi" w:cstheme="minorHAnsi"/>
          <w:color w:val="auto"/>
          <w:sz w:val="20"/>
          <w:szCs w:val="20"/>
        </w:rPr>
        <w:t xml:space="preserve">ako  </w:t>
      </w:r>
      <w:r w:rsidR="00956CC6" w:rsidRPr="00C841C9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3748BC" w:rsidRPr="00C841C9">
        <w:rPr>
          <w:rFonts w:asciiTheme="minorHAnsi" w:hAnsiTheme="minorHAnsi" w:cstheme="minorHAnsi"/>
          <w:color w:val="auto"/>
          <w:sz w:val="20"/>
          <w:szCs w:val="20"/>
        </w:rPr>
        <w:t xml:space="preserve"> b j e d n a t e l</w:t>
      </w:r>
      <w:r w:rsidR="009D7F04" w:rsidRPr="00C841C9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Pr="00C841C9">
        <w:rPr>
          <w:rFonts w:asciiTheme="minorHAnsi" w:hAnsiTheme="minorHAnsi" w:cstheme="minorHAnsi"/>
          <w:color w:val="auto"/>
          <w:sz w:val="20"/>
          <w:szCs w:val="20"/>
        </w:rPr>
        <w:t>(dále</w:t>
      </w:r>
      <w:proofErr w:type="gramEnd"/>
      <w:r w:rsidRPr="00C841C9">
        <w:rPr>
          <w:rFonts w:asciiTheme="minorHAnsi" w:hAnsiTheme="minorHAnsi" w:cstheme="minorHAnsi"/>
          <w:color w:val="auto"/>
          <w:sz w:val="20"/>
          <w:szCs w:val="20"/>
        </w:rPr>
        <w:t xml:space="preserve"> jen „</w:t>
      </w:r>
      <w:r w:rsidR="00956CC6" w:rsidRPr="00C841C9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3748BC" w:rsidRPr="00C841C9">
        <w:rPr>
          <w:rFonts w:asciiTheme="minorHAnsi" w:hAnsiTheme="minorHAnsi" w:cstheme="minorHAnsi"/>
          <w:color w:val="auto"/>
          <w:sz w:val="20"/>
          <w:szCs w:val="20"/>
        </w:rPr>
        <w:t>bjednatel</w:t>
      </w:r>
      <w:r w:rsidRPr="00C841C9">
        <w:rPr>
          <w:rFonts w:asciiTheme="minorHAnsi" w:hAnsiTheme="minorHAnsi" w:cstheme="minorHAnsi"/>
          <w:color w:val="auto"/>
          <w:sz w:val="20"/>
          <w:szCs w:val="20"/>
        </w:rPr>
        <w:t>“) na straně jedné,</w:t>
      </w:r>
    </w:p>
    <w:p w:rsidR="005F514A" w:rsidRPr="001F5272" w:rsidRDefault="005F514A" w:rsidP="008028D4">
      <w:pPr>
        <w:pStyle w:val="Default"/>
        <w:rPr>
          <w:rFonts w:asciiTheme="minorHAnsi" w:hAnsiTheme="minorHAnsi"/>
          <w:sz w:val="20"/>
          <w:szCs w:val="20"/>
        </w:rPr>
      </w:pPr>
    </w:p>
    <w:p w:rsidR="008028D4" w:rsidRPr="001F5272" w:rsidRDefault="008028D4" w:rsidP="00D7093E">
      <w:pPr>
        <w:pStyle w:val="Default"/>
        <w:rPr>
          <w:rFonts w:asciiTheme="minorHAnsi" w:hAnsiTheme="minorHAnsi"/>
          <w:sz w:val="20"/>
          <w:szCs w:val="20"/>
        </w:rPr>
      </w:pPr>
    </w:p>
    <w:p w:rsidR="000F3227" w:rsidRDefault="000F3227" w:rsidP="001F5272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>a</w:t>
      </w:r>
    </w:p>
    <w:p w:rsidR="005F514A" w:rsidRPr="001F5272" w:rsidRDefault="005F514A" w:rsidP="001F5272">
      <w:pPr>
        <w:pStyle w:val="Default"/>
        <w:jc w:val="center"/>
        <w:rPr>
          <w:rFonts w:asciiTheme="minorHAnsi" w:hAnsiTheme="minorHAnsi"/>
          <w:sz w:val="20"/>
          <w:szCs w:val="20"/>
        </w:rPr>
      </w:pPr>
    </w:p>
    <w:p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br/>
      </w:r>
      <w:proofErr w:type="spellStart"/>
      <w:r w:rsidRPr="001F5272">
        <w:rPr>
          <w:rFonts w:asciiTheme="minorHAnsi" w:hAnsiTheme="minorHAnsi"/>
          <w:b/>
          <w:bCs/>
          <w:sz w:val="20"/>
          <w:szCs w:val="20"/>
        </w:rPr>
        <w:t>Wolters</w:t>
      </w:r>
      <w:proofErr w:type="spellEnd"/>
      <w:r w:rsidRPr="001F5272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1F5272">
        <w:rPr>
          <w:rFonts w:asciiTheme="minorHAnsi" w:hAnsiTheme="minorHAnsi"/>
          <w:b/>
          <w:bCs/>
          <w:sz w:val="20"/>
          <w:szCs w:val="20"/>
        </w:rPr>
        <w:t>Kluwer</w:t>
      </w:r>
      <w:proofErr w:type="spellEnd"/>
      <w:r w:rsidRPr="001F5272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B6366E">
        <w:rPr>
          <w:rFonts w:asciiTheme="minorHAnsi" w:hAnsiTheme="minorHAnsi"/>
          <w:b/>
          <w:bCs/>
          <w:sz w:val="20"/>
          <w:szCs w:val="20"/>
        </w:rPr>
        <w:t>ČR</w:t>
      </w:r>
      <w:r w:rsidRPr="001F5272">
        <w:rPr>
          <w:rFonts w:asciiTheme="minorHAnsi" w:hAnsiTheme="minorHAnsi"/>
          <w:b/>
          <w:bCs/>
          <w:sz w:val="20"/>
          <w:szCs w:val="20"/>
        </w:rPr>
        <w:t xml:space="preserve">, a.s. </w:t>
      </w:r>
    </w:p>
    <w:p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  <w:r w:rsidRPr="001F5272">
        <w:rPr>
          <w:rFonts w:asciiTheme="minorHAnsi" w:hAnsiTheme="minorHAnsi"/>
          <w:sz w:val="20"/>
          <w:szCs w:val="20"/>
        </w:rPr>
        <w:t xml:space="preserve">U Nákladového nádraží 6, 130 00 Praha 3 </w:t>
      </w:r>
    </w:p>
    <w:p w:rsidR="003647D4" w:rsidRDefault="000F3227" w:rsidP="000F3227">
      <w:pPr>
        <w:pStyle w:val="Default"/>
        <w:rPr>
          <w:rFonts w:asciiTheme="minorHAnsi" w:hAnsiTheme="minorHAnsi"/>
          <w:sz w:val="20"/>
          <w:szCs w:val="20"/>
          <w:shd w:val="clear" w:color="auto" w:fill="FFFFFF"/>
        </w:rPr>
      </w:pPr>
      <w:r w:rsidRPr="001F5272">
        <w:rPr>
          <w:rFonts w:asciiTheme="minorHAnsi" w:hAnsiTheme="minorHAnsi"/>
          <w:sz w:val="20"/>
          <w:szCs w:val="20"/>
        </w:rPr>
        <w:t>IČ: 63077639, DIČ: CZ63077639</w:t>
      </w:r>
      <w:r w:rsidRPr="001F5272">
        <w:rPr>
          <w:rFonts w:asciiTheme="minorHAnsi" w:hAnsiTheme="minorHAnsi"/>
          <w:sz w:val="20"/>
          <w:szCs w:val="20"/>
        </w:rPr>
        <w:br/>
        <w:t>zápi</w:t>
      </w:r>
      <w:smartTag w:uri="urn:schemas-microsoft-com:office:smarttags" w:element="PersonName">
        <w:r w:rsidRPr="001F5272">
          <w:rPr>
            <w:rFonts w:asciiTheme="minorHAnsi" w:hAnsiTheme="minorHAnsi"/>
            <w:sz w:val="20"/>
            <w:szCs w:val="20"/>
          </w:rPr>
          <w:t>s</w:t>
        </w:r>
      </w:smartTag>
      <w:r w:rsidRPr="001F5272">
        <w:rPr>
          <w:rFonts w:asciiTheme="minorHAnsi" w:hAnsiTheme="minorHAnsi"/>
          <w:sz w:val="20"/>
          <w:szCs w:val="20"/>
        </w:rPr>
        <w:t xml:space="preserve"> v obch. rejstříku v oddílu B, vložka č. 9659, u Městského soudu v Praze</w:t>
      </w:r>
      <w:r w:rsidRPr="001F5272">
        <w:rPr>
          <w:rFonts w:asciiTheme="minorHAnsi" w:hAnsiTheme="minorHAnsi"/>
          <w:sz w:val="20"/>
          <w:szCs w:val="20"/>
        </w:rPr>
        <w:br/>
        <w:t xml:space="preserve">zástupce: </w:t>
      </w:r>
      <w:r w:rsidR="003647D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</w:t>
      </w:r>
      <w:r w:rsidR="00CC40F4" w:rsidRPr="001F5272">
        <w:rPr>
          <w:rFonts w:asciiTheme="minorHAnsi" w:hAnsiTheme="minorHAnsi"/>
          <w:sz w:val="20"/>
          <w:szCs w:val="20"/>
          <w:shd w:val="clear" w:color="auto" w:fill="FFFFFF"/>
        </w:rPr>
        <w:t>ing</w:t>
      </w:r>
      <w:r w:rsidR="00BC08AA">
        <w:rPr>
          <w:rFonts w:asciiTheme="minorHAnsi" w:hAnsiTheme="minorHAnsi"/>
          <w:sz w:val="20"/>
          <w:szCs w:val="20"/>
          <w:shd w:val="clear" w:color="auto" w:fill="FFFFFF"/>
        </w:rPr>
        <w:t>.</w:t>
      </w:r>
      <w:r w:rsidR="00CC40F4" w:rsidRPr="001F5272">
        <w:rPr>
          <w:rFonts w:asciiTheme="minorHAnsi" w:hAnsiTheme="minorHAnsi"/>
          <w:sz w:val="20"/>
          <w:szCs w:val="20"/>
          <w:shd w:val="clear" w:color="auto" w:fill="FFFFFF"/>
        </w:rPr>
        <w:t xml:space="preserve"> Jiří Shameti, </w:t>
      </w:r>
      <w:r w:rsidR="00491879">
        <w:rPr>
          <w:rFonts w:asciiTheme="minorHAnsi" w:hAnsiTheme="minorHAnsi"/>
          <w:sz w:val="20"/>
          <w:szCs w:val="20"/>
          <w:shd w:val="clear" w:color="auto" w:fill="FFFFFF"/>
        </w:rPr>
        <w:t>člen představenstva</w:t>
      </w:r>
    </w:p>
    <w:p w:rsidR="005F514A" w:rsidRDefault="00D46C74" w:rsidP="000F3227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jako  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  (dále jen „</w:t>
      </w:r>
      <w:r w:rsidR="003647D4" w:rsidRPr="001F5272">
        <w:rPr>
          <w:rFonts w:asciiTheme="minorHAnsi" w:hAnsiTheme="minorHAnsi"/>
          <w:sz w:val="20"/>
          <w:szCs w:val="20"/>
        </w:rPr>
        <w:t>Poskytovatel</w:t>
      </w:r>
      <w:r w:rsidR="000F3227" w:rsidRPr="001F5272">
        <w:rPr>
          <w:rFonts w:asciiTheme="minorHAnsi" w:hAnsiTheme="minorHAnsi"/>
          <w:sz w:val="20"/>
          <w:szCs w:val="20"/>
        </w:rPr>
        <w:t xml:space="preserve">“) na straně </w:t>
      </w:r>
      <w:r w:rsidR="003647D4" w:rsidRPr="001F5272">
        <w:rPr>
          <w:rFonts w:asciiTheme="minorHAnsi" w:hAnsiTheme="minorHAnsi"/>
          <w:sz w:val="20"/>
          <w:szCs w:val="20"/>
        </w:rPr>
        <w:t xml:space="preserve">druhé </w:t>
      </w:r>
    </w:p>
    <w:p w:rsidR="005F514A" w:rsidRDefault="005F514A" w:rsidP="000F3227">
      <w:pPr>
        <w:pStyle w:val="Default"/>
        <w:rPr>
          <w:rFonts w:asciiTheme="minorHAnsi" w:hAnsiTheme="minorHAnsi"/>
          <w:sz w:val="20"/>
          <w:szCs w:val="20"/>
        </w:rPr>
      </w:pPr>
    </w:p>
    <w:p w:rsidR="000F3227" w:rsidRPr="001F5272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:rsidR="000F3227" w:rsidRPr="00611FFC" w:rsidRDefault="000F3227" w:rsidP="000F3227">
      <w:pPr>
        <w:pStyle w:val="Default"/>
        <w:rPr>
          <w:rFonts w:asciiTheme="minorHAnsi" w:hAnsiTheme="minorHAnsi"/>
          <w:sz w:val="20"/>
          <w:szCs w:val="20"/>
        </w:rPr>
      </w:pPr>
    </w:p>
    <w:p w:rsidR="000F3227" w:rsidRPr="00611FFC" w:rsidRDefault="00CC40F4" w:rsidP="000F3227">
      <w:pPr>
        <w:pStyle w:val="Default"/>
        <w:jc w:val="center"/>
        <w:rPr>
          <w:rFonts w:asciiTheme="minorHAnsi" w:hAnsiTheme="minorHAnsi"/>
          <w:b/>
          <w:bCs/>
          <w:sz w:val="20"/>
          <w:szCs w:val="20"/>
        </w:rPr>
      </w:pPr>
      <w:r w:rsidRPr="00611FFC">
        <w:rPr>
          <w:rFonts w:asciiTheme="minorHAnsi" w:hAnsiTheme="minorHAnsi"/>
          <w:b/>
          <w:bCs/>
          <w:sz w:val="20"/>
          <w:szCs w:val="20"/>
        </w:rPr>
        <w:t xml:space="preserve">Čl. </w:t>
      </w:r>
      <w:r w:rsidR="000F3227" w:rsidRPr="00611FFC">
        <w:rPr>
          <w:rFonts w:asciiTheme="minorHAnsi" w:hAnsiTheme="minorHAnsi"/>
          <w:b/>
          <w:bCs/>
          <w:sz w:val="20"/>
          <w:szCs w:val="20"/>
        </w:rPr>
        <w:t>I.</w:t>
      </w:r>
      <w:r w:rsidRPr="00611FFC">
        <w:rPr>
          <w:rFonts w:asciiTheme="minorHAnsi" w:hAnsiTheme="minorHAnsi"/>
          <w:b/>
          <w:bCs/>
          <w:sz w:val="20"/>
          <w:szCs w:val="20"/>
        </w:rPr>
        <w:t xml:space="preserve"> – Předmět plnění</w:t>
      </w:r>
    </w:p>
    <w:p w:rsidR="00012BB1" w:rsidRDefault="00CC40F4" w:rsidP="00F47780">
      <w:pPr>
        <w:pStyle w:val="Default"/>
        <w:ind w:firstLine="708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611FFC">
        <w:rPr>
          <w:rFonts w:asciiTheme="minorHAnsi" w:hAnsiTheme="minorHAnsi"/>
          <w:bCs/>
          <w:sz w:val="20"/>
          <w:szCs w:val="20"/>
        </w:rPr>
        <w:t>Předmětem plnění této smlouvy</w:t>
      </w:r>
      <w:r w:rsidR="005A6EDE">
        <w:rPr>
          <w:rFonts w:asciiTheme="minorHAnsi" w:hAnsiTheme="minorHAnsi"/>
          <w:bCs/>
          <w:sz w:val="20"/>
          <w:szCs w:val="20"/>
        </w:rPr>
        <w:t xml:space="preserve"> je poskytnutí užívacích práv ke službě</w:t>
      </w:r>
      <w:r w:rsidR="00322319">
        <w:rPr>
          <w:rFonts w:asciiTheme="minorHAnsi" w:hAnsiTheme="minorHAnsi"/>
          <w:bCs/>
          <w:sz w:val="20"/>
          <w:szCs w:val="20"/>
        </w:rPr>
        <w:t xml:space="preserve"> </w:t>
      </w:r>
      <w:r w:rsidRPr="00611FFC">
        <w:rPr>
          <w:rFonts w:asciiTheme="minorHAnsi" w:hAnsiTheme="minorHAnsi"/>
          <w:bCs/>
          <w:sz w:val="20"/>
          <w:szCs w:val="20"/>
        </w:rPr>
        <w:t>ASPI v níže uvedeném rozsahu</w:t>
      </w:r>
      <w:r w:rsidR="00611FFC">
        <w:rPr>
          <w:rFonts w:asciiTheme="minorHAnsi" w:hAnsiTheme="minorHAnsi"/>
          <w:bCs/>
          <w:sz w:val="20"/>
          <w:szCs w:val="20"/>
        </w:rPr>
        <w:t>. Plněním předmětu smlouvy se rozumí</w:t>
      </w:r>
      <w:r w:rsidRPr="00611FFC">
        <w:rPr>
          <w:rFonts w:asciiTheme="minorHAnsi" w:hAnsiTheme="minorHAnsi"/>
          <w:bCs/>
          <w:sz w:val="20"/>
          <w:szCs w:val="20"/>
        </w:rPr>
        <w:t xml:space="preserve"> </w:t>
      </w:r>
      <w:r w:rsidR="00611FFC">
        <w:rPr>
          <w:rFonts w:asciiTheme="minorHAnsi" w:hAnsiTheme="minorHAnsi"/>
          <w:bCs/>
          <w:sz w:val="20"/>
          <w:szCs w:val="20"/>
        </w:rPr>
        <w:t>zřízení</w:t>
      </w:r>
      <w:r w:rsidRPr="00611FFC">
        <w:rPr>
          <w:rFonts w:asciiTheme="minorHAnsi" w:hAnsiTheme="minorHAnsi"/>
          <w:bCs/>
          <w:sz w:val="20"/>
          <w:szCs w:val="20"/>
        </w:rPr>
        <w:t xml:space="preserve"> přístupu</w:t>
      </w:r>
      <w:r w:rsidR="00752730" w:rsidRPr="00611FFC">
        <w:rPr>
          <w:rFonts w:asciiTheme="minorHAnsi" w:hAnsiTheme="minorHAnsi"/>
          <w:bCs/>
          <w:sz w:val="20"/>
          <w:szCs w:val="20"/>
        </w:rPr>
        <w:t xml:space="preserve"> </w:t>
      </w:r>
      <w:r w:rsidRPr="00611FFC">
        <w:rPr>
          <w:rFonts w:asciiTheme="minorHAnsi" w:hAnsiTheme="minorHAnsi"/>
          <w:bCs/>
          <w:sz w:val="20"/>
          <w:szCs w:val="20"/>
        </w:rPr>
        <w:t xml:space="preserve">k  </w:t>
      </w:r>
      <w:r w:rsidR="00611FFC">
        <w:rPr>
          <w:rFonts w:asciiTheme="minorHAnsi" w:hAnsiTheme="minorHAnsi"/>
          <w:bCs/>
          <w:sz w:val="20"/>
          <w:szCs w:val="20"/>
        </w:rPr>
        <w:t>poskytovaným</w:t>
      </w:r>
      <w:r w:rsidR="00254E99" w:rsidRPr="00611FFC">
        <w:rPr>
          <w:rFonts w:asciiTheme="minorHAnsi" w:hAnsiTheme="minorHAnsi"/>
          <w:bCs/>
          <w:sz w:val="20"/>
          <w:szCs w:val="20"/>
        </w:rPr>
        <w:t xml:space="preserve"> informací</w:t>
      </w:r>
      <w:r w:rsidR="00611FFC">
        <w:rPr>
          <w:rFonts w:asciiTheme="minorHAnsi" w:hAnsiTheme="minorHAnsi"/>
          <w:bCs/>
          <w:sz w:val="20"/>
          <w:szCs w:val="20"/>
        </w:rPr>
        <w:t>m</w:t>
      </w:r>
      <w:r w:rsidR="008B20F0">
        <w:rPr>
          <w:rFonts w:asciiTheme="minorHAnsi" w:hAnsiTheme="minorHAnsi"/>
          <w:bCs/>
          <w:sz w:val="20"/>
          <w:szCs w:val="20"/>
        </w:rPr>
        <w:t xml:space="preserve"> </w:t>
      </w:r>
      <w:r w:rsidR="004A1103">
        <w:rPr>
          <w:rFonts w:asciiTheme="minorHAnsi" w:hAnsiTheme="minorHAnsi"/>
          <w:bCs/>
          <w:sz w:val="20"/>
          <w:szCs w:val="20"/>
        </w:rPr>
        <w:t>uvedeným</w:t>
      </w:r>
      <w:r w:rsidR="00012BB1">
        <w:rPr>
          <w:rFonts w:asciiTheme="minorHAnsi" w:hAnsiTheme="minorHAnsi"/>
          <w:bCs/>
          <w:sz w:val="20"/>
          <w:szCs w:val="20"/>
        </w:rPr>
        <w:t xml:space="preserve"> v příloze této smlouvy </w:t>
      </w:r>
      <w:r w:rsidR="008B20F0">
        <w:rPr>
          <w:rFonts w:asciiTheme="minorHAnsi" w:hAnsiTheme="minorHAnsi"/>
          <w:bCs/>
          <w:sz w:val="20"/>
          <w:szCs w:val="20"/>
        </w:rPr>
        <w:t>a jejich</w:t>
      </w:r>
      <w:r w:rsidR="00254E99" w:rsidRPr="00611FFC">
        <w:rPr>
          <w:rFonts w:asciiTheme="minorHAnsi" w:hAnsiTheme="minorHAnsi"/>
          <w:bCs/>
          <w:sz w:val="20"/>
          <w:szCs w:val="20"/>
        </w:rPr>
        <w:t xml:space="preserve"> pravidelnou aktualizací</w:t>
      </w:r>
      <w:r w:rsidR="00012BB1">
        <w:rPr>
          <w:rFonts w:asciiTheme="minorHAnsi" w:hAnsiTheme="minorHAnsi"/>
          <w:bCs/>
          <w:sz w:val="20"/>
          <w:szCs w:val="20"/>
        </w:rPr>
        <w:t xml:space="preserve">. </w:t>
      </w:r>
      <w:r w:rsidR="00012BB1">
        <w:rPr>
          <w:rFonts w:asciiTheme="minorHAnsi" w:hAnsiTheme="minorHAnsi"/>
          <w:bCs/>
          <w:color w:val="auto"/>
          <w:sz w:val="20"/>
          <w:szCs w:val="20"/>
        </w:rPr>
        <w:t xml:space="preserve">Objednatel se zavazuje řádně platit roční </w:t>
      </w:r>
      <w:r w:rsidR="00012BB1" w:rsidRPr="00611FFC">
        <w:rPr>
          <w:rFonts w:asciiTheme="minorHAnsi" w:hAnsiTheme="minorHAnsi"/>
          <w:bCs/>
          <w:color w:val="auto"/>
          <w:sz w:val="20"/>
          <w:szCs w:val="20"/>
        </w:rPr>
        <w:t>před</w:t>
      </w:r>
      <w:r w:rsidR="00012BB1">
        <w:rPr>
          <w:rFonts w:asciiTheme="minorHAnsi" w:hAnsiTheme="minorHAnsi"/>
          <w:bCs/>
          <w:color w:val="auto"/>
          <w:sz w:val="20"/>
          <w:szCs w:val="20"/>
        </w:rPr>
        <w:t xml:space="preserve">platné </w:t>
      </w:r>
      <w:r w:rsidR="00322319">
        <w:rPr>
          <w:rFonts w:asciiTheme="minorHAnsi" w:hAnsiTheme="minorHAnsi"/>
          <w:bCs/>
          <w:color w:val="auto"/>
          <w:sz w:val="20"/>
          <w:szCs w:val="20"/>
        </w:rPr>
        <w:t xml:space="preserve">poskytované </w:t>
      </w:r>
      <w:r w:rsidR="00012BB1">
        <w:rPr>
          <w:rFonts w:asciiTheme="minorHAnsi" w:hAnsiTheme="minorHAnsi"/>
          <w:bCs/>
          <w:color w:val="auto"/>
          <w:sz w:val="20"/>
          <w:szCs w:val="20"/>
        </w:rPr>
        <w:t>služby</w:t>
      </w:r>
      <w:r w:rsidR="00012BB1">
        <w:rPr>
          <w:rFonts w:asciiTheme="minorHAnsi" w:hAnsiTheme="minorHAnsi"/>
          <w:bCs/>
          <w:i/>
          <w:color w:val="auto"/>
          <w:sz w:val="20"/>
          <w:szCs w:val="20"/>
        </w:rPr>
        <w:t xml:space="preserve">. </w:t>
      </w:r>
    </w:p>
    <w:p w:rsidR="000F3227" w:rsidRDefault="00187BF8" w:rsidP="00F47780">
      <w:pPr>
        <w:pStyle w:val="Default"/>
        <w:ind w:firstLine="708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  <w:r w:rsidRPr="00611FFC">
        <w:rPr>
          <w:rFonts w:asciiTheme="minorHAnsi" w:hAnsiTheme="minorHAnsi"/>
          <w:sz w:val="20"/>
          <w:szCs w:val="20"/>
        </w:rPr>
        <w:t xml:space="preserve">Aktualizací ASPI se rozumí doplnění změn, dodatků a úprav </w:t>
      </w:r>
      <w:r w:rsidR="004A1103">
        <w:rPr>
          <w:rFonts w:asciiTheme="minorHAnsi" w:hAnsiTheme="minorHAnsi"/>
          <w:sz w:val="20"/>
          <w:szCs w:val="20"/>
        </w:rPr>
        <w:t>pře</w:t>
      </w:r>
      <w:r w:rsidR="004A37FD">
        <w:rPr>
          <w:rFonts w:asciiTheme="minorHAnsi" w:hAnsiTheme="minorHAnsi"/>
          <w:sz w:val="20"/>
          <w:szCs w:val="20"/>
        </w:rPr>
        <w:t>d</w:t>
      </w:r>
      <w:r w:rsidR="004A1103">
        <w:rPr>
          <w:rFonts w:asciiTheme="minorHAnsi" w:hAnsiTheme="minorHAnsi"/>
          <w:sz w:val="20"/>
          <w:szCs w:val="20"/>
        </w:rPr>
        <w:t>placeného obsahu služby</w:t>
      </w:r>
      <w:r w:rsidRPr="00611FFC">
        <w:rPr>
          <w:rFonts w:asciiTheme="minorHAnsi" w:hAnsiTheme="minorHAnsi"/>
          <w:sz w:val="20"/>
          <w:szCs w:val="20"/>
        </w:rPr>
        <w:t xml:space="preserve"> a to především po novelizaci příslušných předpisů nebo nových vydání </w:t>
      </w:r>
      <w:r>
        <w:rPr>
          <w:rFonts w:asciiTheme="minorHAnsi" w:hAnsiTheme="minorHAnsi"/>
          <w:sz w:val="20"/>
          <w:szCs w:val="20"/>
        </w:rPr>
        <w:t>předplacených</w:t>
      </w:r>
      <w:r w:rsidRPr="00611FFC">
        <w:rPr>
          <w:rFonts w:asciiTheme="minorHAnsi" w:hAnsiTheme="minorHAnsi"/>
          <w:sz w:val="20"/>
          <w:szCs w:val="20"/>
        </w:rPr>
        <w:t xml:space="preserve"> titulů</w:t>
      </w:r>
      <w:r w:rsidR="008B20F0">
        <w:rPr>
          <w:rFonts w:asciiTheme="minorHAnsi" w:hAnsiTheme="minorHAnsi"/>
          <w:sz w:val="20"/>
          <w:szCs w:val="20"/>
        </w:rPr>
        <w:t xml:space="preserve"> autorského obsahu</w:t>
      </w:r>
      <w:r w:rsidRPr="00611FFC">
        <w:rPr>
          <w:rFonts w:asciiTheme="minorHAnsi" w:hAnsiTheme="minorHAnsi"/>
          <w:sz w:val="20"/>
          <w:szCs w:val="20"/>
        </w:rPr>
        <w:t xml:space="preserve">, pokud jsou předmětem aktualizace. Průběžnou aktualizací lze také doplňovat nebo upravovat funkce ASPI. </w:t>
      </w:r>
    </w:p>
    <w:p w:rsidR="00343577" w:rsidRDefault="00343577" w:rsidP="000F3227">
      <w:pPr>
        <w:pStyle w:val="Default"/>
        <w:jc w:val="both"/>
        <w:rPr>
          <w:rFonts w:asciiTheme="minorHAnsi" w:hAnsiTheme="minorHAnsi"/>
          <w:bCs/>
          <w:i/>
          <w:color w:val="auto"/>
          <w:sz w:val="20"/>
          <w:szCs w:val="20"/>
        </w:rPr>
      </w:pPr>
    </w:p>
    <w:p w:rsidR="00611FFC" w:rsidRPr="00611FFC" w:rsidRDefault="00343577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B377AE">
        <w:rPr>
          <w:rFonts w:asciiTheme="minorHAnsi" w:hAnsiTheme="minorHAnsi"/>
          <w:bCs/>
          <w:color w:val="auto"/>
          <w:sz w:val="20"/>
          <w:szCs w:val="20"/>
        </w:rPr>
        <w:t xml:space="preserve">Obsahem </w:t>
      </w:r>
      <w:r w:rsidR="00322319" w:rsidRPr="00B377AE">
        <w:rPr>
          <w:rFonts w:asciiTheme="minorHAnsi" w:hAnsiTheme="minorHAnsi"/>
          <w:bCs/>
          <w:color w:val="auto"/>
          <w:sz w:val="20"/>
          <w:szCs w:val="20"/>
        </w:rPr>
        <w:t xml:space="preserve">poskytované </w:t>
      </w:r>
      <w:r w:rsidR="00BC08AA" w:rsidRPr="00B377AE">
        <w:rPr>
          <w:rFonts w:asciiTheme="minorHAnsi" w:hAnsiTheme="minorHAnsi"/>
          <w:bCs/>
          <w:color w:val="auto"/>
          <w:sz w:val="20"/>
          <w:szCs w:val="20"/>
        </w:rPr>
        <w:t>služby</w:t>
      </w:r>
      <w:r w:rsidR="004A37FD" w:rsidRPr="00B377AE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Pr="00B377AE">
        <w:rPr>
          <w:rFonts w:asciiTheme="minorHAnsi" w:hAnsiTheme="minorHAnsi"/>
          <w:bCs/>
          <w:color w:val="auto"/>
          <w:sz w:val="20"/>
          <w:szCs w:val="20"/>
        </w:rPr>
        <w:t>je:</w:t>
      </w:r>
    </w:p>
    <w:p w:rsidR="00B81977" w:rsidRDefault="00254E99" w:rsidP="00F47780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>ASPI</w:t>
      </w:r>
      <w:r w:rsidR="00E31892">
        <w:rPr>
          <w:rFonts w:asciiTheme="minorHAnsi" w:hAnsiTheme="minorHAnsi"/>
          <w:b/>
          <w:bCs/>
          <w:color w:val="auto"/>
          <w:sz w:val="20"/>
          <w:szCs w:val="20"/>
        </w:rPr>
        <w:t xml:space="preserve"> základ</w:t>
      </w:r>
      <w:r w:rsidR="00187BF8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>s</w:t>
      </w:r>
      <w:r w:rsidR="00187BF8" w:rsidRPr="00187BF8">
        <w:rPr>
          <w:rFonts w:asciiTheme="minorHAnsi" w:hAnsiTheme="minorHAnsi"/>
          <w:bCs/>
          <w:color w:val="auto"/>
          <w:sz w:val="20"/>
          <w:szCs w:val="20"/>
        </w:rPr>
        <w:t xml:space="preserve"> předpisy ČR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 xml:space="preserve"> (od r. 1918) a EU, </w:t>
      </w:r>
      <w:r w:rsidR="00187BF8" w:rsidRPr="00187BF8">
        <w:rPr>
          <w:rFonts w:asciiTheme="minorHAnsi" w:hAnsiTheme="minorHAnsi"/>
          <w:bCs/>
          <w:color w:val="auto"/>
          <w:sz w:val="20"/>
          <w:szCs w:val="20"/>
        </w:rPr>
        <w:t>judikaturu ČR a SDEU, základní literaturu (důvodové zprávy, bulletiny, sborníky, věstníky</w:t>
      </w:r>
      <w:r w:rsidR="008B20F0">
        <w:rPr>
          <w:rFonts w:asciiTheme="minorHAnsi" w:hAnsiTheme="minorHAnsi"/>
          <w:bCs/>
          <w:color w:val="auto"/>
          <w:sz w:val="20"/>
          <w:szCs w:val="20"/>
        </w:rPr>
        <w:t>, výkladová stanoviska</w:t>
      </w:r>
      <w:r w:rsidR="00BC08AA">
        <w:rPr>
          <w:rFonts w:asciiTheme="minorHAnsi" w:hAnsiTheme="minorHAnsi"/>
          <w:bCs/>
          <w:color w:val="auto"/>
          <w:sz w:val="20"/>
          <w:szCs w:val="20"/>
        </w:rPr>
        <w:t>)</w:t>
      </w:r>
      <w:r w:rsidR="005A6EDE">
        <w:rPr>
          <w:rFonts w:asciiTheme="minorHAnsi" w:hAnsiTheme="minorHAnsi"/>
          <w:bCs/>
          <w:color w:val="auto"/>
          <w:sz w:val="20"/>
          <w:szCs w:val="20"/>
        </w:rPr>
        <w:t xml:space="preserve">, vybrané komentáře, </w:t>
      </w:r>
      <w:r w:rsidR="00187BF8" w:rsidRPr="00187BF8">
        <w:rPr>
          <w:rFonts w:asciiTheme="minorHAnsi" w:hAnsiTheme="minorHAnsi"/>
          <w:bCs/>
          <w:color w:val="auto"/>
          <w:sz w:val="20"/>
          <w:szCs w:val="20"/>
        </w:rPr>
        <w:t>časopisy</w:t>
      </w:r>
      <w:r w:rsidR="005A6EDE">
        <w:rPr>
          <w:rFonts w:asciiTheme="minorHAnsi" w:hAnsiTheme="minorHAnsi"/>
          <w:bCs/>
          <w:color w:val="auto"/>
          <w:sz w:val="20"/>
          <w:szCs w:val="20"/>
        </w:rPr>
        <w:t xml:space="preserve"> a monografie</w:t>
      </w:r>
      <w:r w:rsidR="00921C25">
        <w:rPr>
          <w:rFonts w:asciiTheme="minorHAnsi" w:hAnsiTheme="minorHAnsi"/>
          <w:bCs/>
          <w:color w:val="auto"/>
          <w:sz w:val="20"/>
          <w:szCs w:val="20"/>
        </w:rPr>
        <w:t xml:space="preserve"> (viz příloha č.1).</w:t>
      </w:r>
    </w:p>
    <w:p w:rsidR="00B81977" w:rsidRPr="00B377AE" w:rsidRDefault="00B377AE" w:rsidP="00B377AE">
      <w:pPr>
        <w:pStyle w:val="Default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B377AE">
        <w:rPr>
          <w:rFonts w:asciiTheme="minorHAnsi" w:hAnsiTheme="minorHAnsi"/>
          <w:b/>
          <w:bCs/>
          <w:color w:val="auto"/>
          <w:sz w:val="20"/>
          <w:szCs w:val="20"/>
        </w:rPr>
        <w:t xml:space="preserve">Doplňkové specializace 2017: 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Zdravotnictví a farmacie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Ochrana osobních údajů – veřejná správa (GDPR) – včetně aplikace Navigátor Ochrana osobních údajů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 xml:space="preserve">Spotřebitelské právo 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Daně a poplatky II.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Občansk</w:t>
      </w:r>
      <w:r>
        <w:rPr>
          <w:rFonts w:asciiTheme="minorHAnsi" w:hAnsiTheme="minorHAnsi"/>
          <w:sz w:val="20"/>
          <w:szCs w:val="20"/>
        </w:rPr>
        <w:t>é právo hmotné a mezinárodní prá</w:t>
      </w:r>
      <w:r w:rsidRPr="00B377AE">
        <w:rPr>
          <w:rFonts w:asciiTheme="minorHAnsi" w:hAnsiTheme="minorHAnsi"/>
          <w:sz w:val="20"/>
          <w:szCs w:val="20"/>
        </w:rPr>
        <w:t>vo soukromé II.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Občanské právo procesní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 xml:space="preserve">Pracovní </w:t>
      </w:r>
      <w:proofErr w:type="gramStart"/>
      <w:r w:rsidRPr="00B377AE">
        <w:rPr>
          <w:rFonts w:asciiTheme="minorHAnsi" w:hAnsiTheme="minorHAnsi"/>
          <w:sz w:val="20"/>
          <w:szCs w:val="20"/>
        </w:rPr>
        <w:t>právo  a sociální</w:t>
      </w:r>
      <w:proofErr w:type="gramEnd"/>
      <w:r w:rsidRPr="00B377AE">
        <w:rPr>
          <w:rFonts w:asciiTheme="minorHAnsi" w:hAnsiTheme="minorHAnsi"/>
          <w:sz w:val="20"/>
          <w:szCs w:val="20"/>
        </w:rPr>
        <w:t xml:space="preserve"> zabezpečení II.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 xml:space="preserve">Právní a </w:t>
      </w:r>
      <w:proofErr w:type="spellStart"/>
      <w:r w:rsidRPr="00B377AE">
        <w:rPr>
          <w:rFonts w:asciiTheme="minorHAnsi" w:hAnsiTheme="minorHAnsi"/>
          <w:sz w:val="20"/>
          <w:szCs w:val="20"/>
        </w:rPr>
        <w:t>judikatorní</w:t>
      </w:r>
      <w:proofErr w:type="spellEnd"/>
      <w:r w:rsidRPr="00B377AE">
        <w:rPr>
          <w:rFonts w:asciiTheme="minorHAnsi" w:hAnsiTheme="minorHAnsi"/>
          <w:sz w:val="20"/>
          <w:szCs w:val="20"/>
        </w:rPr>
        <w:t xml:space="preserve"> časopisy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Právo obchodních korporací II.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Správní právo – obecné předpisy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Správní právo – samospráva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Účetnictví II.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Veřejní zakázky a ochrana hospodářské soutěže II. – včetně aplikace Navigátor Zadávání veřejných zakázek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Veřejnoprávní smlouvy obcí ČR</w:t>
      </w:r>
    </w:p>
    <w:p w:rsidR="00B377AE" w:rsidRP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Živnostenské právo</w:t>
      </w:r>
    </w:p>
    <w:p w:rsidR="00B377AE" w:rsidRDefault="00B377AE" w:rsidP="00B377AE">
      <w:pPr>
        <w:spacing w:after="0" w:line="240" w:lineRule="auto"/>
        <w:ind w:left="357" w:hanging="357"/>
        <w:jc w:val="both"/>
        <w:rPr>
          <w:rFonts w:asciiTheme="minorHAnsi" w:hAnsiTheme="minorHAnsi"/>
          <w:sz w:val="20"/>
          <w:szCs w:val="20"/>
        </w:rPr>
      </w:pPr>
      <w:r w:rsidRPr="00B377AE">
        <w:rPr>
          <w:rFonts w:asciiTheme="minorHAnsi" w:hAnsiTheme="minorHAnsi"/>
          <w:sz w:val="20"/>
          <w:szCs w:val="20"/>
        </w:rPr>
        <w:t>Životní prostředí</w:t>
      </w:r>
    </w:p>
    <w:p w:rsidR="00B377AE" w:rsidRPr="00C83008" w:rsidRDefault="00C83008" w:rsidP="00B377AE">
      <w:pPr>
        <w:spacing w:after="0" w:line="240" w:lineRule="auto"/>
        <w:ind w:left="357" w:hanging="357"/>
        <w:jc w:val="both"/>
        <w:rPr>
          <w:rFonts w:asciiTheme="minorHAnsi" w:hAnsiTheme="minorHAnsi"/>
          <w:b/>
          <w:sz w:val="20"/>
          <w:szCs w:val="20"/>
        </w:rPr>
      </w:pPr>
      <w:r w:rsidRPr="00C83008">
        <w:rPr>
          <w:rFonts w:asciiTheme="minorHAnsi" w:hAnsiTheme="minorHAnsi"/>
          <w:b/>
          <w:sz w:val="20"/>
          <w:szCs w:val="20"/>
        </w:rPr>
        <w:t>Volitelný obsah partnerských společností</w:t>
      </w:r>
      <w:r>
        <w:rPr>
          <w:rFonts w:asciiTheme="minorHAnsi" w:hAnsiTheme="minorHAnsi"/>
          <w:b/>
          <w:sz w:val="20"/>
          <w:szCs w:val="20"/>
        </w:rPr>
        <w:t xml:space="preserve">: </w:t>
      </w:r>
      <w:r w:rsidRPr="00C83008">
        <w:rPr>
          <w:rFonts w:asciiTheme="minorHAnsi" w:hAnsiTheme="minorHAnsi"/>
          <w:sz w:val="20"/>
          <w:szCs w:val="20"/>
        </w:rPr>
        <w:t>PRK Srovnávací komentář k OZ</w:t>
      </w:r>
    </w:p>
    <w:p w:rsidR="00254E99" w:rsidRPr="00C83008" w:rsidRDefault="00BC08AA" w:rsidP="00F47780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C83008">
        <w:rPr>
          <w:rFonts w:asciiTheme="minorHAnsi" w:hAnsiTheme="minorHAnsi"/>
          <w:bCs/>
          <w:color w:val="auto"/>
          <w:sz w:val="20"/>
          <w:szCs w:val="20"/>
        </w:rPr>
        <w:t>Odborná výkladová literatura, periodika a aplikace</w:t>
      </w:r>
      <w:r w:rsidR="00B377AE" w:rsidRPr="00C83008">
        <w:rPr>
          <w:rFonts w:asciiTheme="minorHAnsi" w:hAnsiTheme="minorHAnsi"/>
          <w:bCs/>
          <w:color w:val="auto"/>
          <w:sz w:val="20"/>
          <w:szCs w:val="20"/>
        </w:rPr>
        <w:t xml:space="preserve"> přesně specifikovaná </w:t>
      </w:r>
      <w:r w:rsidR="005A6EDE" w:rsidRPr="00C83008">
        <w:rPr>
          <w:rFonts w:asciiTheme="minorHAnsi" w:hAnsiTheme="minorHAnsi"/>
          <w:bCs/>
          <w:color w:val="auto"/>
          <w:sz w:val="20"/>
          <w:szCs w:val="20"/>
        </w:rPr>
        <w:t>v příloze</w:t>
      </w:r>
      <w:r w:rsidR="00200FB2" w:rsidRPr="00C83008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611FFC" w:rsidRPr="00C83008">
        <w:rPr>
          <w:rFonts w:asciiTheme="minorHAnsi" w:hAnsiTheme="minorHAnsi"/>
          <w:bCs/>
          <w:color w:val="auto"/>
          <w:sz w:val="20"/>
          <w:szCs w:val="20"/>
        </w:rPr>
        <w:t xml:space="preserve">č. 1 </w:t>
      </w:r>
    </w:p>
    <w:p w:rsidR="00752730" w:rsidRPr="00611FFC" w:rsidRDefault="00752730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:rsidR="00343577" w:rsidRDefault="00BC08AA" w:rsidP="00752730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B377AE">
        <w:rPr>
          <w:rFonts w:asciiTheme="minorHAnsi" w:hAnsiTheme="minorHAnsi"/>
          <w:b/>
          <w:bCs/>
          <w:sz w:val="20"/>
          <w:szCs w:val="20"/>
        </w:rPr>
        <w:t>Technické řešení</w:t>
      </w:r>
      <w:r w:rsidR="00752730" w:rsidRPr="00B377AE">
        <w:rPr>
          <w:rFonts w:asciiTheme="minorHAnsi" w:hAnsiTheme="minorHAnsi"/>
          <w:b/>
          <w:bCs/>
          <w:sz w:val="20"/>
          <w:szCs w:val="20"/>
        </w:rPr>
        <w:t>:</w:t>
      </w:r>
      <w:r w:rsidR="00B377AE" w:rsidRPr="00B377AE">
        <w:rPr>
          <w:rFonts w:asciiTheme="minorHAnsi" w:hAnsiTheme="minorHAnsi"/>
          <w:bCs/>
          <w:sz w:val="20"/>
          <w:szCs w:val="20"/>
        </w:rPr>
        <w:t xml:space="preserve"> </w:t>
      </w:r>
      <w:r w:rsidR="00B377AE">
        <w:rPr>
          <w:rFonts w:asciiTheme="minorHAnsi" w:hAnsiTheme="minorHAnsi"/>
          <w:bCs/>
          <w:sz w:val="20"/>
          <w:szCs w:val="20"/>
        </w:rPr>
        <w:t xml:space="preserve"> </w:t>
      </w:r>
      <w:r w:rsidRPr="00B377AE">
        <w:rPr>
          <w:rFonts w:asciiTheme="minorHAnsi" w:hAnsiTheme="minorHAnsi"/>
          <w:bCs/>
          <w:sz w:val="20"/>
          <w:szCs w:val="20"/>
        </w:rPr>
        <w:t xml:space="preserve">ASPI </w:t>
      </w:r>
      <w:proofErr w:type="spellStart"/>
      <w:r w:rsidR="00B377AE">
        <w:rPr>
          <w:rFonts w:asciiTheme="minorHAnsi" w:hAnsiTheme="minorHAnsi"/>
          <w:bCs/>
          <w:sz w:val="20"/>
          <w:szCs w:val="20"/>
        </w:rPr>
        <w:t>Cloud</w:t>
      </w:r>
      <w:proofErr w:type="spellEnd"/>
      <w:r w:rsidR="00B377AE">
        <w:rPr>
          <w:rFonts w:asciiTheme="minorHAnsi" w:hAnsiTheme="minorHAnsi"/>
          <w:bCs/>
          <w:sz w:val="20"/>
          <w:szCs w:val="20"/>
        </w:rPr>
        <w:tab/>
      </w:r>
      <w:r w:rsidR="00752730" w:rsidRPr="00B377AE">
        <w:rPr>
          <w:rFonts w:asciiTheme="minorHAnsi" w:hAnsiTheme="minorHAnsi"/>
          <w:bCs/>
          <w:sz w:val="20"/>
          <w:szCs w:val="20"/>
        </w:rPr>
        <w:t>počet uživatelů:</w:t>
      </w:r>
      <w:r w:rsidR="00B377AE">
        <w:rPr>
          <w:rFonts w:asciiTheme="minorHAnsi" w:hAnsiTheme="minorHAnsi"/>
          <w:bCs/>
          <w:sz w:val="20"/>
          <w:szCs w:val="20"/>
        </w:rPr>
        <w:tab/>
        <w:t xml:space="preserve"> 1 </w:t>
      </w:r>
      <w:r w:rsidRPr="00B377AE">
        <w:rPr>
          <w:rFonts w:asciiTheme="minorHAnsi" w:hAnsiTheme="minorHAnsi"/>
          <w:bCs/>
          <w:sz w:val="20"/>
          <w:szCs w:val="20"/>
        </w:rPr>
        <w:t>počet klíčů</w:t>
      </w:r>
      <w:r w:rsidR="00343577" w:rsidRPr="00B377AE">
        <w:rPr>
          <w:rFonts w:asciiTheme="minorHAnsi" w:hAnsiTheme="minorHAnsi"/>
          <w:bCs/>
          <w:sz w:val="20"/>
          <w:szCs w:val="20"/>
        </w:rPr>
        <w:t>:</w:t>
      </w:r>
      <w:r w:rsidR="00B377AE">
        <w:rPr>
          <w:rFonts w:asciiTheme="minorHAnsi" w:hAnsiTheme="minorHAnsi"/>
          <w:bCs/>
          <w:sz w:val="20"/>
          <w:szCs w:val="20"/>
        </w:rPr>
        <w:t xml:space="preserve"> 1</w:t>
      </w:r>
    </w:p>
    <w:p w:rsidR="00B377AE" w:rsidRDefault="00B377AE" w:rsidP="004A1103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752730" w:rsidRDefault="00200FB2" w:rsidP="004A1103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>Celkový počet uživatelů</w:t>
      </w:r>
      <w:r w:rsidRPr="00611FFC">
        <w:rPr>
          <w:rFonts w:asciiTheme="minorHAnsi" w:hAnsiTheme="minorHAnsi"/>
          <w:bCs/>
          <w:color w:val="auto"/>
          <w:sz w:val="20"/>
          <w:szCs w:val="20"/>
        </w:rPr>
        <w:t>:</w:t>
      </w:r>
      <w:r w:rsidR="00B377AE">
        <w:rPr>
          <w:rFonts w:asciiTheme="minorHAnsi" w:hAnsiTheme="minorHAnsi"/>
          <w:bCs/>
          <w:color w:val="auto"/>
          <w:sz w:val="20"/>
          <w:szCs w:val="20"/>
        </w:rPr>
        <w:t xml:space="preserve">  1</w:t>
      </w:r>
    </w:p>
    <w:p w:rsidR="00846203" w:rsidRPr="00343577" w:rsidRDefault="00343577" w:rsidP="004A1103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343577">
        <w:rPr>
          <w:rFonts w:asciiTheme="minorHAnsi" w:hAnsiTheme="minorHAnsi"/>
          <w:b/>
          <w:bCs/>
          <w:color w:val="auto"/>
          <w:sz w:val="20"/>
          <w:szCs w:val="20"/>
        </w:rPr>
        <w:t>Celkový počet licencí:</w:t>
      </w:r>
      <w:r w:rsidR="00B377AE">
        <w:rPr>
          <w:rFonts w:asciiTheme="minorHAnsi" w:hAnsiTheme="minorHAnsi"/>
          <w:b/>
          <w:bCs/>
          <w:color w:val="auto"/>
          <w:sz w:val="20"/>
          <w:szCs w:val="20"/>
        </w:rPr>
        <w:t xml:space="preserve"> 1</w:t>
      </w:r>
    </w:p>
    <w:p w:rsidR="00200FB2" w:rsidRPr="00611FFC" w:rsidRDefault="00200FB2" w:rsidP="000F3227">
      <w:pPr>
        <w:pStyle w:val="Default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p w:rsidR="000F3227" w:rsidRDefault="00067812" w:rsidP="004A1103">
      <w:pPr>
        <w:pStyle w:val="Default"/>
        <w:jc w:val="both"/>
        <w:rPr>
          <w:rFonts w:asciiTheme="minorHAnsi" w:hAnsiTheme="minorHAnsi"/>
          <w:bCs/>
          <w:sz w:val="20"/>
          <w:szCs w:val="20"/>
        </w:rPr>
      </w:pP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Způsob aktualizace </w:t>
      </w:r>
      <w:r w:rsidR="004A1103">
        <w:rPr>
          <w:rFonts w:asciiTheme="minorHAnsi" w:hAnsiTheme="minorHAnsi"/>
          <w:b/>
          <w:bCs/>
          <w:color w:val="auto"/>
          <w:sz w:val="20"/>
          <w:szCs w:val="20"/>
        </w:rPr>
        <w:t>služby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 systému ASPI</w:t>
      </w:r>
      <w:r w:rsidRPr="00611FFC">
        <w:rPr>
          <w:rFonts w:asciiTheme="minorHAnsi" w:hAnsiTheme="minorHAnsi"/>
          <w:bCs/>
          <w:color w:val="auto"/>
          <w:sz w:val="20"/>
          <w:szCs w:val="20"/>
        </w:rPr>
        <w:t xml:space="preserve">: </w:t>
      </w:r>
      <w:r w:rsidR="004A1103" w:rsidRPr="00B377AE">
        <w:rPr>
          <w:rFonts w:asciiTheme="minorHAnsi" w:hAnsiTheme="minorHAnsi"/>
          <w:bCs/>
          <w:color w:val="auto"/>
          <w:sz w:val="20"/>
          <w:szCs w:val="20"/>
        </w:rPr>
        <w:t xml:space="preserve">u služby typu </w:t>
      </w:r>
      <w:proofErr w:type="spellStart"/>
      <w:r w:rsidR="004A1103" w:rsidRPr="00B377AE">
        <w:rPr>
          <w:rFonts w:asciiTheme="minorHAnsi" w:hAnsiTheme="minorHAnsi"/>
          <w:bCs/>
          <w:color w:val="auto"/>
          <w:sz w:val="20"/>
          <w:szCs w:val="20"/>
        </w:rPr>
        <w:t>Cloud</w:t>
      </w:r>
      <w:proofErr w:type="spellEnd"/>
      <w:r w:rsidR="004A1103" w:rsidRPr="00B377AE">
        <w:rPr>
          <w:rFonts w:asciiTheme="minorHAnsi" w:hAnsiTheme="minorHAnsi"/>
          <w:bCs/>
          <w:color w:val="auto"/>
          <w:sz w:val="20"/>
          <w:szCs w:val="20"/>
        </w:rPr>
        <w:t xml:space="preserve"> probíhá denní aktualizace datových ASPI-serverů serverů</w:t>
      </w:r>
      <w:r w:rsidR="004A1103" w:rsidRPr="00B377AE">
        <w:rPr>
          <w:rFonts w:asciiTheme="minorHAnsi" w:hAnsiTheme="minorHAnsi"/>
          <w:sz w:val="20"/>
          <w:szCs w:val="20"/>
        </w:rPr>
        <w:t>.</w:t>
      </w:r>
    </w:p>
    <w:p w:rsidR="005F514A" w:rsidRPr="00611FFC" w:rsidRDefault="005F514A" w:rsidP="000F3227">
      <w:pPr>
        <w:pStyle w:val="Default"/>
        <w:rPr>
          <w:rFonts w:asciiTheme="minorHAnsi" w:hAnsiTheme="minorHAnsi"/>
          <w:bCs/>
          <w:sz w:val="20"/>
          <w:szCs w:val="20"/>
        </w:rPr>
      </w:pPr>
    </w:p>
    <w:p w:rsidR="000F3227" w:rsidRPr="00611FFC" w:rsidRDefault="00CF675F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>Čl</w:t>
      </w:r>
      <w:r w:rsidR="00067812"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. </w:t>
      </w:r>
      <w:r w:rsidR="000F3227" w:rsidRPr="00611FFC">
        <w:rPr>
          <w:rFonts w:asciiTheme="minorHAnsi" w:hAnsiTheme="minorHAnsi"/>
          <w:b/>
          <w:bCs/>
          <w:color w:val="auto"/>
          <w:sz w:val="20"/>
          <w:szCs w:val="20"/>
        </w:rPr>
        <w:t>II.</w:t>
      </w:r>
      <w:r w:rsidR="00067812"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- </w:t>
      </w:r>
      <w:r w:rsidR="00067812" w:rsidRPr="00611FFC">
        <w:rPr>
          <w:rFonts w:asciiTheme="minorHAnsi" w:hAnsiTheme="minorHAnsi"/>
          <w:b/>
          <w:bCs/>
          <w:color w:val="auto"/>
          <w:sz w:val="20"/>
          <w:szCs w:val="20"/>
        </w:rPr>
        <w:t>Čas plnění</w:t>
      </w:r>
    </w:p>
    <w:p w:rsidR="00493D90" w:rsidRPr="00611FFC" w:rsidRDefault="00343577" w:rsidP="004168D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Poskytovatel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 se zavazuje </w:t>
      </w:r>
      <w:r w:rsidR="00D46C74">
        <w:rPr>
          <w:rFonts w:asciiTheme="minorHAnsi" w:hAnsiTheme="minorHAnsi" w:cs="Arial"/>
          <w:sz w:val="20"/>
          <w:szCs w:val="20"/>
        </w:rPr>
        <w:t>zřídit přístup ke službě s obsahem a typem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 podle článku I</w:t>
      </w:r>
      <w:r w:rsidR="00752730" w:rsidRPr="00611FFC">
        <w:rPr>
          <w:rFonts w:asciiTheme="minorHAnsi" w:hAnsiTheme="minorHAnsi" w:cs="Arial"/>
          <w:sz w:val="20"/>
          <w:szCs w:val="20"/>
        </w:rPr>
        <w:t>.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 smlouvy do </w:t>
      </w:r>
      <w:r w:rsidR="000E46BE">
        <w:rPr>
          <w:rFonts w:asciiTheme="minorHAnsi" w:hAnsiTheme="minorHAnsi" w:cs="Arial"/>
          <w:sz w:val="20"/>
          <w:szCs w:val="20"/>
        </w:rPr>
        <w:t>1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0 </w:t>
      </w:r>
      <w:r w:rsidR="000E46BE">
        <w:rPr>
          <w:rFonts w:asciiTheme="minorHAnsi" w:hAnsiTheme="minorHAnsi" w:cs="Arial"/>
          <w:sz w:val="20"/>
          <w:szCs w:val="20"/>
        </w:rPr>
        <w:t xml:space="preserve">pracovních dnů od </w:t>
      </w:r>
      <w:r w:rsidR="00D46C74">
        <w:rPr>
          <w:rFonts w:asciiTheme="minorHAnsi" w:hAnsiTheme="minorHAnsi" w:cs="Arial"/>
          <w:sz w:val="20"/>
          <w:szCs w:val="20"/>
        </w:rPr>
        <w:t>podpisu smlouvy</w:t>
      </w:r>
      <w:r w:rsidR="00493D90" w:rsidRPr="00611FFC">
        <w:rPr>
          <w:rFonts w:asciiTheme="minorHAnsi" w:hAnsiTheme="minorHAnsi" w:cs="Arial"/>
          <w:sz w:val="20"/>
          <w:szCs w:val="20"/>
        </w:rPr>
        <w:t xml:space="preserve">, nebude-li dohodnuto jinak. Datum </w:t>
      </w:r>
      <w:r w:rsidR="00752730" w:rsidRPr="00611FFC">
        <w:rPr>
          <w:rFonts w:asciiTheme="minorHAnsi" w:hAnsiTheme="minorHAnsi" w:cs="Arial"/>
          <w:sz w:val="20"/>
          <w:szCs w:val="20"/>
        </w:rPr>
        <w:t xml:space="preserve">zřízení přístupu ke službě </w:t>
      </w:r>
      <w:r w:rsidR="00493D90" w:rsidRPr="00611FFC">
        <w:rPr>
          <w:rFonts w:asciiTheme="minorHAnsi" w:hAnsiTheme="minorHAnsi" w:cs="Arial"/>
          <w:sz w:val="20"/>
          <w:szCs w:val="20"/>
        </w:rPr>
        <w:t>je dnem uskutečnění zdanitelného plnění.</w:t>
      </w:r>
    </w:p>
    <w:p w:rsidR="000F3227" w:rsidRPr="00611FFC" w:rsidRDefault="000F3227" w:rsidP="000F3227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:rsidR="005F514A" w:rsidRDefault="005F514A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377AE" w:rsidRDefault="00B377AE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B377AE" w:rsidRDefault="00B377AE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0F3227" w:rsidRPr="00611FFC" w:rsidRDefault="00CF675F" w:rsidP="000F322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Čl. </w:t>
      </w:r>
      <w:r w:rsidR="000F3227" w:rsidRPr="00611FFC">
        <w:rPr>
          <w:rFonts w:asciiTheme="minorHAnsi" w:hAnsiTheme="minorHAnsi"/>
          <w:b/>
          <w:bCs/>
          <w:color w:val="auto"/>
          <w:sz w:val="20"/>
          <w:szCs w:val="20"/>
        </w:rPr>
        <w:t>III.</w:t>
      </w:r>
      <w:r w:rsidRPr="00611FFC">
        <w:rPr>
          <w:rFonts w:asciiTheme="minorHAnsi" w:hAnsiTheme="minorHAnsi"/>
          <w:b/>
          <w:bCs/>
          <w:color w:val="auto"/>
          <w:sz w:val="20"/>
          <w:szCs w:val="20"/>
        </w:rPr>
        <w:t xml:space="preserve"> – Cena a platební podmínky</w:t>
      </w:r>
    </w:p>
    <w:p w:rsidR="000F3227" w:rsidRPr="00C83008" w:rsidRDefault="000F3227" w:rsidP="000F3227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C83008">
        <w:rPr>
          <w:rFonts w:asciiTheme="minorHAnsi" w:hAnsiTheme="minorHAnsi"/>
          <w:color w:val="auto"/>
          <w:sz w:val="20"/>
          <w:szCs w:val="20"/>
        </w:rPr>
        <w:t>Cena předmětu plnění</w:t>
      </w:r>
      <w:r w:rsidR="00CF675F" w:rsidRPr="00C83008">
        <w:rPr>
          <w:rFonts w:asciiTheme="minorHAnsi" w:hAnsiTheme="minorHAnsi"/>
          <w:color w:val="auto"/>
          <w:sz w:val="20"/>
          <w:szCs w:val="20"/>
        </w:rPr>
        <w:t xml:space="preserve"> byla dle čl. I</w:t>
      </w:r>
      <w:r w:rsidRPr="00C83008">
        <w:rPr>
          <w:rFonts w:asciiTheme="minorHAnsi" w:hAnsiTheme="minorHAnsi"/>
          <w:color w:val="auto"/>
          <w:sz w:val="20"/>
          <w:szCs w:val="20"/>
        </w:rPr>
        <w:t>. této smlouvy a v souladu s platnými právní</w:t>
      </w:r>
      <w:r w:rsidR="00CF675F" w:rsidRPr="00C83008">
        <w:rPr>
          <w:rFonts w:asciiTheme="minorHAnsi" w:hAnsiTheme="minorHAnsi"/>
          <w:color w:val="auto"/>
          <w:sz w:val="20"/>
          <w:szCs w:val="20"/>
        </w:rPr>
        <w:t xml:space="preserve">mi předpisy účastníky dohodnuta </w:t>
      </w:r>
      <w:r w:rsidRPr="00C83008">
        <w:rPr>
          <w:rFonts w:asciiTheme="minorHAnsi" w:hAnsiTheme="minorHAnsi"/>
          <w:color w:val="auto"/>
          <w:sz w:val="20"/>
          <w:szCs w:val="20"/>
        </w:rPr>
        <w:t>a bez DPH</w:t>
      </w:r>
      <w:r w:rsidR="00CF675F" w:rsidRPr="00C83008">
        <w:rPr>
          <w:rFonts w:asciiTheme="minorHAnsi" w:hAnsiTheme="minorHAnsi"/>
          <w:color w:val="auto"/>
          <w:sz w:val="20"/>
          <w:szCs w:val="20"/>
        </w:rPr>
        <w:t xml:space="preserve"> (21%)</w:t>
      </w:r>
      <w:r w:rsidRPr="00C83008">
        <w:rPr>
          <w:rFonts w:asciiTheme="minorHAnsi" w:hAnsiTheme="minorHAnsi"/>
          <w:color w:val="auto"/>
          <w:sz w:val="20"/>
          <w:szCs w:val="20"/>
        </w:rPr>
        <w:t xml:space="preserve"> činí:</w:t>
      </w:r>
    </w:p>
    <w:p w:rsidR="000F3227" w:rsidRPr="00C83008" w:rsidRDefault="000F3227" w:rsidP="005A6EDE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C83008">
        <w:rPr>
          <w:rFonts w:asciiTheme="minorHAnsi" w:hAnsiTheme="minorHAnsi"/>
          <w:b/>
          <w:color w:val="auto"/>
          <w:sz w:val="20"/>
          <w:szCs w:val="20"/>
        </w:rPr>
        <w:t>ASPI</w:t>
      </w:r>
      <w:r w:rsidRPr="00C83008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E31892" w:rsidRPr="00C83008">
        <w:rPr>
          <w:rFonts w:asciiTheme="minorHAnsi" w:hAnsiTheme="minorHAnsi"/>
          <w:b/>
          <w:color w:val="auto"/>
          <w:sz w:val="20"/>
          <w:szCs w:val="20"/>
        </w:rPr>
        <w:t>základ</w:t>
      </w:r>
      <w:r w:rsidR="00E31892" w:rsidRPr="00C83008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C83008">
        <w:rPr>
          <w:rFonts w:asciiTheme="minorHAnsi" w:hAnsiTheme="minorHAnsi"/>
          <w:color w:val="auto"/>
          <w:sz w:val="20"/>
          <w:szCs w:val="20"/>
        </w:rPr>
        <w:t xml:space="preserve">ve výši </w:t>
      </w:r>
      <w:r w:rsidR="0003553D" w:rsidRPr="00C83008">
        <w:rPr>
          <w:rFonts w:asciiTheme="minorHAnsi" w:hAnsiTheme="minorHAnsi"/>
          <w:color w:val="auto"/>
          <w:sz w:val="20"/>
          <w:szCs w:val="20"/>
        </w:rPr>
        <w:t>9 900</w:t>
      </w:r>
      <w:r w:rsidRPr="00C83008">
        <w:rPr>
          <w:rFonts w:asciiTheme="minorHAnsi" w:hAnsiTheme="minorHAnsi"/>
          <w:color w:val="auto"/>
          <w:sz w:val="20"/>
          <w:szCs w:val="20"/>
        </w:rPr>
        <w:t>,- Kč.</w:t>
      </w:r>
      <w:r w:rsidR="00CF675F" w:rsidRPr="00C83008">
        <w:rPr>
          <w:rFonts w:asciiTheme="minorHAnsi" w:hAnsiTheme="minorHAnsi"/>
          <w:color w:val="auto"/>
          <w:sz w:val="20"/>
          <w:szCs w:val="20"/>
        </w:rPr>
        <w:t xml:space="preserve"> Poskytnutá sleva 100%.</w:t>
      </w:r>
    </w:p>
    <w:p w:rsidR="000F3227" w:rsidRPr="00C83008" w:rsidRDefault="00200FB2" w:rsidP="005A6EDE">
      <w:pPr>
        <w:pStyle w:val="Default"/>
        <w:spacing w:line="276" w:lineRule="auto"/>
        <w:ind w:left="708"/>
        <w:jc w:val="both"/>
        <w:rPr>
          <w:rFonts w:asciiTheme="minorHAnsi" w:hAnsiTheme="minorHAnsi"/>
          <w:color w:val="auto"/>
          <w:sz w:val="20"/>
          <w:szCs w:val="20"/>
        </w:rPr>
      </w:pPr>
      <w:r w:rsidRPr="00C83008">
        <w:rPr>
          <w:rFonts w:asciiTheme="minorHAnsi" w:hAnsiTheme="minorHAnsi"/>
          <w:color w:val="auto"/>
          <w:sz w:val="20"/>
          <w:szCs w:val="20"/>
        </w:rPr>
        <w:t xml:space="preserve">Výsledná cena: </w:t>
      </w:r>
      <w:r w:rsidR="004168D6" w:rsidRPr="00C83008">
        <w:rPr>
          <w:rFonts w:asciiTheme="minorHAnsi" w:hAnsiTheme="minorHAnsi"/>
          <w:color w:val="auto"/>
          <w:sz w:val="20"/>
          <w:szCs w:val="20"/>
        </w:rPr>
        <w:t>0</w:t>
      </w:r>
      <w:r w:rsidRPr="00C83008">
        <w:rPr>
          <w:rFonts w:asciiTheme="minorHAnsi" w:hAnsiTheme="minorHAnsi"/>
          <w:color w:val="auto"/>
          <w:sz w:val="20"/>
          <w:szCs w:val="20"/>
        </w:rPr>
        <w:t>,-Kč</w:t>
      </w:r>
    </w:p>
    <w:p w:rsidR="00CF675F" w:rsidRPr="00C83008" w:rsidRDefault="00343577" w:rsidP="00226A0D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  <w:r w:rsidRPr="00C83008">
        <w:rPr>
          <w:rFonts w:asciiTheme="minorHAnsi" w:hAnsiTheme="minorHAnsi"/>
          <w:b/>
          <w:color w:val="auto"/>
          <w:sz w:val="20"/>
          <w:szCs w:val="20"/>
        </w:rPr>
        <w:t xml:space="preserve">Roční předplatné </w:t>
      </w:r>
      <w:r w:rsidR="007F5B04" w:rsidRPr="00C83008">
        <w:rPr>
          <w:rFonts w:asciiTheme="minorHAnsi" w:hAnsiTheme="minorHAnsi"/>
          <w:b/>
          <w:color w:val="auto"/>
          <w:sz w:val="20"/>
          <w:szCs w:val="20"/>
        </w:rPr>
        <w:t>odborné výkladové literatury</w:t>
      </w:r>
      <w:r w:rsidR="00E31892" w:rsidRPr="00C83008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proofErr w:type="gramStart"/>
      <w:r w:rsidR="00E31892" w:rsidRPr="00C83008">
        <w:rPr>
          <w:rFonts w:asciiTheme="minorHAnsi" w:hAnsiTheme="minorHAnsi"/>
          <w:b/>
          <w:color w:val="auto"/>
          <w:sz w:val="20"/>
          <w:szCs w:val="20"/>
        </w:rPr>
        <w:t>ASPI</w:t>
      </w:r>
      <w:r w:rsidR="000F3227" w:rsidRPr="00C83008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CF675F" w:rsidRPr="00C83008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07524" w:rsidRPr="00C83008">
        <w:rPr>
          <w:rFonts w:asciiTheme="minorHAnsi" w:hAnsiTheme="minorHAnsi"/>
          <w:color w:val="auto"/>
          <w:sz w:val="20"/>
          <w:szCs w:val="20"/>
        </w:rPr>
        <w:t>pro</w:t>
      </w:r>
      <w:proofErr w:type="gramEnd"/>
      <w:r w:rsidR="00607524" w:rsidRPr="00C83008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C83008" w:rsidRPr="00C83008">
        <w:rPr>
          <w:rFonts w:asciiTheme="minorHAnsi" w:hAnsiTheme="minorHAnsi"/>
          <w:color w:val="auto"/>
          <w:sz w:val="20"/>
          <w:szCs w:val="20"/>
        </w:rPr>
        <w:t>1 uživatele</w:t>
      </w:r>
      <w:r w:rsidR="00607524" w:rsidRPr="00C83008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CF675F" w:rsidRPr="00C83008">
        <w:rPr>
          <w:rFonts w:asciiTheme="minorHAnsi" w:hAnsiTheme="minorHAnsi"/>
          <w:color w:val="auto"/>
          <w:sz w:val="20"/>
          <w:szCs w:val="20"/>
        </w:rPr>
        <w:t xml:space="preserve">ve výši </w:t>
      </w:r>
      <w:r w:rsidR="00C83008" w:rsidRPr="00C83008">
        <w:rPr>
          <w:rFonts w:asciiTheme="minorHAnsi" w:hAnsiTheme="minorHAnsi"/>
          <w:color w:val="auto"/>
          <w:sz w:val="20"/>
          <w:szCs w:val="20"/>
        </w:rPr>
        <w:t>28.100</w:t>
      </w:r>
      <w:r w:rsidR="000F3227" w:rsidRPr="00C83008">
        <w:rPr>
          <w:rFonts w:asciiTheme="minorHAnsi" w:hAnsiTheme="minorHAnsi"/>
          <w:color w:val="auto"/>
          <w:sz w:val="20"/>
          <w:szCs w:val="20"/>
        </w:rPr>
        <w:t>,</w:t>
      </w:r>
      <w:r w:rsidR="00C83008" w:rsidRPr="00C83008">
        <w:rPr>
          <w:rFonts w:asciiTheme="minorHAnsi" w:hAnsiTheme="minorHAnsi"/>
          <w:color w:val="auto"/>
          <w:sz w:val="20"/>
          <w:szCs w:val="20"/>
        </w:rPr>
        <w:t>- Kč.</w:t>
      </w:r>
    </w:p>
    <w:p w:rsidR="005A6EDE" w:rsidRPr="00C83008" w:rsidRDefault="00CF675F" w:rsidP="00921C25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C83008">
        <w:rPr>
          <w:rFonts w:asciiTheme="minorHAnsi" w:hAnsiTheme="minorHAnsi"/>
          <w:b/>
          <w:bCs/>
          <w:color w:val="auto"/>
          <w:sz w:val="20"/>
          <w:szCs w:val="20"/>
        </w:rPr>
        <w:t xml:space="preserve">Jednorázový zřizovací poplatek </w:t>
      </w:r>
      <w:r w:rsidRPr="00C83008">
        <w:rPr>
          <w:rFonts w:asciiTheme="minorHAnsi" w:hAnsiTheme="minorHAnsi"/>
          <w:bCs/>
          <w:color w:val="auto"/>
          <w:sz w:val="20"/>
          <w:szCs w:val="20"/>
        </w:rPr>
        <w:t xml:space="preserve">ve výši </w:t>
      </w:r>
      <w:r w:rsidR="005A6EDE" w:rsidRPr="00C83008">
        <w:rPr>
          <w:rFonts w:asciiTheme="minorHAnsi" w:hAnsiTheme="minorHAnsi"/>
          <w:bCs/>
          <w:color w:val="auto"/>
          <w:sz w:val="20"/>
          <w:szCs w:val="20"/>
        </w:rPr>
        <w:t>10 000</w:t>
      </w:r>
      <w:r w:rsidRPr="00C83008">
        <w:rPr>
          <w:rFonts w:asciiTheme="minorHAnsi" w:hAnsiTheme="minorHAnsi"/>
          <w:bCs/>
          <w:color w:val="auto"/>
          <w:sz w:val="20"/>
          <w:szCs w:val="20"/>
        </w:rPr>
        <w:t>,-Kč. Poskytnutá sleva 100%.</w:t>
      </w:r>
      <w:r w:rsidR="005A6EDE" w:rsidRPr="00C83008">
        <w:rPr>
          <w:rFonts w:asciiTheme="minorHAnsi" w:hAnsiTheme="minorHAnsi"/>
          <w:bCs/>
          <w:color w:val="auto"/>
          <w:sz w:val="20"/>
          <w:szCs w:val="20"/>
        </w:rPr>
        <w:t xml:space="preserve"> Zřizovací poplatek po slevě 0,-Kč.</w:t>
      </w:r>
    </w:p>
    <w:p w:rsidR="005A6EDE" w:rsidRPr="00C83008" w:rsidRDefault="005A6EDE" w:rsidP="005A6EDE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83008">
        <w:rPr>
          <w:rFonts w:asciiTheme="minorHAnsi" w:hAnsiTheme="minorHAnsi"/>
          <w:bCs/>
          <w:color w:val="auto"/>
          <w:sz w:val="20"/>
          <w:szCs w:val="20"/>
        </w:rPr>
        <w:t xml:space="preserve">Elektronickou fakturu zasílat na : </w:t>
      </w:r>
      <w:r w:rsidR="00F81967">
        <w:rPr>
          <w:rFonts w:asciiTheme="minorHAnsi" w:hAnsiTheme="minorHAnsi"/>
          <w:bCs/>
          <w:color w:val="auto"/>
          <w:sz w:val="20"/>
          <w:szCs w:val="20"/>
        </w:rPr>
        <w:t>XXXXXXXXX</w:t>
      </w:r>
      <w:bookmarkStart w:id="0" w:name="_GoBack"/>
      <w:bookmarkEnd w:id="0"/>
    </w:p>
    <w:p w:rsidR="005A6EDE" w:rsidRPr="00C83008" w:rsidRDefault="005A6EDE" w:rsidP="005A6EDE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8300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Zvolené fakturační období: </w:t>
      </w:r>
      <w:r w:rsidR="00D46C74" w:rsidRPr="00C83008">
        <w:rPr>
          <w:rFonts w:asciiTheme="minorHAnsi" w:hAnsiTheme="minorHAnsi" w:cstheme="minorHAnsi"/>
          <w:bCs/>
          <w:color w:val="auto"/>
          <w:sz w:val="20"/>
          <w:szCs w:val="20"/>
        </w:rPr>
        <w:t>roční</w:t>
      </w:r>
    </w:p>
    <w:p w:rsidR="005A6EDE" w:rsidRPr="00C83008" w:rsidRDefault="005A6EDE" w:rsidP="005A6EDE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C83008">
        <w:rPr>
          <w:rFonts w:asciiTheme="minorHAnsi" w:hAnsiTheme="minorHAnsi"/>
          <w:bCs/>
          <w:color w:val="auto"/>
          <w:sz w:val="20"/>
          <w:szCs w:val="20"/>
        </w:rPr>
        <w:t xml:space="preserve">Fakturační </w:t>
      </w:r>
      <w:r w:rsidR="00D46C74" w:rsidRPr="00C83008">
        <w:rPr>
          <w:rFonts w:asciiTheme="minorHAnsi" w:hAnsiTheme="minorHAnsi"/>
          <w:bCs/>
          <w:color w:val="auto"/>
          <w:sz w:val="20"/>
          <w:szCs w:val="20"/>
        </w:rPr>
        <w:t>měsíc ročního předplatného služby</w:t>
      </w:r>
      <w:r w:rsidRPr="00C83008">
        <w:rPr>
          <w:rFonts w:asciiTheme="minorHAnsi" w:hAnsiTheme="minorHAnsi"/>
          <w:bCs/>
          <w:color w:val="auto"/>
          <w:sz w:val="20"/>
          <w:szCs w:val="20"/>
        </w:rPr>
        <w:t>:</w:t>
      </w:r>
      <w:r w:rsidR="00D46C74" w:rsidRPr="00C83008">
        <w:rPr>
          <w:rFonts w:asciiTheme="minorHAnsi" w:hAnsiTheme="minorHAnsi"/>
          <w:bCs/>
          <w:color w:val="auto"/>
          <w:sz w:val="20"/>
          <w:szCs w:val="20"/>
        </w:rPr>
        <w:t xml:space="preserve"> </w:t>
      </w:r>
      <w:r w:rsidR="00C83008" w:rsidRPr="00C83008">
        <w:rPr>
          <w:rFonts w:asciiTheme="minorHAnsi" w:hAnsiTheme="minorHAnsi"/>
          <w:bCs/>
          <w:color w:val="auto"/>
          <w:sz w:val="20"/>
          <w:szCs w:val="20"/>
        </w:rPr>
        <w:t>květen</w:t>
      </w:r>
    </w:p>
    <w:p w:rsidR="00CF675F" w:rsidRPr="00C83008" w:rsidRDefault="00CF675F" w:rsidP="003647D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734977">
        <w:rPr>
          <w:rFonts w:asciiTheme="minorHAnsi" w:hAnsiTheme="minorHAnsi"/>
          <w:b/>
          <w:color w:val="auto"/>
          <w:sz w:val="20"/>
          <w:szCs w:val="20"/>
        </w:rPr>
        <w:t>Celková cena ročního předplatného přístupu ke slu</w:t>
      </w:r>
      <w:r w:rsidR="00B47865" w:rsidRPr="00734977">
        <w:rPr>
          <w:rFonts w:asciiTheme="minorHAnsi" w:hAnsiTheme="minorHAnsi"/>
          <w:b/>
          <w:color w:val="auto"/>
          <w:sz w:val="20"/>
          <w:szCs w:val="20"/>
        </w:rPr>
        <w:t>žbě ASPI v rozsahu specifikované</w:t>
      </w:r>
      <w:r w:rsidRPr="00734977">
        <w:rPr>
          <w:rFonts w:asciiTheme="minorHAnsi" w:hAnsiTheme="minorHAnsi"/>
          <w:b/>
          <w:color w:val="auto"/>
          <w:sz w:val="20"/>
          <w:szCs w:val="20"/>
        </w:rPr>
        <w:t xml:space="preserve">m v článku I. </w:t>
      </w:r>
      <w:r w:rsidR="000E7C3D" w:rsidRPr="00734977">
        <w:rPr>
          <w:rFonts w:asciiTheme="minorHAnsi" w:hAnsiTheme="minorHAnsi"/>
          <w:b/>
          <w:color w:val="auto"/>
          <w:sz w:val="20"/>
          <w:szCs w:val="20"/>
        </w:rPr>
        <w:t>t</w:t>
      </w:r>
      <w:r w:rsidRPr="00734977">
        <w:rPr>
          <w:rFonts w:asciiTheme="minorHAnsi" w:hAnsiTheme="minorHAnsi"/>
          <w:b/>
          <w:color w:val="auto"/>
          <w:sz w:val="20"/>
          <w:szCs w:val="20"/>
        </w:rPr>
        <w:t>éto smlouvy</w:t>
      </w:r>
      <w:r w:rsidR="00E31892" w:rsidRPr="00734977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proofErr w:type="gramStart"/>
      <w:r w:rsidRPr="00734977">
        <w:rPr>
          <w:rFonts w:asciiTheme="minorHAnsi" w:hAnsiTheme="minorHAnsi"/>
          <w:b/>
          <w:color w:val="auto"/>
          <w:sz w:val="20"/>
          <w:szCs w:val="20"/>
        </w:rPr>
        <w:t xml:space="preserve">činí  </w:t>
      </w:r>
      <w:r w:rsidR="00C83008" w:rsidRPr="00734977">
        <w:rPr>
          <w:rFonts w:asciiTheme="minorHAnsi" w:hAnsiTheme="minorHAnsi"/>
          <w:b/>
          <w:color w:val="auto"/>
          <w:sz w:val="20"/>
          <w:szCs w:val="20"/>
        </w:rPr>
        <w:t>28.100</w:t>
      </w:r>
      <w:r w:rsidRPr="00734977">
        <w:rPr>
          <w:rFonts w:asciiTheme="minorHAnsi" w:hAnsiTheme="minorHAnsi"/>
          <w:b/>
          <w:color w:val="auto"/>
          <w:sz w:val="20"/>
          <w:szCs w:val="20"/>
        </w:rPr>
        <w:t>,</w:t>
      </w:r>
      <w:proofErr w:type="gramEnd"/>
      <w:r w:rsidRPr="00734977">
        <w:rPr>
          <w:rFonts w:asciiTheme="minorHAnsi" w:hAnsiTheme="minorHAnsi"/>
          <w:b/>
          <w:color w:val="auto"/>
          <w:sz w:val="20"/>
          <w:szCs w:val="20"/>
        </w:rPr>
        <w:t>- Kč</w:t>
      </w:r>
      <w:r w:rsidR="00E31892" w:rsidRPr="00734977">
        <w:rPr>
          <w:rFonts w:asciiTheme="minorHAnsi" w:hAnsiTheme="minorHAnsi"/>
          <w:b/>
          <w:color w:val="auto"/>
          <w:sz w:val="20"/>
          <w:szCs w:val="20"/>
        </w:rPr>
        <w:t xml:space="preserve"> bez DPH (21%)</w:t>
      </w:r>
      <w:r w:rsidR="000E7C3D" w:rsidRPr="00C83008">
        <w:rPr>
          <w:rFonts w:asciiTheme="minorHAnsi" w:hAnsiTheme="minorHAnsi"/>
          <w:color w:val="auto"/>
          <w:sz w:val="20"/>
          <w:szCs w:val="20"/>
        </w:rPr>
        <w:t xml:space="preserve">. Tato cena zahrnuje </w:t>
      </w:r>
      <w:r w:rsidR="00912F71" w:rsidRPr="00C83008">
        <w:rPr>
          <w:rFonts w:asciiTheme="minorHAnsi" w:hAnsiTheme="minorHAnsi"/>
          <w:color w:val="auto"/>
          <w:sz w:val="20"/>
          <w:szCs w:val="20"/>
        </w:rPr>
        <w:t>přístup ke</w:t>
      </w:r>
      <w:r w:rsidR="000E7C3D" w:rsidRPr="00C83008">
        <w:rPr>
          <w:rFonts w:asciiTheme="minorHAnsi" w:hAnsiTheme="minorHAnsi"/>
          <w:color w:val="auto"/>
          <w:sz w:val="20"/>
          <w:szCs w:val="20"/>
        </w:rPr>
        <w:t xml:space="preserve"> služb</w:t>
      </w:r>
      <w:r w:rsidR="00912F71" w:rsidRPr="00C83008">
        <w:rPr>
          <w:rFonts w:asciiTheme="minorHAnsi" w:hAnsiTheme="minorHAnsi"/>
          <w:color w:val="auto"/>
          <w:sz w:val="20"/>
          <w:szCs w:val="20"/>
        </w:rPr>
        <w:t>ě</w:t>
      </w:r>
      <w:r w:rsidR="00E31892" w:rsidRPr="00C83008">
        <w:rPr>
          <w:rFonts w:asciiTheme="minorHAnsi" w:hAnsiTheme="minorHAnsi"/>
          <w:color w:val="auto"/>
          <w:sz w:val="20"/>
          <w:szCs w:val="20"/>
        </w:rPr>
        <w:t xml:space="preserve"> ASPI</w:t>
      </w:r>
      <w:r w:rsidR="000E7C3D" w:rsidRPr="00C83008">
        <w:rPr>
          <w:rFonts w:asciiTheme="minorHAnsi" w:hAnsiTheme="minorHAnsi"/>
          <w:color w:val="auto"/>
          <w:sz w:val="20"/>
          <w:szCs w:val="20"/>
        </w:rPr>
        <w:t xml:space="preserve"> a průběžnou aktualizaci dat </w:t>
      </w:r>
      <w:r w:rsidR="00E31892" w:rsidRPr="00C83008">
        <w:rPr>
          <w:rFonts w:asciiTheme="minorHAnsi" w:hAnsiTheme="minorHAnsi"/>
          <w:color w:val="auto"/>
          <w:sz w:val="20"/>
          <w:szCs w:val="20"/>
        </w:rPr>
        <w:t>(</w:t>
      </w:r>
      <w:r w:rsidR="00D46C74" w:rsidRPr="00C83008">
        <w:rPr>
          <w:rFonts w:asciiTheme="minorHAnsi" w:hAnsiTheme="minorHAnsi"/>
          <w:color w:val="auto"/>
          <w:sz w:val="20"/>
          <w:szCs w:val="20"/>
        </w:rPr>
        <w:t>viz článek</w:t>
      </w:r>
      <w:r w:rsidR="000E7C3D" w:rsidRPr="00C83008">
        <w:rPr>
          <w:rFonts w:asciiTheme="minorHAnsi" w:hAnsiTheme="minorHAnsi"/>
          <w:color w:val="auto"/>
          <w:sz w:val="20"/>
          <w:szCs w:val="20"/>
        </w:rPr>
        <w:t xml:space="preserve"> I</w:t>
      </w:r>
      <w:r w:rsidR="00E31892" w:rsidRPr="00C83008">
        <w:rPr>
          <w:rFonts w:asciiTheme="minorHAnsi" w:hAnsiTheme="minorHAnsi"/>
          <w:color w:val="auto"/>
          <w:sz w:val="20"/>
          <w:szCs w:val="20"/>
        </w:rPr>
        <w:t>. této smlouvy)</w:t>
      </w:r>
      <w:r w:rsidR="000E7C3D" w:rsidRPr="00C83008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:rsidR="00912F71" w:rsidRPr="00611FFC" w:rsidRDefault="00912F71" w:rsidP="003647D4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bCs/>
          <w:color w:val="auto"/>
          <w:sz w:val="20"/>
          <w:szCs w:val="20"/>
        </w:rPr>
      </w:pPr>
      <w:r w:rsidRPr="00611FFC">
        <w:rPr>
          <w:rFonts w:asciiTheme="minorHAnsi" w:hAnsiTheme="minorHAnsi"/>
          <w:color w:val="auto"/>
          <w:sz w:val="20"/>
          <w:szCs w:val="20"/>
        </w:rPr>
        <w:t xml:space="preserve">Výše poskytnutých slev je závislá na rozsahu </w:t>
      </w:r>
      <w:r w:rsidR="00611FFC" w:rsidRPr="00611FFC">
        <w:rPr>
          <w:rFonts w:asciiTheme="minorHAnsi" w:hAnsiTheme="minorHAnsi"/>
          <w:color w:val="auto"/>
          <w:sz w:val="20"/>
          <w:szCs w:val="20"/>
        </w:rPr>
        <w:t xml:space="preserve">obsahu </w:t>
      </w:r>
      <w:r w:rsidRPr="00611FFC">
        <w:rPr>
          <w:rFonts w:asciiTheme="minorHAnsi" w:hAnsiTheme="minorHAnsi"/>
          <w:color w:val="auto"/>
          <w:sz w:val="20"/>
          <w:szCs w:val="20"/>
        </w:rPr>
        <w:t>služby</w:t>
      </w:r>
      <w:r w:rsidR="00611FFC" w:rsidRPr="00611FFC">
        <w:rPr>
          <w:rFonts w:asciiTheme="minorHAnsi" w:hAnsiTheme="minorHAnsi"/>
          <w:color w:val="auto"/>
          <w:sz w:val="20"/>
          <w:szCs w:val="20"/>
        </w:rPr>
        <w:t xml:space="preserve"> ASPI</w:t>
      </w:r>
      <w:r w:rsidRPr="00611FFC">
        <w:rPr>
          <w:rFonts w:asciiTheme="minorHAnsi" w:hAnsiTheme="minorHAnsi"/>
          <w:color w:val="auto"/>
          <w:sz w:val="20"/>
          <w:szCs w:val="20"/>
        </w:rPr>
        <w:t xml:space="preserve"> uvedeném v článku I. této smlouvy.</w:t>
      </w:r>
    </w:p>
    <w:p w:rsidR="0059487A" w:rsidRDefault="00DA2693" w:rsidP="0059487A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59487A">
        <w:rPr>
          <w:rFonts w:asciiTheme="minorHAnsi" w:hAnsiTheme="minorHAnsi"/>
          <w:color w:val="auto"/>
          <w:sz w:val="20"/>
          <w:szCs w:val="20"/>
        </w:rPr>
        <w:t>Cena předmětu plnění sjednaná v odst. 1</w:t>
      </w:r>
      <w:r w:rsidR="0059487A">
        <w:rPr>
          <w:rFonts w:asciiTheme="minorHAnsi" w:hAnsiTheme="minorHAnsi"/>
          <w:color w:val="auto"/>
          <w:sz w:val="20"/>
          <w:szCs w:val="20"/>
        </w:rPr>
        <w:t xml:space="preserve"> a 2</w:t>
      </w:r>
      <w:r w:rsidR="0010640E" w:rsidRPr="0059487A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009B5" w:rsidRPr="0059487A">
        <w:rPr>
          <w:rFonts w:asciiTheme="minorHAnsi" w:hAnsiTheme="minorHAnsi"/>
          <w:color w:val="auto"/>
          <w:sz w:val="20"/>
          <w:szCs w:val="20"/>
        </w:rPr>
        <w:t xml:space="preserve">tohoto článku smlouvy </w:t>
      </w:r>
      <w:r w:rsidR="0010640E" w:rsidRPr="0059487A">
        <w:rPr>
          <w:rFonts w:asciiTheme="minorHAnsi" w:hAnsiTheme="minorHAnsi"/>
          <w:color w:val="auto"/>
          <w:sz w:val="20"/>
          <w:szCs w:val="20"/>
        </w:rPr>
        <w:t xml:space="preserve">je splatná na základě faktury </w:t>
      </w:r>
      <w:r w:rsidR="00611FFC" w:rsidRPr="0059487A">
        <w:rPr>
          <w:rFonts w:asciiTheme="minorHAnsi" w:hAnsiTheme="minorHAnsi"/>
          <w:color w:val="auto"/>
          <w:sz w:val="20"/>
          <w:szCs w:val="20"/>
        </w:rPr>
        <w:t>Poskytovatele</w:t>
      </w:r>
      <w:r w:rsidR="00921C25">
        <w:rPr>
          <w:rFonts w:asciiTheme="minorHAnsi" w:hAnsiTheme="minorHAnsi"/>
          <w:color w:val="auto"/>
          <w:sz w:val="20"/>
          <w:szCs w:val="20"/>
        </w:rPr>
        <w:t xml:space="preserve"> se splatností 30 dnů</w:t>
      </w:r>
      <w:r w:rsidR="0010640E" w:rsidRPr="0059487A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59487A" w:rsidRPr="00611FFC">
        <w:rPr>
          <w:rFonts w:asciiTheme="minorHAnsi" w:hAnsiTheme="minorHAnsi"/>
          <w:color w:val="auto"/>
          <w:sz w:val="20"/>
          <w:szCs w:val="20"/>
        </w:rPr>
        <w:t>Předplatné v prvním roce poskytování služby je fakturováno v</w:t>
      </w:r>
      <w:r w:rsidR="0059487A">
        <w:rPr>
          <w:rFonts w:asciiTheme="minorHAnsi" w:hAnsiTheme="minorHAnsi"/>
          <w:color w:val="auto"/>
          <w:sz w:val="20"/>
          <w:szCs w:val="20"/>
        </w:rPr>
        <w:t xml:space="preserve"> poměrné výši za kalendářní rok po podpisu této smlouvy.</w:t>
      </w:r>
    </w:p>
    <w:p w:rsidR="00D46C74" w:rsidRPr="00611FFC" w:rsidRDefault="00D46C74" w:rsidP="00D46C74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0F3227" w:rsidRPr="00611FFC" w:rsidRDefault="000E7C3D" w:rsidP="000F3227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611FFC">
        <w:rPr>
          <w:rFonts w:asciiTheme="minorHAnsi" w:hAnsiTheme="minorHAnsi"/>
          <w:b/>
          <w:color w:val="auto"/>
          <w:sz w:val="20"/>
          <w:szCs w:val="20"/>
        </w:rPr>
        <w:t xml:space="preserve">Čl. </w:t>
      </w:r>
      <w:r w:rsidR="000F3227" w:rsidRPr="00611FFC">
        <w:rPr>
          <w:rFonts w:asciiTheme="minorHAnsi" w:hAnsiTheme="minorHAnsi"/>
          <w:b/>
          <w:color w:val="auto"/>
          <w:sz w:val="20"/>
          <w:szCs w:val="20"/>
        </w:rPr>
        <w:t>IV.</w:t>
      </w:r>
      <w:r w:rsidRPr="00611FFC">
        <w:rPr>
          <w:rFonts w:asciiTheme="minorHAnsi" w:hAnsiTheme="minorHAnsi"/>
          <w:b/>
          <w:color w:val="auto"/>
          <w:sz w:val="20"/>
          <w:szCs w:val="20"/>
        </w:rPr>
        <w:t xml:space="preserve"> – Ostatní ujednání</w:t>
      </w:r>
    </w:p>
    <w:p w:rsidR="006C37C0" w:rsidRPr="00C83008" w:rsidRDefault="006C37C0" w:rsidP="006C37C0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C83008">
        <w:rPr>
          <w:rFonts w:asciiTheme="minorHAnsi" w:hAnsiTheme="minorHAnsi"/>
          <w:sz w:val="20"/>
          <w:szCs w:val="20"/>
        </w:rPr>
        <w:t xml:space="preserve">Tato smlouva je uzavřena na dobu </w:t>
      </w:r>
      <w:r w:rsidR="00A411A2">
        <w:rPr>
          <w:rFonts w:asciiTheme="minorHAnsi" w:hAnsiTheme="minorHAnsi"/>
          <w:sz w:val="20"/>
          <w:szCs w:val="20"/>
        </w:rPr>
        <w:t xml:space="preserve">určitou 5 let, tj. do </w:t>
      </w:r>
      <w:proofErr w:type="gramStart"/>
      <w:r w:rsidR="00A411A2">
        <w:rPr>
          <w:rFonts w:asciiTheme="minorHAnsi" w:hAnsiTheme="minorHAnsi"/>
          <w:sz w:val="20"/>
          <w:szCs w:val="20"/>
        </w:rPr>
        <w:t>31.12.2022</w:t>
      </w:r>
      <w:proofErr w:type="gramEnd"/>
      <w:r w:rsidR="00A411A2">
        <w:rPr>
          <w:rFonts w:asciiTheme="minorHAnsi" w:hAnsiTheme="minorHAnsi"/>
          <w:sz w:val="20"/>
          <w:szCs w:val="20"/>
        </w:rPr>
        <w:t xml:space="preserve"> </w:t>
      </w:r>
      <w:r w:rsidRPr="00C83008">
        <w:rPr>
          <w:rFonts w:asciiTheme="minorHAnsi" w:hAnsiTheme="minorHAnsi"/>
          <w:sz w:val="20"/>
          <w:szCs w:val="20"/>
        </w:rPr>
        <w:t xml:space="preserve">a nabývá účinnosti dnem uveřejnění v registru smluv dle §6 odst. 1 zákona 340/2015 Sb. o registru smluv objednatelem. V případě nesplnění zákonné povinnosti zveřejnění smlouvy v registru smluv objednatelem dle zákon 340/2015 Sb., nezaniká právo na náhradu vzniklé škody poskytovateli. </w:t>
      </w:r>
    </w:p>
    <w:p w:rsidR="000F3227" w:rsidRPr="00611FFC" w:rsidRDefault="0059487A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C83008">
        <w:rPr>
          <w:rFonts w:asciiTheme="minorHAnsi" w:hAnsiTheme="minorHAnsi"/>
          <w:sz w:val="20"/>
          <w:szCs w:val="20"/>
        </w:rPr>
        <w:t xml:space="preserve">Přístup ke službě systému ASPI je poskytován po celou dobu řádně uhrazeného předplatného. Již uhrazené předplatné nelze požadovat zpět. </w:t>
      </w:r>
      <w:r w:rsidR="00BC2D97" w:rsidRPr="00C83008">
        <w:rPr>
          <w:rFonts w:asciiTheme="minorHAnsi" w:hAnsiTheme="minorHAnsi"/>
          <w:sz w:val="20"/>
          <w:szCs w:val="20"/>
        </w:rPr>
        <w:t xml:space="preserve">Nedílnou </w:t>
      </w:r>
      <w:r w:rsidR="00912F71" w:rsidRPr="00C83008">
        <w:rPr>
          <w:rFonts w:asciiTheme="minorHAnsi" w:hAnsiTheme="minorHAnsi"/>
          <w:sz w:val="20"/>
          <w:szCs w:val="20"/>
        </w:rPr>
        <w:t>sou</w:t>
      </w:r>
      <w:r w:rsidR="00BC2D97" w:rsidRPr="00C83008">
        <w:rPr>
          <w:rFonts w:asciiTheme="minorHAnsi" w:hAnsiTheme="minorHAnsi"/>
          <w:sz w:val="20"/>
          <w:szCs w:val="20"/>
        </w:rPr>
        <w:t xml:space="preserve">částí této smlouvy jsou Všeobecné obchodní podmínky </w:t>
      </w:r>
      <w:proofErr w:type="spellStart"/>
      <w:r w:rsidR="00BC2D97" w:rsidRPr="00C83008">
        <w:rPr>
          <w:rFonts w:asciiTheme="minorHAnsi" w:hAnsiTheme="minorHAnsi"/>
          <w:sz w:val="20"/>
          <w:szCs w:val="20"/>
        </w:rPr>
        <w:t>Wolters</w:t>
      </w:r>
      <w:proofErr w:type="spellEnd"/>
      <w:r w:rsidR="00BC2D97" w:rsidRPr="00C8300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C2D97" w:rsidRPr="00C83008">
        <w:rPr>
          <w:rFonts w:asciiTheme="minorHAnsi" w:hAnsiTheme="minorHAnsi"/>
          <w:sz w:val="20"/>
          <w:szCs w:val="20"/>
        </w:rPr>
        <w:t>Kluwer</w:t>
      </w:r>
      <w:proofErr w:type="spellEnd"/>
      <w:r w:rsidR="00B6366E" w:rsidRPr="00C83008">
        <w:rPr>
          <w:rFonts w:asciiTheme="minorHAnsi" w:hAnsiTheme="minorHAnsi"/>
          <w:sz w:val="20"/>
          <w:szCs w:val="20"/>
        </w:rPr>
        <w:t xml:space="preserve"> ČR</w:t>
      </w:r>
      <w:r w:rsidR="00BC2D97" w:rsidRPr="00C83008">
        <w:rPr>
          <w:rFonts w:asciiTheme="minorHAnsi" w:hAnsiTheme="minorHAnsi"/>
          <w:sz w:val="20"/>
          <w:szCs w:val="20"/>
        </w:rPr>
        <w:t>, a.s. v platném znění (</w:t>
      </w:r>
      <w:r w:rsidR="00912F71" w:rsidRPr="00C83008">
        <w:rPr>
          <w:rFonts w:asciiTheme="minorHAnsi" w:hAnsiTheme="minorHAnsi"/>
          <w:sz w:val="20"/>
          <w:szCs w:val="20"/>
        </w:rPr>
        <w:t>příloha č.2</w:t>
      </w:r>
      <w:r w:rsidR="00875465" w:rsidRPr="00C83008">
        <w:rPr>
          <w:rFonts w:asciiTheme="minorHAnsi" w:hAnsiTheme="minorHAnsi"/>
          <w:sz w:val="20"/>
          <w:szCs w:val="20"/>
        </w:rPr>
        <w:t xml:space="preserve">). </w:t>
      </w:r>
      <w:r w:rsidR="00BC2D97" w:rsidRPr="00C83008">
        <w:rPr>
          <w:rFonts w:asciiTheme="minorHAnsi" w:hAnsiTheme="minorHAnsi"/>
          <w:sz w:val="20"/>
          <w:szCs w:val="20"/>
        </w:rPr>
        <w:t>Objednatel podpisem této smlouvy potvrzuje, že se seznámil s jejich zněním a že je jako součást smluvního ujednání s</w:t>
      </w:r>
      <w:r w:rsidR="00875465" w:rsidRPr="00C83008">
        <w:rPr>
          <w:rFonts w:asciiTheme="minorHAnsi" w:hAnsiTheme="minorHAnsi"/>
          <w:sz w:val="20"/>
          <w:szCs w:val="20"/>
        </w:rPr>
        <w:t xml:space="preserve"> poskytovatelem přijímá.</w:t>
      </w:r>
    </w:p>
    <w:p w:rsidR="000F3227" w:rsidRPr="00611FFC" w:rsidRDefault="000F3227" w:rsidP="000F3227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</w:p>
    <w:p w:rsidR="00966FD2" w:rsidRPr="00611FFC" w:rsidRDefault="00912F71" w:rsidP="00415B16">
      <w:pPr>
        <w:pStyle w:val="Default"/>
        <w:jc w:val="both"/>
        <w:rPr>
          <w:rFonts w:asciiTheme="minorHAnsi" w:hAnsiTheme="minorHAnsi"/>
          <w:color w:val="auto"/>
          <w:sz w:val="20"/>
          <w:szCs w:val="20"/>
        </w:rPr>
      </w:pPr>
      <w:r w:rsidRPr="00611FFC">
        <w:rPr>
          <w:rFonts w:asciiTheme="minorHAnsi" w:hAnsiTheme="minorHAnsi"/>
          <w:color w:val="auto"/>
          <w:sz w:val="20"/>
          <w:szCs w:val="20"/>
        </w:rPr>
        <w:t xml:space="preserve">Příloha č. 1 – Seznam titulů </w:t>
      </w:r>
      <w:r w:rsidR="00B81977">
        <w:rPr>
          <w:rFonts w:asciiTheme="minorHAnsi" w:hAnsiTheme="minorHAnsi"/>
          <w:color w:val="auto"/>
          <w:sz w:val="20"/>
          <w:szCs w:val="20"/>
        </w:rPr>
        <w:t>autorského obsahu (literatura</w:t>
      </w:r>
      <w:r w:rsidR="00384EDF">
        <w:rPr>
          <w:rFonts w:asciiTheme="minorHAnsi" w:hAnsiTheme="minorHAnsi"/>
          <w:color w:val="auto"/>
          <w:sz w:val="20"/>
          <w:szCs w:val="20"/>
        </w:rPr>
        <w:t xml:space="preserve"> a další aplikace</w:t>
      </w:r>
      <w:r w:rsidR="00B81977">
        <w:rPr>
          <w:rFonts w:asciiTheme="minorHAnsi" w:hAnsiTheme="minorHAnsi"/>
          <w:color w:val="auto"/>
          <w:sz w:val="20"/>
          <w:szCs w:val="20"/>
        </w:rPr>
        <w:t>)</w:t>
      </w:r>
      <w:r w:rsidRPr="00611FFC">
        <w:rPr>
          <w:rFonts w:asciiTheme="minorHAnsi" w:hAnsiTheme="minorHAnsi"/>
          <w:color w:val="auto"/>
          <w:sz w:val="20"/>
          <w:szCs w:val="20"/>
        </w:rPr>
        <w:t>.</w:t>
      </w:r>
      <w:r w:rsidR="00415B16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F61AF6" w:rsidRPr="00560395" w:rsidRDefault="00F61AF6" w:rsidP="00560395">
      <w:pPr>
        <w:rPr>
          <w:rFonts w:asciiTheme="minorHAnsi" w:hAnsiTheme="minorHAnsi" w:cs="Tahoma"/>
          <w:sz w:val="20"/>
          <w:szCs w:val="20"/>
        </w:rPr>
      </w:pPr>
      <w:r w:rsidRPr="00611FFC">
        <w:rPr>
          <w:rFonts w:asciiTheme="minorHAnsi" w:hAnsiTheme="minorHAnsi" w:cs="Tahoma"/>
          <w:sz w:val="20"/>
          <w:szCs w:val="20"/>
        </w:rPr>
        <w:t xml:space="preserve">Příloha č. </w:t>
      </w:r>
      <w:r w:rsidR="00912F71" w:rsidRPr="00611FFC">
        <w:rPr>
          <w:rFonts w:asciiTheme="minorHAnsi" w:hAnsiTheme="minorHAnsi" w:cs="Tahoma"/>
          <w:sz w:val="20"/>
          <w:szCs w:val="20"/>
        </w:rPr>
        <w:t>2</w:t>
      </w:r>
      <w:r w:rsidRPr="00611FFC">
        <w:rPr>
          <w:rFonts w:asciiTheme="minorHAnsi" w:hAnsiTheme="minorHAnsi" w:cs="Tahoma"/>
          <w:sz w:val="20"/>
          <w:szCs w:val="20"/>
        </w:rPr>
        <w:t xml:space="preserve"> – Všeobecné obchodní podmínky společnosti </w:t>
      </w:r>
      <w:proofErr w:type="spellStart"/>
      <w:r w:rsidRPr="00611FFC">
        <w:rPr>
          <w:rFonts w:asciiTheme="minorHAnsi" w:hAnsiTheme="minorHAnsi" w:cs="Tahoma"/>
          <w:sz w:val="20"/>
          <w:szCs w:val="20"/>
        </w:rPr>
        <w:t>Wolters</w:t>
      </w:r>
      <w:proofErr w:type="spellEnd"/>
      <w:r w:rsidR="00611FFC" w:rsidRPr="00611FFC">
        <w:rPr>
          <w:rFonts w:asciiTheme="minorHAnsi" w:hAnsiTheme="minorHAnsi" w:cs="Tahoma"/>
          <w:sz w:val="20"/>
          <w:szCs w:val="20"/>
        </w:rPr>
        <w:t xml:space="preserve"> </w:t>
      </w:r>
      <w:proofErr w:type="spellStart"/>
      <w:r w:rsidR="00611FFC" w:rsidRPr="00611FFC">
        <w:rPr>
          <w:rFonts w:asciiTheme="minorHAnsi" w:hAnsiTheme="minorHAnsi" w:cs="Tahoma"/>
          <w:sz w:val="20"/>
          <w:szCs w:val="20"/>
        </w:rPr>
        <w:t>Kluwer</w:t>
      </w:r>
      <w:proofErr w:type="spellEnd"/>
      <w:r w:rsidR="00B6366E">
        <w:rPr>
          <w:rFonts w:asciiTheme="minorHAnsi" w:hAnsiTheme="minorHAnsi" w:cs="Tahoma"/>
          <w:sz w:val="20"/>
          <w:szCs w:val="20"/>
        </w:rPr>
        <w:t xml:space="preserve"> ČR</w:t>
      </w:r>
      <w:r w:rsidRPr="00611FFC">
        <w:rPr>
          <w:rFonts w:asciiTheme="minorHAnsi" w:hAnsiTheme="minorHAnsi" w:cs="Tahoma"/>
          <w:sz w:val="20"/>
          <w:szCs w:val="20"/>
        </w:rPr>
        <w:t>, a.s.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0F3227" w:rsidRPr="00611FFC" w:rsidTr="00F275BF">
        <w:trPr>
          <w:trHeight w:val="87"/>
        </w:trPr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</w:t>
            </w:r>
            <w:r w:rsidR="00C8300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Praze</w:t>
            </w: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, dne</w:t>
            </w:r>
            <w:r w:rsidR="00D00E5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</w:t>
            </w:r>
            <w:proofErr w:type="gramStart"/>
            <w:r w:rsidR="00D00E5E">
              <w:rPr>
                <w:rFonts w:asciiTheme="minorHAnsi" w:hAnsiTheme="minorHAnsi"/>
                <w:color w:val="auto"/>
                <w:sz w:val="20"/>
                <w:szCs w:val="20"/>
              </w:rPr>
              <w:t>4.12. 2017</w:t>
            </w:r>
            <w:proofErr w:type="gramEnd"/>
          </w:p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V Praze, dne</w:t>
            </w:r>
            <w:r w:rsidR="00D00E5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proofErr w:type="gramStart"/>
            <w:r w:rsidR="00D00E5E">
              <w:rPr>
                <w:rFonts w:asciiTheme="minorHAnsi" w:hAnsiTheme="minorHAnsi"/>
                <w:color w:val="auto"/>
                <w:sz w:val="20"/>
                <w:szCs w:val="20"/>
              </w:rPr>
              <w:t>4.12. 2017</w:t>
            </w:r>
            <w:proofErr w:type="gramEnd"/>
          </w:p>
        </w:tc>
      </w:tr>
      <w:tr w:rsidR="000F3227" w:rsidRPr="00611FFC" w:rsidTr="00F275BF">
        <w:trPr>
          <w:trHeight w:val="87"/>
        </w:trPr>
        <w:tc>
          <w:tcPr>
            <w:tcW w:w="3249" w:type="dxa"/>
          </w:tcPr>
          <w:p w:rsidR="000F3227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C83008" w:rsidRDefault="00C83008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C83008" w:rsidRPr="00611FFC" w:rsidRDefault="00C83008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0F3227" w:rsidRPr="00611FFC" w:rsidTr="00F275BF">
        <w:trPr>
          <w:trHeight w:val="212"/>
        </w:trPr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--------------------------------------                           (Objednatel)</w:t>
            </w:r>
          </w:p>
        </w:tc>
        <w:tc>
          <w:tcPr>
            <w:tcW w:w="3249" w:type="dxa"/>
          </w:tcPr>
          <w:p w:rsidR="000F3227" w:rsidRPr="00611FFC" w:rsidRDefault="000F3227" w:rsidP="00F275BF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49" w:type="dxa"/>
          </w:tcPr>
          <w:p w:rsidR="000F3227" w:rsidRPr="00611FFC" w:rsidRDefault="000F3227" w:rsidP="000E7C3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-------------------------------------- (</w:t>
            </w:r>
            <w:r w:rsidR="000E7C3D" w:rsidRPr="00611FFC">
              <w:rPr>
                <w:rFonts w:asciiTheme="minorHAnsi" w:hAnsiTheme="minorHAnsi"/>
                <w:color w:val="auto"/>
                <w:sz w:val="20"/>
                <w:szCs w:val="20"/>
              </w:rPr>
              <w:t>Poskytovatel</w:t>
            </w:r>
            <w:r w:rsidRPr="00611FFC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</w:p>
        </w:tc>
      </w:tr>
    </w:tbl>
    <w:p w:rsidR="000F3227" w:rsidRPr="00611FFC" w:rsidRDefault="000F3227" w:rsidP="00560395">
      <w:pPr>
        <w:pStyle w:val="Default"/>
        <w:rPr>
          <w:rFonts w:asciiTheme="minorHAnsi" w:hAnsiTheme="minorHAnsi"/>
          <w:sz w:val="20"/>
          <w:szCs w:val="20"/>
        </w:rPr>
      </w:pPr>
    </w:p>
    <w:sectPr w:rsidR="000F3227" w:rsidRPr="00611FFC" w:rsidSect="0003553D">
      <w:headerReference w:type="default" r:id="rId8"/>
      <w:footerReference w:type="default" r:id="rId9"/>
      <w:pgSz w:w="11906" w:h="16838"/>
      <w:pgMar w:top="96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BE" w:rsidRDefault="005D66BE" w:rsidP="00B50422">
      <w:pPr>
        <w:spacing w:after="0" w:line="240" w:lineRule="auto"/>
      </w:pPr>
      <w:r>
        <w:separator/>
      </w:r>
    </w:p>
  </w:endnote>
  <w:endnote w:type="continuationSeparator" w:id="0">
    <w:p w:rsidR="005D66BE" w:rsidRDefault="005D66BE" w:rsidP="00B5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203" w:rsidRDefault="005F514A" w:rsidP="00846203">
    <w:pPr>
      <w:shd w:val="clear" w:color="auto" w:fill="FFFFFF"/>
      <w:spacing w:after="0"/>
      <w:jc w:val="center"/>
      <w:rPr>
        <w:rFonts w:ascii="Trebuchet MS" w:hAnsi="Trebuchet MS" w:cs="Arial"/>
        <w:color w:val="7F7F7F"/>
        <w:sz w:val="18"/>
        <w:szCs w:val="18"/>
      </w:rPr>
    </w:pPr>
    <w:r w:rsidRPr="005F514A">
      <w:rPr>
        <w:rFonts w:asciiTheme="minorHAnsi" w:hAnsiTheme="minorHAnsi"/>
        <w:sz w:val="20"/>
        <w:szCs w:val="20"/>
      </w:rPr>
      <w:t xml:space="preserve">Strana </w:t>
    </w:r>
    <w:r w:rsidRPr="005F514A">
      <w:rPr>
        <w:rFonts w:asciiTheme="minorHAnsi" w:hAnsiTheme="minorHAnsi"/>
        <w:sz w:val="20"/>
        <w:szCs w:val="20"/>
      </w:rPr>
      <w:fldChar w:fldCharType="begin"/>
    </w:r>
    <w:r w:rsidRPr="005F514A">
      <w:rPr>
        <w:rFonts w:asciiTheme="minorHAnsi" w:hAnsiTheme="minorHAnsi"/>
        <w:sz w:val="20"/>
        <w:szCs w:val="20"/>
      </w:rPr>
      <w:instrText>PAGE   \* MERGEFORMAT</w:instrText>
    </w:r>
    <w:r w:rsidRPr="005F514A">
      <w:rPr>
        <w:rFonts w:asciiTheme="minorHAnsi" w:hAnsiTheme="minorHAnsi"/>
        <w:sz w:val="20"/>
        <w:szCs w:val="20"/>
      </w:rPr>
      <w:fldChar w:fldCharType="separate"/>
    </w:r>
    <w:r w:rsidR="00F81967">
      <w:rPr>
        <w:rFonts w:asciiTheme="minorHAnsi" w:hAnsiTheme="minorHAnsi"/>
        <w:noProof/>
        <w:sz w:val="20"/>
        <w:szCs w:val="20"/>
      </w:rPr>
      <w:t>2</w:t>
    </w:r>
    <w:r w:rsidRPr="005F514A">
      <w:rPr>
        <w:rFonts w:asciiTheme="minorHAnsi" w:hAnsiTheme="minorHAnsi"/>
        <w:sz w:val="20"/>
        <w:szCs w:val="20"/>
      </w:rPr>
      <w:fldChar w:fldCharType="end"/>
    </w:r>
    <w:r w:rsidR="00846203" w:rsidRPr="00846203">
      <w:rPr>
        <w:rFonts w:ascii="Trebuchet MS" w:hAnsi="Trebuchet MS" w:cs="Arial"/>
        <w:color w:val="7F7F7F"/>
        <w:sz w:val="18"/>
        <w:szCs w:val="18"/>
      </w:rPr>
      <w:t xml:space="preserve"> </w:t>
    </w:r>
    <w:r w:rsidR="00846203">
      <w:rPr>
        <w:rFonts w:ascii="Trebuchet MS" w:hAnsi="Trebuchet MS" w:cs="Arial"/>
        <w:color w:val="7F7F7F"/>
        <w:sz w:val="18"/>
        <w:szCs w:val="18"/>
      </w:rPr>
      <w:tab/>
    </w:r>
  </w:p>
  <w:p w:rsidR="00846203" w:rsidRPr="00846203" w:rsidRDefault="00846203" w:rsidP="00846203">
    <w:pPr>
      <w:shd w:val="clear" w:color="auto" w:fill="FFFFFF"/>
      <w:spacing w:after="0"/>
      <w:jc w:val="right"/>
      <w:rPr>
        <w:rFonts w:ascii="Arial" w:hAnsi="Arial" w:cs="Arial"/>
        <w:color w:val="7F7F7F"/>
        <w:sz w:val="12"/>
        <w:szCs w:val="18"/>
      </w:rPr>
    </w:pPr>
    <w:proofErr w:type="spellStart"/>
    <w:r w:rsidRPr="00846203">
      <w:rPr>
        <w:rFonts w:ascii="Trebuchet MS" w:hAnsi="Trebuchet MS" w:cs="Arial"/>
        <w:color w:val="7F7F7F"/>
        <w:sz w:val="12"/>
        <w:szCs w:val="18"/>
      </w:rPr>
      <w:t>Wolters</w:t>
    </w:r>
    <w:proofErr w:type="spellEnd"/>
    <w:r w:rsidRPr="00846203">
      <w:rPr>
        <w:rFonts w:ascii="Trebuchet MS" w:hAnsi="Trebuchet MS" w:cs="Arial"/>
        <w:color w:val="7F7F7F"/>
        <w:sz w:val="12"/>
        <w:szCs w:val="18"/>
      </w:rPr>
      <w:t xml:space="preserve"> </w:t>
    </w:r>
    <w:proofErr w:type="spellStart"/>
    <w:r w:rsidRPr="00846203">
      <w:rPr>
        <w:rFonts w:ascii="Trebuchet MS" w:hAnsi="Trebuchet MS" w:cs="Arial"/>
        <w:color w:val="7F7F7F"/>
        <w:sz w:val="12"/>
        <w:szCs w:val="18"/>
      </w:rPr>
      <w:t>Kluwer</w:t>
    </w:r>
    <w:proofErr w:type="spellEnd"/>
    <w:r w:rsidRPr="00846203">
      <w:rPr>
        <w:rFonts w:ascii="Trebuchet MS" w:hAnsi="Trebuchet MS" w:cs="Arial"/>
        <w:color w:val="7F7F7F"/>
        <w:sz w:val="12"/>
        <w:szCs w:val="18"/>
      </w:rPr>
      <w:t xml:space="preserve"> , a. s.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U Nákladového nádraží 6</w:t>
    </w:r>
    <w:r>
      <w:rPr>
        <w:rFonts w:ascii="Arial" w:hAnsi="Arial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7F7F7F"/>
        <w:sz w:val="12"/>
        <w:szCs w:val="18"/>
      </w:rPr>
      <w:t>130 00 Praha 3</w:t>
    </w:r>
  </w:p>
  <w:p w:rsidR="00846203" w:rsidRPr="00846203" w:rsidRDefault="00846203" w:rsidP="00846203">
    <w:pPr>
      <w:shd w:val="clear" w:color="auto" w:fill="FFFFFF"/>
      <w:spacing w:after="0"/>
      <w:jc w:val="right"/>
      <w:rPr>
        <w:rFonts w:ascii="Trebuchet MS" w:hAnsi="Trebuchet MS" w:cs="Arial"/>
        <w:color w:val="7F7F7F"/>
        <w:sz w:val="12"/>
        <w:szCs w:val="18"/>
      </w:rPr>
    </w:pPr>
    <w:r w:rsidRPr="00846203">
      <w:rPr>
        <w:rFonts w:ascii="Trebuchet MS" w:hAnsi="Trebuchet MS" w:cs="Arial"/>
        <w:color w:val="7F7F7F"/>
        <w:sz w:val="12"/>
        <w:szCs w:val="18"/>
      </w:rPr>
      <w:t>Tel.:+420 246 040</w:t>
    </w:r>
    <w:r>
      <w:rPr>
        <w:rFonts w:ascii="Trebuchet MS" w:hAnsi="Trebuchet MS" w:cs="Arial"/>
        <w:color w:val="7F7F7F"/>
        <w:sz w:val="12"/>
        <w:szCs w:val="18"/>
      </w:rPr>
      <w:t> </w:t>
    </w:r>
    <w:r w:rsidRPr="00846203">
      <w:rPr>
        <w:rFonts w:ascii="Trebuchet MS" w:hAnsi="Trebuchet MS" w:cs="Arial"/>
        <w:color w:val="7F7F7F"/>
        <w:sz w:val="12"/>
        <w:szCs w:val="18"/>
      </w:rPr>
      <w:t>400</w:t>
    </w:r>
    <w:r>
      <w:rPr>
        <w:rFonts w:ascii="Trebuchet MS" w:hAnsi="Trebuchet MS" w:cs="Arial"/>
        <w:color w:val="7F7F7F"/>
        <w:sz w:val="12"/>
        <w:szCs w:val="18"/>
      </w:rPr>
      <w:t xml:space="preserve">, </w:t>
    </w:r>
    <w:hyperlink r:id="rId1" w:history="1">
      <w:r w:rsidRPr="00B0467E">
        <w:rPr>
          <w:rStyle w:val="Hypertextovodkaz"/>
          <w:rFonts w:ascii="Trebuchet MS" w:hAnsi="Trebuchet MS" w:cs="Arial"/>
          <w:sz w:val="12"/>
          <w:szCs w:val="18"/>
        </w:rPr>
        <w:t>obchod@wolterskluwer.cz</w:t>
      </w:r>
    </w:hyperlink>
    <w:r>
      <w:rPr>
        <w:rFonts w:ascii="Trebuchet MS" w:hAnsi="Trebuchet MS" w:cs="Arial"/>
        <w:color w:val="7F7F7F"/>
        <w:sz w:val="12"/>
        <w:szCs w:val="18"/>
      </w:rPr>
      <w:t xml:space="preserve">, </w:t>
    </w:r>
    <w:r w:rsidRPr="00846203">
      <w:rPr>
        <w:rFonts w:ascii="Trebuchet MS" w:hAnsi="Trebuchet MS" w:cs="Arial"/>
        <w:color w:val="1F497D"/>
        <w:sz w:val="12"/>
        <w:szCs w:val="18"/>
      </w:rPr>
      <w:t>www.wolterskluwer.cz</w:t>
    </w:r>
  </w:p>
  <w:p w:rsidR="005F514A" w:rsidRPr="00846203" w:rsidRDefault="005F514A" w:rsidP="005F514A">
    <w:pPr>
      <w:pStyle w:val="Zpat"/>
      <w:jc w:val="center"/>
      <w:rPr>
        <w:rFonts w:asciiTheme="minorHAnsi" w:hAnsiTheme="minorHAnsi"/>
        <w:sz w:val="1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BE" w:rsidRDefault="005D66BE" w:rsidP="00B50422">
      <w:pPr>
        <w:spacing w:after="0" w:line="240" w:lineRule="auto"/>
      </w:pPr>
      <w:r>
        <w:separator/>
      </w:r>
    </w:p>
  </w:footnote>
  <w:footnote w:type="continuationSeparator" w:id="0">
    <w:p w:rsidR="005D66BE" w:rsidRDefault="005D66BE" w:rsidP="00B5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22" w:rsidRPr="005F514A" w:rsidRDefault="00B50422">
    <w:pPr>
      <w:pStyle w:val="Zhlav"/>
      <w:rPr>
        <w:rFonts w:asciiTheme="minorHAnsi" w:hAnsiTheme="minorHAnsi" w:cs="Tahoma"/>
        <w:sz w:val="20"/>
        <w:szCs w:val="20"/>
        <w:lang w:val="cs-CZ"/>
      </w:rPr>
    </w:pPr>
    <w:r w:rsidRPr="000E46BE">
      <w:rPr>
        <w:rFonts w:asciiTheme="minorHAnsi" w:hAnsiTheme="minorHAnsi" w:cs="Tahoma"/>
        <w:sz w:val="20"/>
        <w:szCs w:val="20"/>
      </w:rPr>
      <w:t xml:space="preserve">č. </w:t>
    </w:r>
    <w:r w:rsidR="003647D4" w:rsidRPr="000E46BE">
      <w:rPr>
        <w:rFonts w:asciiTheme="minorHAnsi" w:hAnsiTheme="minorHAnsi" w:cs="Tahoma"/>
        <w:sz w:val="20"/>
        <w:szCs w:val="20"/>
        <w:lang w:val="cs-CZ"/>
      </w:rPr>
      <w:t>smlouvy</w:t>
    </w:r>
    <w:r w:rsidRPr="000E46BE">
      <w:rPr>
        <w:rFonts w:asciiTheme="minorHAnsi" w:hAnsiTheme="minorHAnsi" w:cs="Tahoma"/>
        <w:sz w:val="20"/>
        <w:szCs w:val="20"/>
      </w:rPr>
      <w:t>:</w:t>
    </w:r>
    <w:r w:rsidR="000E46BE" w:rsidRPr="000E46BE">
      <w:rPr>
        <w:rFonts w:asciiTheme="minorHAnsi" w:hAnsiTheme="minorHAnsi" w:cs="Tahoma"/>
        <w:sz w:val="20"/>
        <w:szCs w:val="20"/>
        <w:lang w:val="cs-CZ"/>
      </w:rPr>
      <w:t xml:space="preserve"> </w:t>
    </w:r>
    <w:r w:rsidR="008C0CF6">
      <w:rPr>
        <w:rFonts w:asciiTheme="minorHAnsi" w:hAnsiTheme="minorHAnsi" w:cs="Tahoma"/>
        <w:sz w:val="20"/>
        <w:szCs w:val="20"/>
      </w:rPr>
      <w:t xml:space="preserve"> </w:t>
    </w:r>
    <w:r w:rsidR="008C0CF6">
      <w:rPr>
        <w:rFonts w:asciiTheme="minorHAnsi" w:hAnsiTheme="minorHAnsi" w:cs="Tahoma"/>
        <w:sz w:val="20"/>
        <w:szCs w:val="20"/>
        <w:lang w:val="cs-CZ"/>
      </w:rPr>
      <w:t>S-10474/17/KUXI</w:t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rFonts w:asciiTheme="minorHAnsi" w:hAnsiTheme="minorHAnsi" w:cs="Tahoma"/>
        <w:sz w:val="20"/>
        <w:szCs w:val="20"/>
        <w:lang w:val="cs-CZ"/>
      </w:rPr>
      <w:tab/>
    </w:r>
    <w:r w:rsidR="005F514A">
      <w:rPr>
        <w:noProof/>
        <w:lang w:val="cs-CZ" w:eastAsia="cs-CZ"/>
      </w:rPr>
      <w:drawing>
        <wp:inline distT="0" distB="0" distL="0" distR="0" wp14:anchorId="7F10E784" wp14:editId="468EAEA9">
          <wp:extent cx="1143000" cy="228600"/>
          <wp:effectExtent l="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7" t="26428" r="70090" b="2205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E7EF3"/>
    <w:multiLevelType w:val="hybridMultilevel"/>
    <w:tmpl w:val="4A5E6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9465B"/>
    <w:multiLevelType w:val="hybridMultilevel"/>
    <w:tmpl w:val="9688695C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C747A5"/>
    <w:multiLevelType w:val="hybridMultilevel"/>
    <w:tmpl w:val="AB824894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306B65"/>
    <w:multiLevelType w:val="hybridMultilevel"/>
    <w:tmpl w:val="902428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55721A"/>
    <w:multiLevelType w:val="hybridMultilevel"/>
    <w:tmpl w:val="35F6AF78"/>
    <w:lvl w:ilvl="0" w:tplc="4FA61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E"/>
    <w:rsid w:val="00012BB1"/>
    <w:rsid w:val="0003553D"/>
    <w:rsid w:val="00062435"/>
    <w:rsid w:val="00067812"/>
    <w:rsid w:val="00070271"/>
    <w:rsid w:val="000E46BE"/>
    <w:rsid w:val="000E7C3D"/>
    <w:rsid w:val="000F3227"/>
    <w:rsid w:val="0010063B"/>
    <w:rsid w:val="00101C77"/>
    <w:rsid w:val="0010640E"/>
    <w:rsid w:val="00116489"/>
    <w:rsid w:val="00154DE7"/>
    <w:rsid w:val="001560A4"/>
    <w:rsid w:val="00187BF8"/>
    <w:rsid w:val="001A6E4C"/>
    <w:rsid w:val="001F5272"/>
    <w:rsid w:val="00200513"/>
    <w:rsid w:val="00200FB2"/>
    <w:rsid w:val="0021125A"/>
    <w:rsid w:val="00254E99"/>
    <w:rsid w:val="00255556"/>
    <w:rsid w:val="002871E4"/>
    <w:rsid w:val="002B5685"/>
    <w:rsid w:val="002C224F"/>
    <w:rsid w:val="002C650E"/>
    <w:rsid w:val="002D08C5"/>
    <w:rsid w:val="002E1C0A"/>
    <w:rsid w:val="002F6B81"/>
    <w:rsid w:val="003160D9"/>
    <w:rsid w:val="00322319"/>
    <w:rsid w:val="00343577"/>
    <w:rsid w:val="003647D4"/>
    <w:rsid w:val="00370394"/>
    <w:rsid w:val="00374408"/>
    <w:rsid w:val="003748BC"/>
    <w:rsid w:val="00384EDF"/>
    <w:rsid w:val="003B26E1"/>
    <w:rsid w:val="0041498A"/>
    <w:rsid w:val="00415B16"/>
    <w:rsid w:val="004168D6"/>
    <w:rsid w:val="00424F09"/>
    <w:rsid w:val="00436A00"/>
    <w:rsid w:val="004437A9"/>
    <w:rsid w:val="0045138F"/>
    <w:rsid w:val="00460465"/>
    <w:rsid w:val="0049107A"/>
    <w:rsid w:val="00491879"/>
    <w:rsid w:val="00493D90"/>
    <w:rsid w:val="004A1103"/>
    <w:rsid w:val="004A37FD"/>
    <w:rsid w:val="004B603C"/>
    <w:rsid w:val="004C0234"/>
    <w:rsid w:val="004D0E57"/>
    <w:rsid w:val="004D6821"/>
    <w:rsid w:val="0050158E"/>
    <w:rsid w:val="00560395"/>
    <w:rsid w:val="0059487A"/>
    <w:rsid w:val="005A6EDE"/>
    <w:rsid w:val="005B589F"/>
    <w:rsid w:val="005D66BE"/>
    <w:rsid w:val="005F514A"/>
    <w:rsid w:val="006009B5"/>
    <w:rsid w:val="00607524"/>
    <w:rsid w:val="00611FFC"/>
    <w:rsid w:val="00641290"/>
    <w:rsid w:val="00641389"/>
    <w:rsid w:val="006A0271"/>
    <w:rsid w:val="006C37C0"/>
    <w:rsid w:val="006F0056"/>
    <w:rsid w:val="00722D16"/>
    <w:rsid w:val="0072553B"/>
    <w:rsid w:val="00734977"/>
    <w:rsid w:val="00752730"/>
    <w:rsid w:val="00762089"/>
    <w:rsid w:val="00782B79"/>
    <w:rsid w:val="007A2F9C"/>
    <w:rsid w:val="007B4EC6"/>
    <w:rsid w:val="007C55BB"/>
    <w:rsid w:val="007E6E13"/>
    <w:rsid w:val="007F5B04"/>
    <w:rsid w:val="008028D4"/>
    <w:rsid w:val="00814DB1"/>
    <w:rsid w:val="00816E27"/>
    <w:rsid w:val="00846203"/>
    <w:rsid w:val="00875465"/>
    <w:rsid w:val="008763AD"/>
    <w:rsid w:val="00886B6B"/>
    <w:rsid w:val="008A40EA"/>
    <w:rsid w:val="008B20F0"/>
    <w:rsid w:val="008B4DD4"/>
    <w:rsid w:val="008C0CF6"/>
    <w:rsid w:val="008F2A9E"/>
    <w:rsid w:val="00912F71"/>
    <w:rsid w:val="00916543"/>
    <w:rsid w:val="00921C25"/>
    <w:rsid w:val="00956CC6"/>
    <w:rsid w:val="00966FD2"/>
    <w:rsid w:val="009D7F04"/>
    <w:rsid w:val="00A03342"/>
    <w:rsid w:val="00A052F8"/>
    <w:rsid w:val="00A411A2"/>
    <w:rsid w:val="00A564FB"/>
    <w:rsid w:val="00A8159B"/>
    <w:rsid w:val="00AD52E2"/>
    <w:rsid w:val="00AF0BFE"/>
    <w:rsid w:val="00AF369E"/>
    <w:rsid w:val="00B27A0F"/>
    <w:rsid w:val="00B377AE"/>
    <w:rsid w:val="00B47865"/>
    <w:rsid w:val="00B50422"/>
    <w:rsid w:val="00B6366E"/>
    <w:rsid w:val="00B7569A"/>
    <w:rsid w:val="00B81977"/>
    <w:rsid w:val="00BC08AA"/>
    <w:rsid w:val="00BC2D97"/>
    <w:rsid w:val="00C125F6"/>
    <w:rsid w:val="00C31F96"/>
    <w:rsid w:val="00C477E4"/>
    <w:rsid w:val="00C70A36"/>
    <w:rsid w:val="00C83008"/>
    <w:rsid w:val="00C841C9"/>
    <w:rsid w:val="00C9221F"/>
    <w:rsid w:val="00CC40F4"/>
    <w:rsid w:val="00CE23B7"/>
    <w:rsid w:val="00CE5509"/>
    <w:rsid w:val="00CF675F"/>
    <w:rsid w:val="00CF76EE"/>
    <w:rsid w:val="00D00E5E"/>
    <w:rsid w:val="00D21810"/>
    <w:rsid w:val="00D23954"/>
    <w:rsid w:val="00D3131D"/>
    <w:rsid w:val="00D37CAB"/>
    <w:rsid w:val="00D46C74"/>
    <w:rsid w:val="00D7093E"/>
    <w:rsid w:val="00D816AE"/>
    <w:rsid w:val="00DA2693"/>
    <w:rsid w:val="00DA338D"/>
    <w:rsid w:val="00DA493B"/>
    <w:rsid w:val="00E144B5"/>
    <w:rsid w:val="00E25E50"/>
    <w:rsid w:val="00E31892"/>
    <w:rsid w:val="00E456C3"/>
    <w:rsid w:val="00E66442"/>
    <w:rsid w:val="00E86E7D"/>
    <w:rsid w:val="00EA58A5"/>
    <w:rsid w:val="00EA6ADD"/>
    <w:rsid w:val="00EB28D1"/>
    <w:rsid w:val="00EB66E7"/>
    <w:rsid w:val="00ED39D9"/>
    <w:rsid w:val="00EE1B75"/>
    <w:rsid w:val="00EE3AD0"/>
    <w:rsid w:val="00EF39C7"/>
    <w:rsid w:val="00F06D42"/>
    <w:rsid w:val="00F275BF"/>
    <w:rsid w:val="00F4165D"/>
    <w:rsid w:val="00F47780"/>
    <w:rsid w:val="00F61AF6"/>
    <w:rsid w:val="00F6563C"/>
    <w:rsid w:val="00F81967"/>
    <w:rsid w:val="00F81E24"/>
    <w:rsid w:val="00F82513"/>
    <w:rsid w:val="00FA4DC4"/>
    <w:rsid w:val="00FB25A0"/>
    <w:rsid w:val="00FF0858"/>
    <w:rsid w:val="00FF2793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5:docId w15:val="{37F01817-A8C2-4A54-9439-B5983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093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B7569A"/>
    <w:pPr>
      <w:spacing w:after="0" w:line="240" w:lineRule="auto"/>
      <w:ind w:left="284"/>
      <w:jc w:val="center"/>
    </w:pPr>
    <w:rPr>
      <w:rFonts w:ascii="Times New Roman" w:eastAsia="Times New Roman" w:hAnsi="Times New Roman"/>
      <w:b/>
      <w:lang w:val="x-none" w:eastAsia="x-none"/>
    </w:rPr>
  </w:style>
  <w:style w:type="character" w:customStyle="1" w:styleId="NzevChar">
    <w:name w:val="Název Char"/>
    <w:link w:val="Nzev"/>
    <w:rsid w:val="00B7569A"/>
    <w:rPr>
      <w:rFonts w:ascii="Times New Roman" w:eastAsia="Times New Roman" w:hAnsi="Times New Roman"/>
      <w:b/>
      <w:sz w:val="22"/>
      <w:szCs w:val="22"/>
    </w:rPr>
  </w:style>
  <w:style w:type="character" w:styleId="Siln">
    <w:name w:val="Strong"/>
    <w:uiPriority w:val="22"/>
    <w:qFormat/>
    <w:rsid w:val="00E25E5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B504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042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B5042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A2693"/>
    <w:pPr>
      <w:ind w:left="708"/>
    </w:pPr>
  </w:style>
  <w:style w:type="paragraph" w:styleId="Zkladntext">
    <w:name w:val="Body Text"/>
    <w:basedOn w:val="Normln"/>
    <w:link w:val="ZkladntextChar"/>
    <w:rsid w:val="00F61AF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F61AF6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2D16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3647D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4620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84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hod@wolterskluw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9381-83C6-45E9-B9B1-8C8329EC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rozsypal</dc:creator>
  <cp:lastModifiedBy>Reichová Ivana JUDr.</cp:lastModifiedBy>
  <cp:revision>4</cp:revision>
  <cp:lastPrinted>2017-12-04T13:19:00Z</cp:lastPrinted>
  <dcterms:created xsi:type="dcterms:W3CDTF">2017-12-11T12:50:00Z</dcterms:created>
  <dcterms:modified xsi:type="dcterms:W3CDTF">2017-12-11T12:58:00Z</dcterms:modified>
</cp:coreProperties>
</file>