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A9E" w:rsidRDefault="00164A9E" w:rsidP="00164A9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164A9E" w:rsidRDefault="00164A9E" w:rsidP="00164A9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164A9E" w:rsidRDefault="00164A9E" w:rsidP="00164A9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982407-0937/2014</w:t>
      </w:r>
    </w:p>
    <w:p w:rsidR="00164A9E" w:rsidRDefault="00164A9E" w:rsidP="00164A9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424C6D">
        <w:tab/>
      </w:r>
      <w:r w:rsidR="00424C6D">
        <w:tab/>
      </w:r>
      <w:r>
        <w:t>Ing. Libor Plzák, obchodní ředitel regionu, obchod SČ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</w:p>
    <w:p w:rsidR="00164A9E" w:rsidRDefault="00164A9E" w:rsidP="00164A9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64A9E" w:rsidRDefault="00164A9E" w:rsidP="00164A9E">
      <w:pPr>
        <w:numPr>
          <w:ilvl w:val="0"/>
          <w:numId w:val="0"/>
        </w:numPr>
        <w:spacing w:after="0" w:line="240" w:lineRule="auto"/>
        <w:ind w:left="142"/>
      </w:pPr>
    </w:p>
    <w:p w:rsidR="00164A9E" w:rsidRDefault="00C5783D" w:rsidP="00164A9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424C6D">
        <w:t>kání:</w:t>
      </w:r>
      <w:r w:rsidR="00424C6D">
        <w:tab/>
      </w:r>
      <w:r w:rsidR="00424C6D">
        <w:tab/>
      </w:r>
      <w:r w:rsidR="00424C6D">
        <w:tab/>
      </w:r>
      <w:r w:rsidR="00C5783D">
        <w:t>xxx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783D">
        <w:t>xxx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783D">
        <w:t>xxx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 w:rsidR="00424C6D">
        <w:tab/>
      </w:r>
      <w:r w:rsidR="00424C6D">
        <w:tab/>
      </w:r>
      <w:r w:rsidR="00C5783D">
        <w:t>xxx</w:t>
      </w:r>
    </w:p>
    <w:p w:rsidR="00164A9E" w:rsidRDefault="00164A9E" w:rsidP="00424C6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C5783D">
        <w:t>xxx</w:t>
      </w:r>
      <w:r>
        <w:t xml:space="preserve"> 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C5783D">
        <w:t>xxx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783D">
        <w:t>xxx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C5783D">
        <w:t>xxx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C5783D">
        <w:t>xxx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  <w:r>
        <w:t>(dále jen "Podavatel")</w:t>
      </w: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</w:p>
    <w:p w:rsidR="00164A9E" w:rsidRDefault="00164A9E" w:rsidP="00164A9E">
      <w:pPr>
        <w:numPr>
          <w:ilvl w:val="0"/>
          <w:numId w:val="0"/>
        </w:numPr>
        <w:spacing w:before="50" w:after="70" w:line="240" w:lineRule="auto"/>
        <w:ind w:left="142"/>
      </w:pPr>
    </w:p>
    <w:p w:rsidR="00424C6D" w:rsidRDefault="00164A9E" w:rsidP="00424C6D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</w:t>
      </w:r>
      <w:r w:rsidR="00424C6D">
        <w:t xml:space="preserve"> </w:t>
      </w:r>
      <w:r>
        <w:t>uzavírají</w:t>
      </w:r>
      <w:r w:rsidR="00424C6D">
        <w:t xml:space="preserve"> </w:t>
      </w:r>
      <w:r>
        <w:t>v</w:t>
      </w:r>
      <w:r w:rsidR="00424C6D">
        <w:t xml:space="preserve"> </w:t>
      </w:r>
      <w:r>
        <w:t>souladu s ustanovením § 1746 odst. 2zákona č. 89/2012Sb., občanského zákoníku, ve znění pozdějších předpisů (dále jen "Občanský zákoník")tuto Dohodu o podmínkách podávání poštovních zásilek Obchodní psaní (dále jen "Dohoda"). (dále jen "Dohoda").</w:t>
      </w:r>
    </w:p>
    <w:p w:rsidR="00164A9E" w:rsidRPr="00164A9E" w:rsidRDefault="00164A9E" w:rsidP="00164A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Dohoda upravuje vzájemná práva a povinnosti obou Stran Dohody, které vzniknou z postupů při podávání poštovních zásilek Obchodní psaní (dále jen "Zásilka"). Není-li v Dohodě výslovně ujednáno jinak, </w:t>
      </w:r>
      <w:r w:rsidR="00424C6D">
        <w:t xml:space="preserve">vyplývají práva a povinnosti z </w:t>
      </w:r>
      <w:r>
        <w:t>poštovní smlouvy uzavřené podáním zásilky z Poštovních podmínek služby Obchodní psaní platných v den podání zásilky (dále jen "Poštovní podmínky").</w:t>
      </w:r>
    </w:p>
    <w:p w:rsidR="00164A9E" w:rsidRPr="00164A9E" w:rsidRDefault="00164A9E" w:rsidP="00164A9E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http://www.ceskaposta.cz/.Podavatel potvrzuje, že se seznámil s obsahem a významem Poštovních podmínek, že mu byl text tohoto dokumentu dostatečně vysvětlen a že výslovně s jeho zněním souhlasí. ČP Podavateli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Podavatel je povinen se s novým zněním Poštovních podmínek seznámit.</w:t>
      </w:r>
      <w:r w:rsidR="00424C6D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164A9E" w:rsidRPr="00164A9E" w:rsidRDefault="00164A9E" w:rsidP="00164A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164A9E" w:rsidRPr="00424C6D" w:rsidRDefault="00164A9E" w:rsidP="00164A9E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>
        <w:t xml:space="preserve">Podací poštou je pošta </w:t>
      </w:r>
      <w:r w:rsidR="00C5783D">
        <w:rPr>
          <w:b/>
        </w:rPr>
        <w:t>xxx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164A9E" w:rsidRPr="00164A9E" w:rsidRDefault="00164A9E" w:rsidP="00164A9E">
      <w:pPr>
        <w:numPr>
          <w:ilvl w:val="3"/>
          <w:numId w:val="50"/>
        </w:numPr>
        <w:spacing w:after="120"/>
        <w:jc w:val="both"/>
      </w:pPr>
      <w:r>
        <w:t xml:space="preserve">na podací poště ve </w:t>
      </w:r>
      <w:r w:rsidR="00424C6D">
        <w:t xml:space="preserve">dnech pondělí - </w:t>
      </w:r>
      <w:r w:rsidR="00C5783D">
        <w:t>xxx</w:t>
      </w:r>
      <w:r>
        <w:t xml:space="preserve"> hod.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Podání více než 5 000 ks Odesílatel oznámí ČP nejméně 2 dny předem:</w:t>
      </w:r>
    </w:p>
    <w:p w:rsidR="00164A9E" w:rsidRPr="00164A9E" w:rsidRDefault="00164A9E" w:rsidP="00164A9E">
      <w:pPr>
        <w:numPr>
          <w:ilvl w:val="3"/>
          <w:numId w:val="50"/>
        </w:numPr>
        <w:spacing w:after="120"/>
        <w:jc w:val="both"/>
      </w:pPr>
      <w:r>
        <w:t>n</w:t>
      </w:r>
      <w:r w:rsidR="00424C6D">
        <w:t xml:space="preserve">a telefonní číslo: </w:t>
      </w:r>
      <w:r w:rsidR="00C5783D">
        <w:t>xxx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Při každém podání předá Podavatel poště trojmo vyplněný tiskopis "Soupis OBCHODNÍCH PSANÍ podaných dne …..", ve kterém pošta Podavateli potvrdí počet podávaných Zásilek a potvrzenou kopii vrátí Podavateli.</w:t>
      </w:r>
    </w:p>
    <w:p w:rsidR="00164A9E" w:rsidRPr="00164A9E" w:rsidRDefault="00164A9E" w:rsidP="00164A9E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…….." předá Odesílatel vzorek podávané zásilky, který si ČP ponechá.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Odesílatel ze zásilek svazky dle požadavků ČP. V případě podání nad 5 000 ks zásilek předá Odesílatel poště vyplněný tiskopis "Seznam svazků OBCHODNÍCH PSANÍ podaných  dne ……..". Seznam svazků vyhotovuje Podavatel a musí odpovídat vzoru uvedeném v poštovních podmínkách této služby. 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ČP předá Podavateli písemné pokyny (pracovní postupy) s bližšími instrukcemi upravujícími postup Podavatele při podání podle předchozích bodů tohoto článku.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Veškeré Zásilky</w:t>
      </w:r>
      <w:r w:rsidR="00424C6D">
        <w:t xml:space="preserve"> </w:t>
      </w:r>
      <w:r>
        <w:t>podávané na základě této Dohody Podavatel označí dle Přílohy č. 1, a to v závislosti na způsobu úhrady ceny za službu a druhu Zásilky.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Podavatel se zavazuje k minimálnímu jednorázovému podání alespoň 500</w:t>
      </w:r>
      <w:r w:rsidR="00424C6D">
        <w:t xml:space="preserve"> </w:t>
      </w:r>
      <w:r>
        <w:t>ks zásilek shodných rozměru, shodného obsahu, shodného tvaru a stejného hmotnostního stupně podle Poštovních podmínek České pošty, s.p.</w:t>
      </w:r>
    </w:p>
    <w:p w:rsidR="00164A9E" w:rsidRPr="00164A9E" w:rsidRDefault="00164A9E" w:rsidP="00164A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164A9E" w:rsidRPr="00424C6D" w:rsidRDefault="00164A9E" w:rsidP="00164A9E">
      <w:pPr>
        <w:numPr>
          <w:ilvl w:val="3"/>
          <w:numId w:val="50"/>
        </w:numPr>
        <w:spacing w:after="120"/>
        <w:jc w:val="both"/>
        <w:rPr>
          <w:b/>
        </w:rPr>
      </w:pPr>
      <w:r w:rsidRPr="00424C6D">
        <w:rPr>
          <w:b/>
        </w:rPr>
        <w:t>na základě faktury</w:t>
      </w:r>
    </w:p>
    <w:p w:rsidR="00164A9E" w:rsidRPr="00424C6D" w:rsidRDefault="00164A9E" w:rsidP="00164A9E">
      <w:pPr>
        <w:numPr>
          <w:ilvl w:val="4"/>
          <w:numId w:val="50"/>
        </w:numPr>
        <w:spacing w:after="120"/>
        <w:jc w:val="both"/>
        <w:rPr>
          <w:b/>
        </w:rPr>
      </w:pPr>
      <w:r w:rsidRPr="00424C6D">
        <w:rPr>
          <w:b/>
        </w:rPr>
        <w:lastRenderedPageBreak/>
        <w:t>převodem z účtu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Cena za službu Obchodní psaní je účtována dle Poštovních podmínek České pošty, s.p. - Ceník základních poštovních služeb a ostatních služeb (dále jen "Ceník") platných v den podání Zásilky.</w:t>
      </w:r>
      <w:r w:rsidR="00424C6D">
        <w:t xml:space="preserve"> </w:t>
      </w:r>
      <w:r>
        <w:t>Ceník je dostupný na všech poštách v ČR a na internetové adrese http://www.ceskaposta.cz/.</w:t>
      </w:r>
    </w:p>
    <w:p w:rsidR="00164A9E" w:rsidRPr="00164A9E" w:rsidRDefault="00164A9E" w:rsidP="00164A9E">
      <w:pPr>
        <w:numPr>
          <w:ilvl w:val="2"/>
          <w:numId w:val="50"/>
        </w:numPr>
        <w:spacing w:after="120"/>
        <w:ind w:left="624" w:hanging="624"/>
        <w:jc w:val="both"/>
      </w:pPr>
      <w:r>
        <w:t>Podavatel potvrzuje, že se seznámil s obsahem a významem Ceníku, že mu byl text tohoto dokumentu dostatečně vysvětlen a že výslovně s jeho zněním souhlasí. ČP Podavateli poskytne informace o změně Ceníku</w:t>
      </w:r>
      <w:r w:rsidR="00424C6D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</w:t>
      </w:r>
      <w:r w:rsidR="00424C6D">
        <w:t xml:space="preserve"> </w:t>
      </w:r>
      <w:r>
        <w:t>Podavatel je povinen se s novým zněním Ceníku seznámit.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podmínek služby Obchodní psaní, stanovený v bodu 11 Poštovních podmínek služby Obchodní psaní, je Odesílatel povinen zaplatit ČP do 15 dnů od jeho vyúčtování, a to dle tohoto Čl. 3.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Fakturu - da</w:t>
      </w:r>
      <w:r w:rsidR="00424C6D">
        <w:t xml:space="preserve">ňový doklad bude ČP vystavovat </w:t>
      </w:r>
      <w:r w:rsidR="00C5783D">
        <w:rPr>
          <w:b/>
        </w:rPr>
        <w:t>xxx</w:t>
      </w:r>
      <w:r>
        <w:t xml:space="preserve"> ode dne jejího vystavení.</w:t>
      </w:r>
    </w:p>
    <w:p w:rsidR="00164A9E" w:rsidRPr="00164A9E" w:rsidRDefault="00164A9E" w:rsidP="00164A9E">
      <w:pPr>
        <w:numPr>
          <w:ilvl w:val="2"/>
          <w:numId w:val="50"/>
        </w:numPr>
        <w:spacing w:after="120"/>
        <w:ind w:left="624" w:hanging="624"/>
        <w:jc w:val="both"/>
      </w:pPr>
      <w:r>
        <w:t>Je-li Podavatel v prodlení s placením ceny, je povinen uhradit úroky z prodlení ve výši stanovené po</w:t>
      </w:r>
      <w:r w:rsidR="00424C6D">
        <w:t xml:space="preserve">dle nařízení vlády č. 351/2013, </w:t>
      </w:r>
      <w:r>
        <w:t>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24C6D" w:rsidRDefault="00164A9E" w:rsidP="00164A9E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164A9E" w:rsidRPr="00424C6D" w:rsidRDefault="00C5783D" w:rsidP="00164A9E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rPr>
          <w:b/>
        </w:rPr>
        <w:t>xxx</w:t>
      </w:r>
    </w:p>
    <w:p w:rsidR="00164A9E" w:rsidRPr="00424C6D" w:rsidRDefault="00164A9E" w:rsidP="00164A9E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 w:rsidRPr="00424C6D">
        <w:rPr>
          <w:b/>
        </w:rPr>
        <w:t xml:space="preserve">ID CČK složky: </w:t>
      </w:r>
      <w:r w:rsidR="00C5783D">
        <w:rPr>
          <w:b/>
        </w:rPr>
        <w:t>xxx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3, bodu 3.4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164A9E" w:rsidRPr="00164A9E" w:rsidRDefault="00164A9E" w:rsidP="00164A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164A9E" w:rsidRPr="00164A9E" w:rsidRDefault="00C5783D" w:rsidP="00164A9E">
      <w:pPr>
        <w:numPr>
          <w:ilvl w:val="5"/>
          <w:numId w:val="50"/>
        </w:numPr>
        <w:spacing w:after="120"/>
        <w:jc w:val="both"/>
      </w:pPr>
      <w:r>
        <w:t>xxx</w:t>
      </w:r>
    </w:p>
    <w:p w:rsidR="00164A9E" w:rsidRPr="00164A9E" w:rsidRDefault="00164A9E" w:rsidP="00164A9E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164A9E" w:rsidRPr="00164A9E" w:rsidRDefault="00C5783D" w:rsidP="00164A9E">
      <w:pPr>
        <w:numPr>
          <w:ilvl w:val="5"/>
          <w:numId w:val="50"/>
        </w:numPr>
        <w:spacing w:after="120"/>
        <w:jc w:val="both"/>
      </w:pPr>
      <w:r>
        <w:t>xxx</w:t>
      </w:r>
    </w:p>
    <w:p w:rsidR="00164A9E" w:rsidRPr="00164A9E" w:rsidRDefault="00164A9E" w:rsidP="00164A9E">
      <w:pPr>
        <w:numPr>
          <w:ilvl w:val="5"/>
          <w:numId w:val="50"/>
        </w:numPr>
        <w:spacing w:after="120"/>
        <w:jc w:val="both"/>
      </w:pPr>
      <w:r>
        <w:t xml:space="preserve">za obchod: </w:t>
      </w:r>
      <w:r w:rsidR="00C5783D">
        <w:t>xxx</w:t>
      </w:r>
    </w:p>
    <w:p w:rsidR="00164A9E" w:rsidRPr="00164A9E" w:rsidRDefault="00164A9E" w:rsidP="00424C6D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2 a v bodu 4.1. tohoto Čl. 4, se budou strany Dohody neprodleně písemně informovat. Tyto změny nejsou důvodem k sepsání Dodatku.</w:t>
      </w:r>
    </w:p>
    <w:p w:rsidR="00164A9E" w:rsidRPr="00164A9E" w:rsidRDefault="00164A9E" w:rsidP="00164A9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r w:rsidRPr="00424C6D">
        <w:rPr>
          <w:b/>
        </w:rPr>
        <w:t>31.12.2017</w:t>
      </w:r>
      <w:r>
        <w:t>.</w:t>
      </w:r>
      <w:r w:rsidR="00424C6D">
        <w:t xml:space="preserve"> </w:t>
      </w:r>
      <w:r>
        <w:t xml:space="preserve">Každá ze Stran Dohody může Dohodu vypovědět i bez udání důvodů s tím, že výpovědní doba 1 měsíc začne běžet dnem následujícím po doručení výpovědi druhé Straně Dohody. Pokud Podavatel písemně odmítne změnu Ceníku a/nebo </w:t>
      </w:r>
      <w:r>
        <w:lastRenderedPageBreak/>
        <w:t xml:space="preserve">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Podavatelem musí mít písemnou formu, podpis Podavatele na nich musí být úředně ověřen nebo učiněn před zaměstnancem ČP a musí být doručeny ČP osobně, poštou, kurýrní službou nebo jiným dohodnutým způsobem umožňujícím přepravu nebo přenos a prokazatelné doručení. ČP se s Podavatelem může též dohodnout, že výpověď a oznámení o odmítnutí změn budou doručovány faxem nebo prostřednictvím elektronické pošty. </w:t>
      </w:r>
    </w:p>
    <w:p w:rsidR="00164A9E" w:rsidRPr="00164A9E" w:rsidRDefault="00164A9E" w:rsidP="00164A9E">
      <w:pPr>
        <w:numPr>
          <w:ilvl w:val="2"/>
          <w:numId w:val="50"/>
        </w:numPr>
        <w:spacing w:after="120"/>
        <w:ind w:left="624" w:hanging="624"/>
        <w:jc w:val="both"/>
      </w:pPr>
      <w:r>
        <w:t>Po skončení účinnosti Dohody vrátí Podavatel ČP nepoužité adresní štítky.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164A9E" w:rsidRPr="00164A9E" w:rsidRDefault="00164A9E" w:rsidP="00164A9E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164A9E" w:rsidRPr="00164A9E" w:rsidRDefault="00164A9E" w:rsidP="00164A9E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Tato Dohoda je vyhotovena ve 2 (slovy: dvou)stejnopisech s platností originálu, z nichž každá strana Dohody obdrží po jednom.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ČR, zejména zákonem č. 29/2000 Sb., o poštovních službách, v platném znění a zákonem č. 40/1964 Sb., občanský zákoník, v platném znění.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164A9E" w:rsidRPr="00164A9E" w:rsidRDefault="00164A9E" w:rsidP="00164A9E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  <w:r w:rsidR="00424C6D" w:rsidRPr="00424C6D">
        <w:t xml:space="preserve"> </w:t>
      </w:r>
    </w:p>
    <w:p w:rsid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dn</w:t>
      </w:r>
      <w:r w:rsidR="00424C6D">
        <w:t xml:space="preserve">em podpisu a účinná </w:t>
      </w:r>
      <w:r w:rsidR="00424C6D" w:rsidRPr="00424C6D">
        <w:rPr>
          <w:b/>
        </w:rPr>
        <w:t>1.1.2015</w:t>
      </w:r>
      <w:r w:rsidR="00424C6D">
        <w:t>.</w:t>
      </w:r>
    </w:p>
    <w:p w:rsidR="00424C6D" w:rsidRPr="00164A9E" w:rsidRDefault="00424C6D" w:rsidP="00164A9E">
      <w:pPr>
        <w:numPr>
          <w:ilvl w:val="1"/>
          <w:numId w:val="50"/>
        </w:numPr>
        <w:spacing w:after="120"/>
        <w:ind w:left="624" w:hanging="624"/>
        <w:jc w:val="both"/>
      </w:pPr>
      <w:r w:rsidRPr="00300A4E">
        <w:rPr>
          <w:b/>
        </w:rPr>
        <w:t>Strany Dohody se dohodly na ukončení</w:t>
      </w:r>
      <w:r>
        <w:rPr>
          <w:b/>
        </w:rPr>
        <w:t xml:space="preserve"> účinnosti Dohody č. 982407-0247</w:t>
      </w:r>
      <w:r w:rsidRPr="00300A4E">
        <w:rPr>
          <w:b/>
        </w:rPr>
        <w:t>/20</w:t>
      </w:r>
      <w:r>
        <w:rPr>
          <w:b/>
        </w:rPr>
        <w:t>11</w:t>
      </w:r>
      <w:r>
        <w:t xml:space="preserve"> </w:t>
      </w:r>
      <w:r>
        <w:rPr>
          <w:b/>
        </w:rPr>
        <w:t>ze dne 15.3.2011</w:t>
      </w:r>
      <w:r w:rsidRPr="00424C6D">
        <w:rPr>
          <w:b/>
        </w:rPr>
        <w:t xml:space="preserve"> </w:t>
      </w:r>
      <w:r w:rsidRPr="00F903FE">
        <w:rPr>
          <w:b/>
        </w:rPr>
        <w:t>to ke dni předcházejícímu nabytí účinnosti této Dohody</w:t>
      </w:r>
      <w:r>
        <w:rPr>
          <w:b/>
        </w:rPr>
        <w:t>.</w:t>
      </w:r>
    </w:p>
    <w:p w:rsidR="00164A9E" w:rsidRPr="00164A9E" w:rsidRDefault="00164A9E" w:rsidP="00164A9E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164A9E" w:rsidRDefault="00164A9E" w:rsidP="00164A9E">
      <w:pPr>
        <w:numPr>
          <w:ilvl w:val="0"/>
          <w:numId w:val="0"/>
        </w:numPr>
        <w:spacing w:after="120"/>
        <w:jc w:val="both"/>
      </w:pPr>
    </w:p>
    <w:p w:rsidR="00164A9E" w:rsidRDefault="00164A9E" w:rsidP="00164A9E">
      <w:pPr>
        <w:numPr>
          <w:ilvl w:val="0"/>
          <w:numId w:val="0"/>
        </w:numPr>
        <w:spacing w:after="120"/>
        <w:jc w:val="both"/>
      </w:pPr>
    </w:p>
    <w:p w:rsidR="00164A9E" w:rsidRDefault="00164A9E" w:rsidP="00164A9E">
      <w:pPr>
        <w:numPr>
          <w:ilvl w:val="0"/>
          <w:numId w:val="0"/>
        </w:numPr>
        <w:spacing w:after="120"/>
        <w:jc w:val="both"/>
      </w:pPr>
    </w:p>
    <w:p w:rsidR="00164A9E" w:rsidRDefault="00164A9E" w:rsidP="00164A9E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164A9E" w:rsidRDefault="00164A9E" w:rsidP="00164A9E">
      <w:pPr>
        <w:numPr>
          <w:ilvl w:val="0"/>
          <w:numId w:val="0"/>
        </w:numPr>
        <w:spacing w:after="120"/>
        <w:jc w:val="both"/>
      </w:pPr>
      <w:r>
        <w:t>Příloha č. 1 - Vzory adresní strany OP</w:t>
      </w:r>
    </w:p>
    <w:p w:rsidR="00164A9E" w:rsidRDefault="00164A9E" w:rsidP="00164A9E">
      <w:pPr>
        <w:numPr>
          <w:ilvl w:val="0"/>
          <w:numId w:val="0"/>
        </w:numPr>
        <w:spacing w:before="120" w:after="120"/>
        <w:jc w:val="both"/>
      </w:pPr>
    </w:p>
    <w:p w:rsidR="00164A9E" w:rsidRDefault="00164A9E" w:rsidP="00164A9E">
      <w:pPr>
        <w:numPr>
          <w:ilvl w:val="0"/>
          <w:numId w:val="0"/>
        </w:numPr>
        <w:spacing w:before="120" w:after="120"/>
        <w:jc w:val="both"/>
      </w:pPr>
    </w:p>
    <w:p w:rsidR="00164A9E" w:rsidRDefault="00164A9E" w:rsidP="00164A9E">
      <w:pPr>
        <w:numPr>
          <w:ilvl w:val="0"/>
          <w:numId w:val="0"/>
        </w:numPr>
        <w:spacing w:after="120"/>
        <w:jc w:val="both"/>
        <w:sectPr w:rsidR="00164A9E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64A9E" w:rsidRDefault="00164A9E" w:rsidP="00164A9E">
      <w:pPr>
        <w:numPr>
          <w:ilvl w:val="0"/>
          <w:numId w:val="0"/>
        </w:numPr>
        <w:spacing w:after="120"/>
        <w:jc w:val="both"/>
      </w:pPr>
      <w:r>
        <w:lastRenderedPageBreak/>
        <w:t xml:space="preserve">V Ústí nad Labem dne </w:t>
      </w:r>
      <w:r w:rsidR="00C5783D">
        <w:t>xxx</w:t>
      </w:r>
    </w:p>
    <w:p w:rsidR="00164A9E" w:rsidRDefault="00164A9E" w:rsidP="00164A9E">
      <w:pPr>
        <w:numPr>
          <w:ilvl w:val="0"/>
          <w:numId w:val="0"/>
        </w:numPr>
        <w:spacing w:after="120"/>
        <w:jc w:val="both"/>
      </w:pPr>
    </w:p>
    <w:p w:rsidR="00164A9E" w:rsidRDefault="00164A9E" w:rsidP="00164A9E">
      <w:pPr>
        <w:numPr>
          <w:ilvl w:val="0"/>
          <w:numId w:val="0"/>
        </w:numPr>
        <w:spacing w:after="120"/>
        <w:jc w:val="both"/>
      </w:pPr>
      <w:r>
        <w:t>Za ČP:</w:t>
      </w:r>
    </w:p>
    <w:p w:rsidR="00164A9E" w:rsidRDefault="00164A9E" w:rsidP="00164A9E">
      <w:pPr>
        <w:numPr>
          <w:ilvl w:val="0"/>
          <w:numId w:val="0"/>
        </w:numPr>
        <w:spacing w:after="120"/>
        <w:jc w:val="both"/>
      </w:pPr>
    </w:p>
    <w:p w:rsidR="00164A9E" w:rsidRDefault="00164A9E" w:rsidP="00164A9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64A9E" w:rsidRDefault="00164A9E" w:rsidP="00164A9E">
      <w:pPr>
        <w:numPr>
          <w:ilvl w:val="0"/>
          <w:numId w:val="0"/>
        </w:numPr>
        <w:spacing w:after="120"/>
        <w:jc w:val="center"/>
      </w:pPr>
    </w:p>
    <w:p w:rsidR="00164A9E" w:rsidRDefault="00164A9E" w:rsidP="00164A9E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164A9E" w:rsidRDefault="00164A9E" w:rsidP="00164A9E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164A9E" w:rsidRDefault="00164A9E" w:rsidP="00164A9E">
      <w:pPr>
        <w:numPr>
          <w:ilvl w:val="0"/>
          <w:numId w:val="0"/>
        </w:numPr>
        <w:spacing w:after="120"/>
      </w:pPr>
      <w:r>
        <w:br w:type="column"/>
      </w:r>
      <w:r w:rsidR="00424C6D">
        <w:lastRenderedPageBreak/>
        <w:t xml:space="preserve">V </w:t>
      </w:r>
      <w:r w:rsidR="00C5783D">
        <w:t>xxx</w:t>
      </w:r>
      <w:r>
        <w:t xml:space="preserve"> dne </w:t>
      </w:r>
    </w:p>
    <w:p w:rsidR="00164A9E" w:rsidRDefault="00164A9E" w:rsidP="00164A9E">
      <w:pPr>
        <w:numPr>
          <w:ilvl w:val="0"/>
          <w:numId w:val="0"/>
        </w:numPr>
        <w:spacing w:after="120"/>
      </w:pPr>
    </w:p>
    <w:p w:rsidR="00164A9E" w:rsidRDefault="00164A9E" w:rsidP="00164A9E">
      <w:pPr>
        <w:numPr>
          <w:ilvl w:val="0"/>
          <w:numId w:val="0"/>
        </w:numPr>
        <w:spacing w:after="120"/>
      </w:pPr>
      <w:r>
        <w:t>Za Odesílatele:</w:t>
      </w:r>
    </w:p>
    <w:p w:rsidR="00164A9E" w:rsidRDefault="00164A9E" w:rsidP="00164A9E">
      <w:pPr>
        <w:numPr>
          <w:ilvl w:val="0"/>
          <w:numId w:val="0"/>
        </w:numPr>
        <w:spacing w:after="120"/>
      </w:pPr>
    </w:p>
    <w:p w:rsidR="00164A9E" w:rsidRDefault="00164A9E" w:rsidP="00164A9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64A9E" w:rsidRDefault="00164A9E" w:rsidP="00164A9E">
      <w:pPr>
        <w:numPr>
          <w:ilvl w:val="0"/>
          <w:numId w:val="0"/>
        </w:numPr>
        <w:spacing w:after="120"/>
        <w:jc w:val="center"/>
      </w:pPr>
    </w:p>
    <w:p w:rsidR="00164A9E" w:rsidRDefault="00C5783D" w:rsidP="00164A9E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164A9E" w:rsidRDefault="00C5783D" w:rsidP="00164A9E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AA4A4D" w:rsidRPr="00164A9E" w:rsidSect="00164A9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C77" w:rsidRDefault="004F2C77">
      <w:r>
        <w:separator/>
      </w:r>
    </w:p>
  </w:endnote>
  <w:endnote w:type="continuationSeparator" w:id="0">
    <w:p w:rsidR="004F2C77" w:rsidRDefault="004F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C312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C3125" w:rsidRPr="00160A6D">
      <w:rPr>
        <w:sz w:val="18"/>
        <w:szCs w:val="18"/>
      </w:rPr>
      <w:fldChar w:fldCharType="separate"/>
    </w:r>
    <w:r w:rsidR="00C5783D">
      <w:rPr>
        <w:noProof/>
        <w:sz w:val="18"/>
        <w:szCs w:val="18"/>
      </w:rPr>
      <w:t>5</w:t>
    </w:r>
    <w:r w:rsidR="007C312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C3125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C3125" w:rsidRPr="00160A6D">
      <w:rPr>
        <w:sz w:val="18"/>
        <w:szCs w:val="18"/>
      </w:rPr>
      <w:fldChar w:fldCharType="separate"/>
    </w:r>
    <w:r w:rsidR="00C5783D">
      <w:rPr>
        <w:noProof/>
        <w:sz w:val="18"/>
        <w:szCs w:val="18"/>
      </w:rPr>
      <w:t>5</w:t>
    </w:r>
    <w:r w:rsidR="007C3125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C77" w:rsidRDefault="004F2C77">
      <w:r>
        <w:separator/>
      </w:r>
    </w:p>
  </w:footnote>
  <w:footnote w:type="continuationSeparator" w:id="0">
    <w:p w:rsidR="004F2C77" w:rsidRDefault="004F2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C5783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F71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64A9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24C6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164A9E">
      <w:rPr>
        <w:rFonts w:ascii="Arial" w:hAnsi="Arial" w:cs="Arial"/>
        <w:szCs w:val="22"/>
      </w:rPr>
      <w:t>íslo 982407-0937/2014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1F4F36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0900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4A9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24C6D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2C77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C3125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5783D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D552C0-C0C2-4DEC-9F80-19D3339D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BE941-E1D1-4C93-824A-C8DBD8D4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5</Pages>
  <Words>1448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Herzinová Petra Ing.</cp:lastModifiedBy>
  <cp:revision>2</cp:revision>
  <cp:lastPrinted>2010-01-28T11:34:00Z</cp:lastPrinted>
  <dcterms:created xsi:type="dcterms:W3CDTF">2017-12-11T11:43:00Z</dcterms:created>
  <dcterms:modified xsi:type="dcterms:W3CDTF">2017-12-11T11:43:00Z</dcterms:modified>
</cp:coreProperties>
</file>