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4D1" w:rsidRDefault="00733CE6">
      <w:pPr>
        <w:spacing w:line="276" w:lineRule="auto"/>
        <w:jc w:val="center"/>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proofErr w:type="gramStart"/>
      <w:r>
        <w:rPr>
          <w:rFonts w:ascii="Times New Roman" w:hAnsi="Times New Roman"/>
          <w:sz w:val="28"/>
          <w:szCs w:val="28"/>
        </w:rPr>
        <w:t>Č.j.</w:t>
      </w:r>
      <w:proofErr w:type="gramEnd"/>
      <w:r>
        <w:rPr>
          <w:rFonts w:ascii="Times New Roman" w:hAnsi="Times New Roman"/>
          <w:sz w:val="28"/>
          <w:szCs w:val="28"/>
        </w:rPr>
        <w:t xml:space="preserve"> NZM/2017/1446</w:t>
      </w:r>
    </w:p>
    <w:p w:rsidR="009224D1" w:rsidRDefault="00733CE6">
      <w:pPr>
        <w:spacing w:line="276" w:lineRule="auto"/>
        <w:jc w:val="center"/>
        <w:rPr>
          <w:rFonts w:ascii="Times New Roman" w:hAnsi="Times New Roman"/>
          <w:b/>
          <w:sz w:val="28"/>
          <w:szCs w:val="28"/>
        </w:rPr>
      </w:pPr>
      <w:r>
        <w:rPr>
          <w:rFonts w:ascii="Times New Roman" w:hAnsi="Times New Roman"/>
          <w:b/>
          <w:sz w:val="28"/>
          <w:szCs w:val="28"/>
        </w:rPr>
        <w:t xml:space="preserve">DODATEK č. 1 </w:t>
      </w:r>
    </w:p>
    <w:p w:rsidR="009224D1" w:rsidRDefault="00733CE6">
      <w:pPr>
        <w:spacing w:line="276" w:lineRule="auto"/>
        <w:jc w:val="center"/>
        <w:rPr>
          <w:rFonts w:ascii="Times New Roman" w:hAnsi="Times New Roman"/>
          <w:b/>
          <w:sz w:val="28"/>
          <w:szCs w:val="28"/>
        </w:rPr>
      </w:pPr>
      <w:r>
        <w:rPr>
          <w:rFonts w:ascii="Times New Roman" w:hAnsi="Times New Roman"/>
          <w:b/>
          <w:sz w:val="28"/>
          <w:szCs w:val="28"/>
        </w:rPr>
        <w:t xml:space="preserve"> KE SMLOUVĚ O DÍLO</w:t>
      </w:r>
    </w:p>
    <w:p w:rsidR="009224D1" w:rsidRDefault="00733CE6">
      <w:pPr>
        <w:spacing w:line="276" w:lineRule="auto"/>
        <w:jc w:val="center"/>
        <w:rPr>
          <w:rFonts w:ascii="Times New Roman" w:hAnsi="Times New Roman"/>
          <w:b/>
          <w:sz w:val="28"/>
          <w:szCs w:val="28"/>
        </w:rPr>
      </w:pPr>
      <w:r>
        <w:rPr>
          <w:rFonts w:ascii="Times New Roman" w:hAnsi="Times New Roman"/>
          <w:b/>
          <w:sz w:val="28"/>
          <w:szCs w:val="28"/>
        </w:rPr>
        <w:t>ZPRACOVÁNÍ NÁVRHU – PROVÁDĚCÍHO PROJEKTU NÁRODNÍ EXPOZICE VINAŘSTV</w:t>
      </w:r>
      <w:r w:rsidR="00E35EB7">
        <w:rPr>
          <w:rFonts w:ascii="Times New Roman" w:hAnsi="Times New Roman"/>
          <w:b/>
          <w:sz w:val="28"/>
          <w:szCs w:val="28"/>
        </w:rPr>
        <w:t>Í, EXPOZICE ŽIVOT POD ZEMÍ, VYT</w:t>
      </w:r>
      <w:r>
        <w:rPr>
          <w:rFonts w:ascii="Times New Roman" w:hAnsi="Times New Roman"/>
          <w:b/>
          <w:sz w:val="28"/>
          <w:szCs w:val="28"/>
        </w:rPr>
        <w:t>VOŘENÍ DALŠÍCH GRAFICKÝCH A J</w:t>
      </w:r>
      <w:r w:rsidR="00E35EB7">
        <w:rPr>
          <w:rFonts w:ascii="Times New Roman" w:hAnsi="Times New Roman"/>
          <w:b/>
          <w:sz w:val="28"/>
          <w:szCs w:val="28"/>
        </w:rPr>
        <w:t>I</w:t>
      </w:r>
      <w:r>
        <w:rPr>
          <w:rFonts w:ascii="Times New Roman" w:hAnsi="Times New Roman"/>
          <w:b/>
          <w:sz w:val="28"/>
          <w:szCs w:val="28"/>
        </w:rPr>
        <w:t>NÝCH DĚL</w:t>
      </w:r>
    </w:p>
    <w:p w:rsidR="009224D1" w:rsidRDefault="00733CE6">
      <w:pPr>
        <w:spacing w:line="276" w:lineRule="auto"/>
        <w:jc w:val="center"/>
        <w:rPr>
          <w:rFonts w:ascii="Times New Roman" w:hAnsi="Times New Roman"/>
          <w:b/>
          <w:sz w:val="28"/>
          <w:szCs w:val="28"/>
        </w:rPr>
      </w:pPr>
      <w:r>
        <w:rPr>
          <w:rFonts w:ascii="Times New Roman" w:hAnsi="Times New Roman"/>
          <w:b/>
          <w:sz w:val="28"/>
          <w:szCs w:val="28"/>
        </w:rPr>
        <w:t>ČÍSLO SMLOUVY 37/400/2016</w:t>
      </w:r>
    </w:p>
    <w:p w:rsidR="009224D1" w:rsidRDefault="00733CE6">
      <w:pPr>
        <w:spacing w:line="276" w:lineRule="auto"/>
        <w:jc w:val="center"/>
        <w:rPr>
          <w:rFonts w:ascii="Times New Roman" w:hAnsi="Times New Roman"/>
          <w:sz w:val="28"/>
          <w:szCs w:val="28"/>
        </w:rPr>
      </w:pPr>
      <w:r>
        <w:rPr>
          <w:rFonts w:ascii="Times New Roman" w:hAnsi="Times New Roman"/>
          <w:sz w:val="28"/>
          <w:szCs w:val="28"/>
        </w:rPr>
        <w:t xml:space="preserve">uzavřené v Praze dne 14. 3. 2016 v souladu s ustanoveními </w:t>
      </w:r>
      <w:r>
        <w:rPr>
          <w:rFonts w:ascii="Times New Roman" w:hAnsi="Times New Roman"/>
          <w:sz w:val="28"/>
          <w:szCs w:val="28"/>
        </w:rPr>
        <w:br/>
        <w:t xml:space="preserve">zák. č. 89/2012 Sb., ve znění pozdějších předpisů </w:t>
      </w:r>
      <w:r>
        <w:rPr>
          <w:rFonts w:ascii="Times New Roman" w:hAnsi="Times New Roman"/>
          <w:sz w:val="28"/>
          <w:szCs w:val="28"/>
        </w:rPr>
        <w:br/>
        <w:t xml:space="preserve">(dále jen občanský zákoník) </w:t>
      </w:r>
      <w:r>
        <w:rPr>
          <w:rFonts w:ascii="Times New Roman" w:hAnsi="Times New Roman"/>
          <w:sz w:val="28"/>
          <w:szCs w:val="28"/>
        </w:rPr>
        <w:br/>
        <w:t>(dále jen Smlouva)</w:t>
      </w:r>
    </w:p>
    <w:p w:rsidR="009224D1" w:rsidRDefault="009224D1">
      <w:pPr>
        <w:spacing w:line="276" w:lineRule="auto"/>
        <w:jc w:val="center"/>
        <w:rPr>
          <w:rFonts w:ascii="Times New Roman" w:hAnsi="Times New Roman"/>
          <w:sz w:val="28"/>
          <w:szCs w:val="28"/>
        </w:rPr>
      </w:pPr>
    </w:p>
    <w:p w:rsidR="009224D1" w:rsidRDefault="00733CE6">
      <w:pPr>
        <w:jc w:val="both"/>
        <w:rPr>
          <w:rFonts w:ascii="Times New Roman" w:hAnsi="Times New Roman"/>
          <w:b/>
          <w:sz w:val="24"/>
          <w:szCs w:val="24"/>
        </w:rPr>
      </w:pPr>
      <w:r>
        <w:rPr>
          <w:rFonts w:ascii="Times New Roman" w:hAnsi="Times New Roman"/>
          <w:b/>
          <w:sz w:val="24"/>
          <w:szCs w:val="24"/>
        </w:rPr>
        <w:t>Národní zemědělské muzeum, s. p. o.</w:t>
      </w:r>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Se sídlem:</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t>Kostelní 1300/44, 170 00, Praha 7 – Holešovice</w:t>
      </w:r>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IČO: </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t xml:space="preserve">750 75 741 </w:t>
      </w:r>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DIČ: </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t>CZ75075741</w:t>
      </w:r>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ID DS:</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t>q4fgwym</w:t>
      </w:r>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Bankovní spojení: </w:t>
      </w:r>
      <w:r>
        <w:rPr>
          <w:rFonts w:ascii="Times New Roman" w:hAnsi="Times New Roman"/>
          <w:sz w:val="24"/>
          <w:szCs w:val="24"/>
          <w:lang w:eastAsia="zh-CN"/>
        </w:rPr>
        <w:tab/>
      </w:r>
      <w:r>
        <w:rPr>
          <w:rFonts w:ascii="Times New Roman" w:hAnsi="Times New Roman"/>
          <w:sz w:val="24"/>
          <w:szCs w:val="24"/>
          <w:lang w:eastAsia="zh-CN"/>
        </w:rPr>
        <w:tab/>
      </w:r>
      <w:proofErr w:type="spellStart"/>
      <w:r w:rsidR="004670FA">
        <w:rPr>
          <w:rFonts w:ascii="Times New Roman" w:hAnsi="Times New Roman"/>
          <w:sz w:val="24"/>
          <w:szCs w:val="24"/>
          <w:lang w:eastAsia="zh-CN"/>
        </w:rPr>
        <w:t>xxx</w:t>
      </w:r>
      <w:proofErr w:type="spellEnd"/>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Číslo účtu: </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proofErr w:type="spellStart"/>
      <w:r w:rsidR="004670FA">
        <w:rPr>
          <w:rFonts w:ascii="Times New Roman" w:hAnsi="Times New Roman"/>
          <w:sz w:val="24"/>
          <w:szCs w:val="24"/>
          <w:lang w:eastAsia="zh-CN"/>
        </w:rPr>
        <w:t>xxx</w:t>
      </w:r>
      <w:proofErr w:type="spellEnd"/>
    </w:p>
    <w:p w:rsidR="009224D1" w:rsidRDefault="00733CE6">
      <w:pPr>
        <w:widowControl w:val="0"/>
        <w:suppressAutoHyphens/>
        <w:spacing w:after="0" w:line="240" w:lineRule="auto"/>
        <w:ind w:left="2832" w:hanging="2832"/>
        <w:rPr>
          <w:rFonts w:ascii="Times New Roman" w:hAnsi="Times New Roman"/>
          <w:sz w:val="24"/>
          <w:szCs w:val="24"/>
          <w:lang w:eastAsia="zh-CN"/>
        </w:rPr>
      </w:pPr>
      <w:r>
        <w:rPr>
          <w:rFonts w:ascii="Times New Roman" w:hAnsi="Times New Roman"/>
          <w:sz w:val="24"/>
          <w:szCs w:val="24"/>
          <w:lang w:eastAsia="zh-CN"/>
        </w:rPr>
        <w:t>Zastoupená:</w:t>
      </w:r>
      <w:r>
        <w:rPr>
          <w:rFonts w:ascii="Times New Roman" w:hAnsi="Times New Roman"/>
          <w:sz w:val="24"/>
          <w:szCs w:val="24"/>
          <w:lang w:eastAsia="zh-CN"/>
        </w:rPr>
        <w:tab/>
        <w:t>doc. Ing. Milanem Janem Půčkem, MBA, PhD., generálním ředitelem</w:t>
      </w:r>
    </w:p>
    <w:p w:rsidR="009224D1" w:rsidRDefault="009224D1">
      <w:pPr>
        <w:widowControl w:val="0"/>
        <w:suppressAutoHyphens/>
        <w:spacing w:after="0" w:line="240" w:lineRule="auto"/>
        <w:jc w:val="center"/>
        <w:rPr>
          <w:rFonts w:ascii="Times New Roman" w:hAnsi="Times New Roman"/>
          <w:sz w:val="24"/>
          <w:szCs w:val="24"/>
          <w:lang w:eastAsia="zh-CN"/>
        </w:rPr>
      </w:pPr>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(dále jen „</w:t>
      </w:r>
      <w:r>
        <w:rPr>
          <w:rFonts w:ascii="Times New Roman" w:hAnsi="Times New Roman"/>
          <w:b/>
          <w:sz w:val="24"/>
          <w:szCs w:val="24"/>
          <w:lang w:eastAsia="zh-CN"/>
        </w:rPr>
        <w:t>Objednatel</w:t>
      </w:r>
      <w:r>
        <w:rPr>
          <w:rFonts w:ascii="Times New Roman" w:hAnsi="Times New Roman"/>
          <w:sz w:val="24"/>
          <w:szCs w:val="24"/>
          <w:lang w:eastAsia="zh-CN"/>
        </w:rPr>
        <w:t>“)</w:t>
      </w:r>
    </w:p>
    <w:p w:rsidR="009224D1" w:rsidRDefault="009224D1">
      <w:pPr>
        <w:widowControl w:val="0"/>
        <w:suppressAutoHyphens/>
        <w:spacing w:after="0" w:line="240" w:lineRule="auto"/>
        <w:rPr>
          <w:rFonts w:ascii="Times New Roman" w:hAnsi="Times New Roman"/>
          <w:sz w:val="24"/>
          <w:szCs w:val="24"/>
          <w:lang w:eastAsia="zh-CN"/>
        </w:rPr>
      </w:pPr>
    </w:p>
    <w:p w:rsidR="009224D1" w:rsidRDefault="009224D1">
      <w:pPr>
        <w:widowControl w:val="0"/>
        <w:suppressAutoHyphens/>
        <w:spacing w:after="0" w:line="240" w:lineRule="auto"/>
        <w:rPr>
          <w:rFonts w:ascii="Times New Roman" w:hAnsi="Times New Roman"/>
          <w:sz w:val="24"/>
          <w:szCs w:val="24"/>
          <w:lang w:eastAsia="zh-CN"/>
        </w:rPr>
      </w:pPr>
    </w:p>
    <w:p w:rsidR="009224D1" w:rsidRDefault="00733CE6">
      <w:pPr>
        <w:jc w:val="both"/>
        <w:rPr>
          <w:rFonts w:ascii="Times New Roman" w:hAnsi="Times New Roman"/>
          <w:b/>
          <w:sz w:val="24"/>
          <w:szCs w:val="24"/>
        </w:rPr>
      </w:pPr>
      <w:r>
        <w:rPr>
          <w:rFonts w:ascii="Times New Roman" w:hAnsi="Times New Roman"/>
          <w:b/>
          <w:sz w:val="24"/>
          <w:szCs w:val="24"/>
        </w:rPr>
        <w:t>Ing. akad. arch. Jan Konečný, CSc.</w:t>
      </w:r>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Se sídlem:</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t>Orlí 491/16, 602 00, Brno</w:t>
      </w:r>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IČO: </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t>49491512</w:t>
      </w:r>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E-mail:</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proofErr w:type="spellStart"/>
      <w:r w:rsidR="004670FA">
        <w:rPr>
          <w:rFonts w:ascii="Times New Roman" w:hAnsi="Times New Roman"/>
          <w:sz w:val="24"/>
          <w:szCs w:val="24"/>
          <w:lang w:eastAsia="zh-CN"/>
        </w:rPr>
        <w:t>xxx</w:t>
      </w:r>
      <w:proofErr w:type="spellEnd"/>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Bankovní spojení: </w:t>
      </w:r>
      <w:r>
        <w:rPr>
          <w:rFonts w:ascii="Times New Roman" w:hAnsi="Times New Roman"/>
          <w:sz w:val="24"/>
          <w:szCs w:val="24"/>
          <w:lang w:eastAsia="zh-CN"/>
        </w:rPr>
        <w:tab/>
      </w:r>
      <w:r>
        <w:rPr>
          <w:rFonts w:ascii="Times New Roman" w:hAnsi="Times New Roman"/>
          <w:sz w:val="24"/>
          <w:szCs w:val="24"/>
          <w:lang w:eastAsia="zh-CN"/>
        </w:rPr>
        <w:tab/>
      </w:r>
      <w:proofErr w:type="spellStart"/>
      <w:r w:rsidR="004670FA">
        <w:rPr>
          <w:rFonts w:ascii="Times New Roman" w:hAnsi="Times New Roman"/>
          <w:sz w:val="24"/>
          <w:szCs w:val="24"/>
          <w:lang w:eastAsia="zh-CN"/>
        </w:rPr>
        <w:t>xxx</w:t>
      </w:r>
      <w:proofErr w:type="spellEnd"/>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Číslo účtu: </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proofErr w:type="spellStart"/>
      <w:r w:rsidR="004670FA">
        <w:rPr>
          <w:rFonts w:ascii="Times New Roman" w:hAnsi="Times New Roman"/>
          <w:sz w:val="24"/>
          <w:szCs w:val="24"/>
          <w:lang w:eastAsia="zh-CN"/>
        </w:rPr>
        <w:t>xxx</w:t>
      </w:r>
      <w:proofErr w:type="spellEnd"/>
    </w:p>
    <w:p w:rsidR="009224D1" w:rsidRDefault="009224D1">
      <w:pPr>
        <w:widowControl w:val="0"/>
        <w:suppressAutoHyphens/>
        <w:spacing w:after="0" w:line="240" w:lineRule="auto"/>
        <w:jc w:val="center"/>
        <w:rPr>
          <w:rFonts w:ascii="Times New Roman" w:hAnsi="Times New Roman"/>
          <w:sz w:val="24"/>
          <w:szCs w:val="24"/>
          <w:lang w:eastAsia="zh-CN"/>
        </w:rPr>
      </w:pPr>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(dále jen „</w:t>
      </w:r>
      <w:r>
        <w:rPr>
          <w:rFonts w:ascii="Times New Roman" w:hAnsi="Times New Roman"/>
          <w:b/>
          <w:sz w:val="24"/>
          <w:szCs w:val="24"/>
          <w:lang w:eastAsia="zh-CN"/>
        </w:rPr>
        <w:t>Zhotovitel</w:t>
      </w:r>
      <w:r>
        <w:rPr>
          <w:rFonts w:ascii="Times New Roman" w:hAnsi="Times New Roman"/>
          <w:sz w:val="24"/>
          <w:szCs w:val="24"/>
          <w:lang w:eastAsia="zh-CN"/>
        </w:rPr>
        <w:t>“)</w:t>
      </w:r>
    </w:p>
    <w:p w:rsidR="009224D1" w:rsidRDefault="009224D1">
      <w:pPr>
        <w:widowControl w:val="0"/>
        <w:suppressAutoHyphens/>
        <w:spacing w:after="0" w:line="240" w:lineRule="auto"/>
        <w:rPr>
          <w:rFonts w:ascii="Times New Roman" w:hAnsi="Times New Roman"/>
          <w:sz w:val="24"/>
          <w:szCs w:val="24"/>
          <w:lang w:eastAsia="zh-CN"/>
        </w:rPr>
      </w:pPr>
    </w:p>
    <w:p w:rsidR="009224D1" w:rsidRDefault="00733CE6">
      <w:pPr>
        <w:widowControl w:val="0"/>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(Objednatel a Zhotovitel společně jako smluvní strany, či jednotlivě jako smluvní strana) </w:t>
      </w:r>
    </w:p>
    <w:p w:rsidR="009224D1" w:rsidRDefault="009224D1">
      <w:pPr>
        <w:widowControl w:val="0"/>
        <w:suppressAutoHyphens/>
        <w:spacing w:after="0" w:line="240" w:lineRule="auto"/>
        <w:rPr>
          <w:rFonts w:ascii="Times New Roman" w:hAnsi="Times New Roman"/>
          <w:sz w:val="28"/>
          <w:szCs w:val="28"/>
          <w:lang w:eastAsia="zh-CN"/>
        </w:rPr>
      </w:pPr>
    </w:p>
    <w:p w:rsidR="009224D1" w:rsidRDefault="009224D1">
      <w:pPr>
        <w:widowControl w:val="0"/>
        <w:suppressAutoHyphens/>
        <w:spacing w:after="0" w:line="240" w:lineRule="auto"/>
        <w:rPr>
          <w:rFonts w:ascii="Times New Roman" w:hAnsi="Times New Roman"/>
          <w:sz w:val="28"/>
          <w:szCs w:val="28"/>
          <w:lang w:eastAsia="zh-CN"/>
        </w:rPr>
      </w:pPr>
    </w:p>
    <w:p w:rsidR="009224D1" w:rsidRDefault="009224D1">
      <w:pPr>
        <w:spacing w:after="0" w:line="240" w:lineRule="atLeast"/>
        <w:ind w:left="708" w:right="113"/>
        <w:jc w:val="both"/>
        <w:rPr>
          <w:rFonts w:ascii="Times New Roman" w:hAnsi="Times New Roman"/>
          <w:sz w:val="24"/>
          <w:szCs w:val="24"/>
        </w:rPr>
      </w:pPr>
    </w:p>
    <w:p w:rsidR="009224D1" w:rsidRDefault="009224D1">
      <w:pPr>
        <w:spacing w:after="0" w:line="240" w:lineRule="atLeast"/>
        <w:ind w:left="708" w:right="113"/>
        <w:jc w:val="both"/>
        <w:rPr>
          <w:rFonts w:ascii="Times New Roman" w:hAnsi="Times New Roman"/>
          <w:sz w:val="24"/>
          <w:szCs w:val="24"/>
        </w:rPr>
      </w:pPr>
    </w:p>
    <w:p w:rsidR="009224D1" w:rsidRDefault="009224D1">
      <w:pPr>
        <w:spacing w:after="0" w:line="240" w:lineRule="atLeast"/>
        <w:ind w:left="708" w:right="113"/>
        <w:jc w:val="both"/>
        <w:rPr>
          <w:rFonts w:ascii="Times New Roman" w:hAnsi="Times New Roman"/>
          <w:sz w:val="24"/>
          <w:szCs w:val="24"/>
        </w:rPr>
      </w:pPr>
    </w:p>
    <w:p w:rsidR="009224D1" w:rsidRDefault="00733CE6">
      <w:pPr>
        <w:spacing w:after="0" w:line="240" w:lineRule="atLeast"/>
        <w:ind w:left="708" w:right="113"/>
        <w:jc w:val="both"/>
        <w:rPr>
          <w:rFonts w:ascii="Times New Roman" w:hAnsi="Times New Roman"/>
          <w:sz w:val="24"/>
          <w:szCs w:val="24"/>
        </w:rPr>
      </w:pPr>
      <w:r>
        <w:rPr>
          <w:rFonts w:ascii="Times New Roman" w:hAnsi="Times New Roman"/>
          <w:sz w:val="24"/>
          <w:szCs w:val="24"/>
        </w:rPr>
        <w:t>Smluvní strany sjednaly v souladu s § 6 odst. 1 zák. č. 89/2012 Sb., o zvláštních podmínkách některých smluv, uveřejňování těchto smluv a o registru smluv (zákon o registru smluv) ve znění pozdějších předpisů (dále jen zákon o registru smluv), že ode dne zveřejnění tohoto dodatku v registru smluv nabydou účinnosti tyto změny smlouvy:</w:t>
      </w:r>
    </w:p>
    <w:p w:rsidR="009224D1" w:rsidRDefault="009224D1">
      <w:pPr>
        <w:spacing w:after="0" w:line="240" w:lineRule="atLeast"/>
        <w:ind w:left="708" w:right="113"/>
        <w:jc w:val="both"/>
        <w:rPr>
          <w:rFonts w:ascii="Times New Roman" w:hAnsi="Times New Roman"/>
          <w:sz w:val="24"/>
          <w:szCs w:val="24"/>
        </w:rPr>
      </w:pPr>
    </w:p>
    <w:p w:rsidR="009224D1" w:rsidRDefault="009224D1">
      <w:pPr>
        <w:widowControl w:val="0"/>
        <w:suppressAutoHyphens/>
        <w:spacing w:after="0" w:line="240" w:lineRule="auto"/>
        <w:jc w:val="center"/>
        <w:rPr>
          <w:rFonts w:ascii="Times New Roman" w:hAnsi="Times New Roman"/>
          <w:sz w:val="28"/>
          <w:szCs w:val="28"/>
          <w:lang w:eastAsia="zh-CN"/>
        </w:rPr>
      </w:pPr>
    </w:p>
    <w:p w:rsidR="009224D1" w:rsidRDefault="00733CE6">
      <w:pPr>
        <w:widowControl w:val="0"/>
        <w:suppressAutoHyphens/>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Čl. 1</w:t>
      </w:r>
    </w:p>
    <w:p w:rsidR="009224D1" w:rsidRDefault="00733CE6">
      <w:pPr>
        <w:spacing w:after="0" w:line="240" w:lineRule="atLeast"/>
        <w:jc w:val="center"/>
        <w:rPr>
          <w:rFonts w:ascii="Times New Roman" w:hAnsi="Times New Roman"/>
          <w:b/>
          <w:sz w:val="24"/>
          <w:szCs w:val="24"/>
        </w:rPr>
      </w:pPr>
      <w:r>
        <w:rPr>
          <w:rFonts w:ascii="Times New Roman" w:hAnsi="Times New Roman"/>
          <w:b/>
          <w:sz w:val="24"/>
          <w:szCs w:val="24"/>
        </w:rPr>
        <w:t>změna článku. V odst. 1 smlouvy</w:t>
      </w:r>
    </w:p>
    <w:p w:rsidR="009224D1" w:rsidRDefault="009224D1">
      <w:pPr>
        <w:spacing w:after="0" w:line="240" w:lineRule="atLeast"/>
        <w:jc w:val="center"/>
        <w:rPr>
          <w:rFonts w:ascii="Times New Roman" w:hAnsi="Times New Roman"/>
          <w:b/>
          <w:sz w:val="24"/>
          <w:szCs w:val="24"/>
        </w:rPr>
      </w:pPr>
    </w:p>
    <w:p w:rsidR="009224D1" w:rsidRDefault="009224D1">
      <w:pPr>
        <w:spacing w:after="0" w:line="240" w:lineRule="atLeast"/>
        <w:jc w:val="center"/>
        <w:rPr>
          <w:rFonts w:ascii="Times New Roman" w:hAnsi="Times New Roman"/>
          <w:b/>
          <w:sz w:val="24"/>
          <w:szCs w:val="24"/>
        </w:rPr>
      </w:pPr>
    </w:p>
    <w:p w:rsidR="009224D1" w:rsidRDefault="00733CE6">
      <w:pPr>
        <w:pStyle w:val="Odstavecseseznamem"/>
        <w:numPr>
          <w:ilvl w:val="0"/>
          <w:numId w:val="2"/>
        </w:numPr>
        <w:spacing w:after="0" w:line="240" w:lineRule="atLeast"/>
        <w:ind w:right="113"/>
        <w:jc w:val="both"/>
        <w:rPr>
          <w:rFonts w:ascii="Times New Roman" w:hAnsi="Times New Roman"/>
          <w:sz w:val="24"/>
          <w:szCs w:val="24"/>
        </w:rPr>
      </w:pPr>
      <w:r w:rsidRPr="00733CE6">
        <w:rPr>
          <w:rFonts w:ascii="Times New Roman" w:hAnsi="Times New Roman"/>
          <w:sz w:val="24"/>
          <w:szCs w:val="24"/>
        </w:rPr>
        <w:t>K veškerým autorským dílům provedeným na základě Smlouvy Zhotovitelem,</w:t>
      </w:r>
      <w:r>
        <w:rPr>
          <w:rFonts w:ascii="Times New Roman" w:hAnsi="Times New Roman"/>
          <w:sz w:val="24"/>
          <w:szCs w:val="24"/>
        </w:rPr>
        <w:t xml:space="preserve"> jeho zaměstnanci či smluvními partnery poskytuje Zhotovitel tímto Objednateli jednostranně nevypověditelnou, výhradní licenci, popř. podlicenci ke všem známým způsobům užití díla v souladu s § 12 a násl. zák. č. 121/2000 Sb., autorský zákon ve znění pozdějších předpisů (dále jen AZ), a to v rozsahu místně neomezeném, na dobu neurčitou, včetně práva Zhotovitele poskytovat ve stejném rozsahu podlicenci dalším osobám. Pro vyloučení všech pochybností platí, že součástí licence dle tohoto článku je rovněž udělení výslovného svolení Zhotovitele Objednateli v souladu s § 11 odst. 3 AZ k jakékoliv změně nebo jinému zásahu do díla. V případě, že nositeli osobnostních autorských práv budou třetí osoby, garantuje Zhotovitel Objednateli v souladu s § 11 odst. 3 AZ jejich výslovné svolení k jakékoliv změně nebo jinému zásahu do díla. Objednatel je tak zejména oprávněn dílo měnit, upravovat, spojit s jinými díly autorské či neautorské povahy, a to buď samostatně, nebo prostřednictvím třetí osoby. A to zejména za účelem dalšího užití Zhotovitel tímto prohlašuje, že zajistil a nadále bude zajišťovat, že bude moci Objednatel všechna výše uvedená práva nabýt, zejména náležitou formulací smluv s jeho případnými subdodavateli. Pro případ, že má Objednatel nabýt výhradní podlicenci musí Zhotovitel sám nabýt licenci jako výhradní a po nabytí podlicence Objednatelem se sám zdržet užívání díla. Zhotovené dílo dle Smlouvy smí Zhotovitel sám užít leda jako referenci ukázku své práce. Objednatel není povinen licenci využít. Zhotovitel garantuje a zaručuje se, že k dílům se nevztahují nevypořádaná práva duševního vlastnictví třetích osob. Tato licence je poskytována bezúplatně v rámci provedení daného díla.</w:t>
      </w:r>
    </w:p>
    <w:p w:rsidR="009224D1" w:rsidRDefault="009224D1">
      <w:pPr>
        <w:pStyle w:val="Odstavecseseznamem"/>
        <w:spacing w:after="0" w:line="240" w:lineRule="atLeast"/>
        <w:ind w:left="360" w:right="113"/>
        <w:jc w:val="both"/>
        <w:rPr>
          <w:rFonts w:ascii="Times New Roman" w:hAnsi="Times New Roman"/>
          <w:sz w:val="24"/>
          <w:szCs w:val="24"/>
        </w:rPr>
      </w:pPr>
    </w:p>
    <w:p w:rsidR="009224D1" w:rsidRDefault="009224D1">
      <w:pPr>
        <w:pStyle w:val="Odstavecseseznamem"/>
        <w:spacing w:after="0" w:line="240" w:lineRule="atLeast"/>
        <w:ind w:left="0"/>
        <w:jc w:val="center"/>
        <w:rPr>
          <w:rFonts w:ascii="Times New Roman" w:hAnsi="Times New Roman"/>
          <w:b/>
          <w:sz w:val="24"/>
          <w:szCs w:val="24"/>
        </w:rPr>
      </w:pPr>
    </w:p>
    <w:p w:rsidR="009224D1" w:rsidRDefault="009224D1">
      <w:pPr>
        <w:pStyle w:val="Odstavecseseznamem"/>
        <w:spacing w:after="0" w:line="240" w:lineRule="atLeast"/>
        <w:ind w:left="0"/>
        <w:jc w:val="center"/>
        <w:rPr>
          <w:rFonts w:ascii="Times New Roman" w:hAnsi="Times New Roman"/>
          <w:b/>
          <w:sz w:val="24"/>
          <w:szCs w:val="24"/>
        </w:rPr>
      </w:pPr>
    </w:p>
    <w:p w:rsidR="009224D1" w:rsidRDefault="009224D1">
      <w:pPr>
        <w:pStyle w:val="Odstavecseseznamem"/>
        <w:spacing w:after="0" w:line="240" w:lineRule="atLeast"/>
        <w:ind w:left="0"/>
        <w:jc w:val="center"/>
        <w:rPr>
          <w:rFonts w:ascii="Times New Roman" w:hAnsi="Times New Roman"/>
          <w:b/>
          <w:sz w:val="24"/>
          <w:szCs w:val="24"/>
        </w:rPr>
      </w:pPr>
    </w:p>
    <w:p w:rsidR="009224D1" w:rsidRDefault="009224D1">
      <w:pPr>
        <w:pStyle w:val="Odstavecseseznamem"/>
        <w:spacing w:after="0" w:line="240" w:lineRule="atLeast"/>
        <w:ind w:left="0"/>
        <w:jc w:val="center"/>
        <w:rPr>
          <w:rFonts w:ascii="Times New Roman" w:hAnsi="Times New Roman"/>
          <w:b/>
          <w:sz w:val="24"/>
          <w:szCs w:val="24"/>
        </w:rPr>
      </w:pPr>
    </w:p>
    <w:p w:rsidR="009224D1" w:rsidRDefault="009224D1">
      <w:pPr>
        <w:pStyle w:val="Odstavecseseznamem"/>
        <w:spacing w:after="0" w:line="240" w:lineRule="atLeast"/>
        <w:ind w:left="0"/>
        <w:jc w:val="center"/>
        <w:rPr>
          <w:rFonts w:ascii="Times New Roman" w:hAnsi="Times New Roman"/>
          <w:b/>
          <w:sz w:val="24"/>
          <w:szCs w:val="24"/>
        </w:rPr>
      </w:pPr>
    </w:p>
    <w:p w:rsidR="009224D1" w:rsidRDefault="009224D1">
      <w:pPr>
        <w:pStyle w:val="Odstavecseseznamem"/>
        <w:spacing w:after="0" w:line="240" w:lineRule="atLeast"/>
        <w:ind w:left="0"/>
        <w:jc w:val="center"/>
        <w:rPr>
          <w:rFonts w:ascii="Times New Roman" w:hAnsi="Times New Roman"/>
          <w:b/>
          <w:sz w:val="24"/>
          <w:szCs w:val="24"/>
        </w:rPr>
      </w:pPr>
    </w:p>
    <w:p w:rsidR="009224D1" w:rsidRDefault="009224D1">
      <w:pPr>
        <w:pStyle w:val="Odstavecseseznamem"/>
        <w:spacing w:after="0" w:line="240" w:lineRule="atLeast"/>
        <w:ind w:left="0"/>
        <w:jc w:val="center"/>
        <w:rPr>
          <w:rFonts w:ascii="Times New Roman" w:hAnsi="Times New Roman"/>
          <w:b/>
          <w:sz w:val="24"/>
          <w:szCs w:val="24"/>
        </w:rPr>
      </w:pPr>
    </w:p>
    <w:p w:rsidR="009224D1" w:rsidRDefault="009224D1">
      <w:pPr>
        <w:pStyle w:val="Odstavecseseznamem"/>
        <w:spacing w:after="0" w:line="240" w:lineRule="atLeast"/>
        <w:ind w:left="0"/>
        <w:jc w:val="center"/>
        <w:rPr>
          <w:rFonts w:ascii="Times New Roman" w:hAnsi="Times New Roman"/>
          <w:b/>
          <w:sz w:val="24"/>
          <w:szCs w:val="24"/>
        </w:rPr>
      </w:pPr>
    </w:p>
    <w:p w:rsidR="009224D1" w:rsidRDefault="00733CE6">
      <w:pPr>
        <w:pStyle w:val="Odstavecseseznamem"/>
        <w:spacing w:after="0" w:line="240" w:lineRule="atLeast"/>
        <w:ind w:left="0"/>
        <w:jc w:val="center"/>
        <w:rPr>
          <w:rFonts w:ascii="Times New Roman" w:hAnsi="Times New Roman"/>
          <w:b/>
          <w:sz w:val="24"/>
          <w:szCs w:val="24"/>
        </w:rPr>
      </w:pPr>
      <w:r>
        <w:rPr>
          <w:rFonts w:ascii="Times New Roman" w:hAnsi="Times New Roman"/>
          <w:b/>
          <w:sz w:val="24"/>
          <w:szCs w:val="24"/>
        </w:rPr>
        <w:lastRenderedPageBreak/>
        <w:t>Čl. 2</w:t>
      </w:r>
    </w:p>
    <w:p w:rsidR="009224D1" w:rsidRDefault="004670FA">
      <w:pPr>
        <w:pStyle w:val="Odstavecseseznamem"/>
        <w:spacing w:after="0" w:line="240" w:lineRule="atLeast"/>
        <w:ind w:left="0"/>
        <w:jc w:val="center"/>
        <w:rPr>
          <w:rFonts w:ascii="Times New Roman" w:hAnsi="Times New Roman"/>
          <w:b/>
          <w:sz w:val="24"/>
          <w:szCs w:val="24"/>
        </w:rPr>
      </w:pPr>
      <w:r>
        <w:rPr>
          <w:rFonts w:ascii="Times New Roman" w:hAnsi="Times New Roman"/>
          <w:b/>
          <w:sz w:val="24"/>
          <w:szCs w:val="24"/>
        </w:rPr>
        <w:t>Změna čl. V</w:t>
      </w:r>
      <w:bookmarkStart w:id="0" w:name="_GoBack"/>
      <w:bookmarkEnd w:id="0"/>
      <w:r w:rsidR="00733CE6">
        <w:rPr>
          <w:rFonts w:ascii="Times New Roman" w:hAnsi="Times New Roman"/>
          <w:b/>
          <w:sz w:val="24"/>
          <w:szCs w:val="24"/>
        </w:rPr>
        <w:t>II</w:t>
      </w:r>
    </w:p>
    <w:p w:rsidR="009224D1" w:rsidRDefault="009224D1">
      <w:pPr>
        <w:pStyle w:val="Odstavecseseznamem"/>
        <w:spacing w:after="0" w:line="240" w:lineRule="atLeast"/>
        <w:ind w:left="0"/>
        <w:rPr>
          <w:rFonts w:ascii="Times New Roman" w:hAnsi="Times New Roman"/>
          <w:sz w:val="24"/>
          <w:szCs w:val="24"/>
        </w:rPr>
      </w:pPr>
    </w:p>
    <w:p w:rsidR="009224D1" w:rsidRDefault="00733CE6">
      <w:pPr>
        <w:pStyle w:val="Odstavecseseznamem"/>
        <w:spacing w:after="0" w:line="240" w:lineRule="atLeast"/>
        <w:ind w:left="0"/>
        <w:rPr>
          <w:rFonts w:ascii="Times New Roman" w:hAnsi="Times New Roman"/>
          <w:sz w:val="24"/>
          <w:szCs w:val="24"/>
        </w:rPr>
      </w:pPr>
      <w:r>
        <w:rPr>
          <w:rFonts w:ascii="Times New Roman" w:hAnsi="Times New Roman"/>
          <w:sz w:val="24"/>
          <w:szCs w:val="24"/>
        </w:rPr>
        <w:t>Do čl. 7 se přidává odst. 6 ve znění</w:t>
      </w:r>
    </w:p>
    <w:p w:rsidR="009224D1" w:rsidRDefault="009224D1">
      <w:pPr>
        <w:pStyle w:val="Odstavecseseznamem"/>
        <w:spacing w:after="0" w:line="240" w:lineRule="atLeast"/>
        <w:ind w:left="0"/>
        <w:rPr>
          <w:rFonts w:ascii="Times New Roman" w:hAnsi="Times New Roman"/>
          <w:sz w:val="24"/>
          <w:szCs w:val="24"/>
        </w:rPr>
      </w:pPr>
    </w:p>
    <w:p w:rsidR="009224D1" w:rsidRDefault="00733CE6">
      <w:pPr>
        <w:pStyle w:val="Odstavecseseznamem"/>
        <w:spacing w:after="0" w:line="240" w:lineRule="atLeast"/>
        <w:ind w:left="705" w:hanging="705"/>
        <w:jc w:val="both"/>
      </w:pPr>
      <w:r>
        <w:rPr>
          <w:rFonts w:ascii="Times New Roman" w:hAnsi="Times New Roman"/>
          <w:sz w:val="24"/>
          <w:szCs w:val="24"/>
        </w:rPr>
        <w:t>6.</w:t>
      </w:r>
      <w:r>
        <w:rPr>
          <w:rFonts w:ascii="Times New Roman" w:hAnsi="Times New Roman"/>
          <w:sz w:val="24"/>
          <w:szCs w:val="24"/>
        </w:rPr>
        <w:tab/>
        <w:t xml:space="preserve">Objednatel výslovně souhlasí s tím, že provedením </w:t>
      </w:r>
      <w:r>
        <w:rPr>
          <w:rFonts w:ascii="Times New Roman" w:hAnsi="Times New Roman"/>
          <w:sz w:val="24"/>
        </w:rPr>
        <w:t>autorského dozoru projektanta případně hlavního projektanta dle § 152 odst. 4 zák. č. 183/2006 Sb., o územním plánování a stavebním řádu (stavební zákon) ve znění pozdějších předpisů nad souladem prováděné stavby s ověřenou projektovou dokumentací</w:t>
      </w:r>
      <w:r>
        <w:rPr>
          <w:rFonts w:ascii="Times New Roman" w:hAnsi="Times New Roman"/>
          <w:sz w:val="24"/>
          <w:szCs w:val="24"/>
        </w:rPr>
        <w:t xml:space="preserve"> může Zhotovitel zmocnit další osobu, která disponuje autorizací dle zák. č. 360/1992 Sb., o výkonu povolání autorizovaných inženýrů a techniků činných ve výstavbě ve znění pozdějších předpisů. </w:t>
      </w:r>
      <w:bookmarkStart w:id="1" w:name="__DdeLink__232_920994761"/>
      <w:bookmarkStart w:id="2" w:name="__DdeLink__941_2029049051"/>
      <w:r w:rsidRPr="00733CE6">
        <w:rPr>
          <w:rFonts w:ascii="Times New Roman" w:hAnsi="Times New Roman"/>
          <w:sz w:val="24"/>
          <w:szCs w:val="24"/>
        </w:rPr>
        <w:t>Odpovědnost musí nést v takovém případě v plném rozsahu (zejména za vznik škody, smluvní pokuty, úroky z prodlení), společně a nerozdílně zhotovitel jako zmocnitel a zmocněnec</w:t>
      </w:r>
      <w:bookmarkEnd w:id="1"/>
      <w:bookmarkEnd w:id="2"/>
      <w:r w:rsidRPr="00733CE6">
        <w:rPr>
          <w:rFonts w:ascii="Times New Roman" w:hAnsi="Times New Roman"/>
          <w:sz w:val="24"/>
          <w:szCs w:val="24"/>
        </w:rPr>
        <w:t>.</w:t>
      </w:r>
    </w:p>
    <w:p w:rsidR="009224D1" w:rsidRDefault="009224D1">
      <w:pPr>
        <w:widowControl w:val="0"/>
        <w:suppressAutoHyphens/>
        <w:spacing w:after="0" w:line="240" w:lineRule="auto"/>
        <w:rPr>
          <w:rFonts w:ascii="Times New Roman" w:hAnsi="Times New Roman"/>
          <w:sz w:val="28"/>
          <w:szCs w:val="28"/>
          <w:lang w:eastAsia="zh-CN"/>
        </w:rPr>
      </w:pPr>
    </w:p>
    <w:p w:rsidR="009224D1" w:rsidRDefault="00733CE6">
      <w:pPr>
        <w:pStyle w:val="Odstavecseseznamem"/>
        <w:spacing w:after="0" w:line="240" w:lineRule="atLeast"/>
        <w:ind w:left="0"/>
        <w:jc w:val="center"/>
        <w:rPr>
          <w:rFonts w:ascii="Times New Roman" w:hAnsi="Times New Roman"/>
          <w:i/>
          <w:sz w:val="32"/>
          <w:szCs w:val="32"/>
        </w:rPr>
      </w:pPr>
      <w:r>
        <w:rPr>
          <w:rFonts w:ascii="Times New Roman" w:hAnsi="Times New Roman"/>
          <w:b/>
          <w:sz w:val="24"/>
          <w:szCs w:val="24"/>
        </w:rPr>
        <w:t>Čl. 3</w:t>
      </w:r>
    </w:p>
    <w:p w:rsidR="009224D1" w:rsidRDefault="00733CE6">
      <w:pPr>
        <w:snapToGrid w:val="0"/>
        <w:spacing w:after="0" w:line="240" w:lineRule="atLeast"/>
        <w:jc w:val="center"/>
        <w:rPr>
          <w:rFonts w:ascii="Times New Roman" w:hAnsi="Times New Roman"/>
          <w:b/>
          <w:sz w:val="24"/>
          <w:szCs w:val="24"/>
        </w:rPr>
      </w:pPr>
      <w:r>
        <w:rPr>
          <w:rFonts w:ascii="Times New Roman" w:hAnsi="Times New Roman"/>
          <w:b/>
          <w:sz w:val="24"/>
          <w:szCs w:val="24"/>
        </w:rPr>
        <w:t>Závěrečná ustanovení</w:t>
      </w:r>
    </w:p>
    <w:p w:rsidR="009224D1" w:rsidRDefault="009224D1">
      <w:pPr>
        <w:snapToGrid w:val="0"/>
        <w:spacing w:after="0" w:line="240" w:lineRule="atLeast"/>
        <w:jc w:val="both"/>
        <w:rPr>
          <w:rFonts w:ascii="Times New Roman" w:hAnsi="Times New Roman"/>
          <w:sz w:val="24"/>
          <w:szCs w:val="24"/>
        </w:rPr>
      </w:pPr>
    </w:p>
    <w:p w:rsidR="009224D1" w:rsidRDefault="00733CE6">
      <w:pPr>
        <w:pStyle w:val="Odstavecseseznamem"/>
        <w:numPr>
          <w:ilvl w:val="1"/>
          <w:numId w:val="2"/>
        </w:numPr>
        <w:spacing w:after="0" w:line="240" w:lineRule="atLeast"/>
        <w:ind w:left="113" w:right="113" w:firstLine="0"/>
        <w:jc w:val="both"/>
        <w:rPr>
          <w:rFonts w:ascii="Times New Roman" w:hAnsi="Times New Roman"/>
          <w:sz w:val="24"/>
          <w:szCs w:val="24"/>
        </w:rPr>
      </w:pPr>
      <w:r>
        <w:rPr>
          <w:rFonts w:ascii="Times New Roman" w:hAnsi="Times New Roman"/>
          <w:sz w:val="24"/>
          <w:szCs w:val="24"/>
        </w:rPr>
        <w:t xml:space="preserve">Tento dodatek je vyhotoven ve třech stejnopisech s platností originálu, přičemž </w:t>
      </w:r>
      <w:r>
        <w:rPr>
          <w:rFonts w:ascii="Times New Roman" w:hAnsi="Times New Roman"/>
          <w:sz w:val="24"/>
          <w:szCs w:val="24"/>
        </w:rPr>
        <w:br/>
        <w:t xml:space="preserve"> </w:t>
      </w:r>
      <w:r>
        <w:rPr>
          <w:rFonts w:ascii="Times New Roman" w:hAnsi="Times New Roman"/>
          <w:sz w:val="24"/>
          <w:szCs w:val="24"/>
        </w:rPr>
        <w:tab/>
        <w:t>Objednatel obdrží dvě vyhotovení a Zhotovitel jedno vyhotovení.</w:t>
      </w:r>
    </w:p>
    <w:p w:rsidR="009224D1" w:rsidRDefault="00733CE6">
      <w:pPr>
        <w:widowControl w:val="0"/>
        <w:numPr>
          <w:ilvl w:val="1"/>
          <w:numId w:val="2"/>
        </w:numPr>
        <w:suppressAutoHyphens/>
        <w:snapToGrid w:val="0"/>
        <w:spacing w:after="0" w:line="240" w:lineRule="atLeast"/>
        <w:ind w:left="113" w:right="113" w:firstLine="0"/>
        <w:jc w:val="both"/>
        <w:rPr>
          <w:rFonts w:ascii="Times New Roman" w:hAnsi="Times New Roman"/>
          <w:sz w:val="24"/>
          <w:szCs w:val="24"/>
        </w:rPr>
      </w:pPr>
      <w:r>
        <w:rPr>
          <w:rFonts w:ascii="Times New Roman" w:hAnsi="Times New Roman"/>
          <w:sz w:val="24"/>
          <w:szCs w:val="24"/>
        </w:rPr>
        <w:t xml:space="preserve">Zhotovitel prohlašuje, že je srozuměn a souhlasí s tím, že tento dodatek i Smlouva    </w:t>
      </w:r>
      <w:r>
        <w:rPr>
          <w:rFonts w:ascii="Times New Roman" w:hAnsi="Times New Roman"/>
          <w:sz w:val="24"/>
          <w:szCs w:val="24"/>
        </w:rPr>
        <w:br/>
        <w:t xml:space="preserve"> </w:t>
      </w:r>
      <w:r>
        <w:rPr>
          <w:rFonts w:ascii="Times New Roman" w:hAnsi="Times New Roman"/>
          <w:sz w:val="24"/>
          <w:szCs w:val="24"/>
        </w:rPr>
        <w:tab/>
        <w:t>budou Objednatelem zveřejněny v registru smluv dle zákona o registru smluv.</w:t>
      </w:r>
    </w:p>
    <w:p w:rsidR="009224D1" w:rsidRDefault="00733CE6">
      <w:pPr>
        <w:widowControl w:val="0"/>
        <w:numPr>
          <w:ilvl w:val="1"/>
          <w:numId w:val="2"/>
        </w:numPr>
        <w:suppressAutoHyphens/>
        <w:snapToGrid w:val="0"/>
        <w:spacing w:after="0" w:line="240" w:lineRule="atLeast"/>
        <w:ind w:left="113" w:right="113" w:firstLine="0"/>
        <w:jc w:val="both"/>
        <w:rPr>
          <w:rFonts w:ascii="Times New Roman" w:hAnsi="Times New Roman"/>
          <w:sz w:val="24"/>
          <w:szCs w:val="24"/>
        </w:rPr>
      </w:pPr>
      <w:r>
        <w:rPr>
          <w:rFonts w:ascii="Times New Roman" w:hAnsi="Times New Roman"/>
          <w:sz w:val="24"/>
          <w:szCs w:val="24"/>
        </w:rPr>
        <w:t xml:space="preserve">Tento dodatek nabývá platnosti dnem podpisu oběma smluvními stranami a účinnosti </w:t>
      </w:r>
      <w:r>
        <w:rPr>
          <w:rFonts w:ascii="Times New Roman" w:hAnsi="Times New Roman"/>
          <w:sz w:val="24"/>
          <w:szCs w:val="24"/>
        </w:rPr>
        <w:br/>
        <w:t xml:space="preserve"> </w:t>
      </w:r>
      <w:r>
        <w:rPr>
          <w:rFonts w:ascii="Times New Roman" w:hAnsi="Times New Roman"/>
          <w:sz w:val="24"/>
          <w:szCs w:val="24"/>
        </w:rPr>
        <w:tab/>
        <w:t>v souladu s § 6 odst. 1 zákona o registru smluv ke dni zveřejnění v registru smluv.</w:t>
      </w:r>
    </w:p>
    <w:p w:rsidR="009224D1" w:rsidRDefault="00733CE6">
      <w:pPr>
        <w:widowControl w:val="0"/>
        <w:numPr>
          <w:ilvl w:val="1"/>
          <w:numId w:val="2"/>
        </w:numPr>
        <w:suppressAutoHyphens/>
        <w:snapToGrid w:val="0"/>
        <w:spacing w:after="0" w:line="240" w:lineRule="atLeast"/>
        <w:ind w:left="113" w:right="113" w:firstLine="0"/>
        <w:jc w:val="both"/>
        <w:rPr>
          <w:rFonts w:ascii="Times New Roman" w:hAnsi="Times New Roman"/>
          <w:sz w:val="24"/>
          <w:szCs w:val="24"/>
        </w:rPr>
      </w:pPr>
      <w:r>
        <w:rPr>
          <w:rFonts w:ascii="Times New Roman" w:hAnsi="Times New Roman"/>
          <w:sz w:val="24"/>
          <w:szCs w:val="24"/>
        </w:rPr>
        <w:t xml:space="preserve">Ustanovení smlouvy, která nepodléhají změnám uvedeným v článku 1. tohoto </w:t>
      </w:r>
      <w:r>
        <w:rPr>
          <w:rFonts w:ascii="Times New Roman" w:hAnsi="Times New Roman"/>
          <w:sz w:val="24"/>
          <w:szCs w:val="24"/>
        </w:rPr>
        <w:br/>
        <w:t xml:space="preserve"> </w:t>
      </w:r>
      <w:r>
        <w:rPr>
          <w:rFonts w:ascii="Times New Roman" w:hAnsi="Times New Roman"/>
          <w:sz w:val="24"/>
          <w:szCs w:val="24"/>
        </w:rPr>
        <w:tab/>
        <w:t>dodatku zůstávají nedotčena.</w:t>
      </w:r>
    </w:p>
    <w:p w:rsidR="009224D1" w:rsidRDefault="00733CE6">
      <w:pPr>
        <w:pStyle w:val="Zkladntext3"/>
        <w:numPr>
          <w:ilvl w:val="1"/>
          <w:numId w:val="2"/>
        </w:numPr>
        <w:spacing w:after="0" w:line="240" w:lineRule="atLeast"/>
        <w:ind w:left="709" w:right="113" w:hanging="596"/>
        <w:jc w:val="both"/>
        <w:rPr>
          <w:rStyle w:val="platne1"/>
        </w:rPr>
      </w:pPr>
      <w:r>
        <w:rPr>
          <w:sz w:val="24"/>
          <w:szCs w:val="24"/>
        </w:rPr>
        <w:t>Tento dodatek byl sepsán na základě pravé a svobodné vůle smluvních stran a na důkaz shora uvedeného smluvní strany připojují své podpisy.</w:t>
      </w:r>
    </w:p>
    <w:p w:rsidR="009224D1" w:rsidRDefault="009224D1">
      <w:pPr>
        <w:widowControl w:val="0"/>
        <w:suppressAutoHyphens/>
        <w:spacing w:after="0" w:line="240" w:lineRule="auto"/>
        <w:ind w:left="113" w:right="113"/>
        <w:jc w:val="center"/>
        <w:rPr>
          <w:rFonts w:ascii="Times New Roman" w:hAnsi="Times New Roman"/>
          <w:sz w:val="28"/>
          <w:szCs w:val="28"/>
          <w:lang w:eastAsia="zh-CN"/>
        </w:rPr>
      </w:pPr>
    </w:p>
    <w:p w:rsidR="009224D1" w:rsidRDefault="009224D1">
      <w:pPr>
        <w:spacing w:after="0" w:line="240" w:lineRule="atLeast"/>
        <w:jc w:val="both"/>
        <w:rPr>
          <w:rFonts w:ascii="Times New Roman" w:hAnsi="Times New Roman"/>
          <w:sz w:val="28"/>
          <w:szCs w:val="28"/>
        </w:rPr>
      </w:pPr>
    </w:p>
    <w:p w:rsidR="009224D1" w:rsidRDefault="009224D1">
      <w:pPr>
        <w:spacing w:after="0" w:line="240" w:lineRule="atLeast"/>
        <w:jc w:val="both"/>
        <w:rPr>
          <w:rFonts w:ascii="Times New Roman" w:hAnsi="Times New Roman"/>
          <w:sz w:val="28"/>
          <w:szCs w:val="28"/>
        </w:rPr>
      </w:pPr>
    </w:p>
    <w:p w:rsidR="009224D1" w:rsidRDefault="00733CE6">
      <w:pPr>
        <w:ind w:left="284"/>
        <w:rPr>
          <w:rFonts w:ascii="Times New Roman" w:hAnsi="Times New Roman"/>
          <w:sz w:val="24"/>
          <w:szCs w:val="24"/>
        </w:rPr>
      </w:pPr>
      <w:r>
        <w:rPr>
          <w:rFonts w:ascii="Times New Roman" w:hAnsi="Times New Roman"/>
          <w:sz w:val="24"/>
          <w:szCs w:val="24"/>
        </w:rPr>
        <w:t>V Praze dne 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V Brně dne __________________ </w:t>
      </w:r>
    </w:p>
    <w:p w:rsidR="009224D1" w:rsidRDefault="009224D1">
      <w:pPr>
        <w:spacing w:before="120" w:after="60"/>
        <w:jc w:val="both"/>
        <w:rPr>
          <w:rFonts w:ascii="Times New Roman" w:hAnsi="Times New Roman"/>
          <w:sz w:val="24"/>
          <w:szCs w:val="24"/>
          <w:lang w:eastAsia="zh-CN"/>
        </w:rPr>
      </w:pPr>
    </w:p>
    <w:p w:rsidR="009224D1" w:rsidRDefault="00733CE6">
      <w:pPr>
        <w:spacing w:before="120" w:after="60"/>
        <w:jc w:val="both"/>
        <w:rPr>
          <w:rFonts w:ascii="Times New Roman" w:hAnsi="Times New Roman"/>
          <w:sz w:val="24"/>
          <w:szCs w:val="24"/>
        </w:rPr>
      </w:pPr>
      <w:r>
        <w:rPr>
          <w:rFonts w:ascii="Times New Roman" w:hAnsi="Times New Roman"/>
          <w:sz w:val="24"/>
          <w:szCs w:val="24"/>
        </w:rPr>
        <w:t>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Zhotovitel</w:t>
      </w:r>
    </w:p>
    <w:p w:rsidR="009224D1" w:rsidRDefault="00733CE6">
      <w:pPr>
        <w:pStyle w:val="Text"/>
        <w:numPr>
          <w:ilvl w:val="0"/>
          <w:numId w:val="1"/>
        </w:numPr>
        <w:spacing w:line="240" w:lineRule="auto"/>
        <w:ind w:right="15"/>
        <w:rPr>
          <w:rFonts w:ascii="Times New Roman" w:hAnsi="Times New Roman"/>
          <w:color w:val="00000A"/>
          <w:sz w:val="24"/>
          <w:szCs w:val="24"/>
          <w:lang w:val="cs-CZ"/>
        </w:rPr>
      </w:pPr>
      <w:r>
        <w:rPr>
          <w:rFonts w:ascii="Times New Roman" w:hAnsi="Times New Roman"/>
          <w:color w:val="00000A"/>
          <w:sz w:val="24"/>
          <w:szCs w:val="24"/>
          <w:lang w:val="cs-CZ"/>
        </w:rPr>
        <w:t xml:space="preserve">       </w:t>
      </w:r>
    </w:p>
    <w:p w:rsidR="009224D1" w:rsidRDefault="00733CE6">
      <w:pPr>
        <w:pStyle w:val="Text"/>
        <w:numPr>
          <w:ilvl w:val="0"/>
          <w:numId w:val="1"/>
        </w:numPr>
        <w:spacing w:line="240" w:lineRule="auto"/>
        <w:ind w:right="15"/>
        <w:rPr>
          <w:rFonts w:ascii="Times New Roman" w:hAnsi="Times New Roman"/>
          <w:color w:val="00000A"/>
          <w:sz w:val="24"/>
          <w:szCs w:val="24"/>
          <w:lang w:val="cs-CZ"/>
        </w:rPr>
      </w:pPr>
      <w:r>
        <w:rPr>
          <w:rFonts w:ascii="Times New Roman" w:hAnsi="Times New Roman"/>
          <w:color w:val="00000A"/>
          <w:sz w:val="24"/>
          <w:szCs w:val="24"/>
          <w:lang w:val="cs-CZ"/>
        </w:rPr>
        <w:t>…………………………………….                   ………………………………………..</w:t>
      </w:r>
    </w:p>
    <w:p w:rsidR="009224D1" w:rsidRDefault="00733CE6">
      <w:pPr>
        <w:pStyle w:val="Text"/>
        <w:spacing w:line="240" w:lineRule="auto"/>
        <w:ind w:right="15"/>
        <w:rPr>
          <w:rFonts w:ascii="Times New Roman" w:hAnsi="Times New Roman"/>
          <w:b/>
          <w:color w:val="00000A"/>
          <w:sz w:val="24"/>
          <w:szCs w:val="24"/>
          <w:lang w:val="cs-CZ"/>
        </w:rPr>
      </w:pPr>
      <w:r>
        <w:rPr>
          <w:rFonts w:ascii="Times New Roman" w:hAnsi="Times New Roman"/>
          <w:b/>
          <w:color w:val="00000A"/>
          <w:sz w:val="24"/>
          <w:szCs w:val="24"/>
          <w:lang w:val="cs-CZ"/>
        </w:rPr>
        <w:t xml:space="preserve">           </w:t>
      </w:r>
    </w:p>
    <w:p w:rsidR="009224D1" w:rsidRDefault="00733CE6">
      <w:pPr>
        <w:pStyle w:val="Text"/>
        <w:spacing w:line="240" w:lineRule="auto"/>
        <w:ind w:right="15"/>
        <w:rPr>
          <w:rFonts w:ascii="Times New Roman" w:hAnsi="Times New Roman"/>
          <w:color w:val="00000A"/>
          <w:sz w:val="24"/>
          <w:szCs w:val="24"/>
          <w:lang w:val="cs-CZ"/>
        </w:rPr>
      </w:pPr>
      <w:r>
        <w:rPr>
          <w:rFonts w:ascii="Times New Roman" w:hAnsi="Times New Roman"/>
          <w:color w:val="00000A"/>
          <w:sz w:val="24"/>
          <w:szCs w:val="24"/>
          <w:lang w:val="cs-CZ"/>
        </w:rPr>
        <w:t>doc. Ing. Milan Jan Půček, MBA, Ph.D.</w:t>
      </w:r>
      <w:r>
        <w:rPr>
          <w:rFonts w:ascii="Times New Roman" w:hAnsi="Times New Roman"/>
          <w:color w:val="00000A"/>
          <w:sz w:val="24"/>
          <w:szCs w:val="24"/>
          <w:lang w:val="cs-CZ"/>
        </w:rPr>
        <w:tab/>
      </w:r>
      <w:r>
        <w:rPr>
          <w:rFonts w:ascii="Times New Roman" w:hAnsi="Times New Roman"/>
          <w:color w:val="00000A"/>
          <w:sz w:val="24"/>
          <w:szCs w:val="24"/>
          <w:lang w:val="cs-CZ"/>
        </w:rPr>
        <w:tab/>
        <w:t>Ing. akad. arch. Jan Konečný, CSc.</w:t>
      </w:r>
    </w:p>
    <w:p w:rsidR="009224D1" w:rsidRDefault="00733CE6">
      <w:pPr>
        <w:ind w:left="708"/>
        <w:jc w:val="both"/>
        <w:rPr>
          <w:rFonts w:ascii="Times New Roman" w:hAnsi="Times New Roman"/>
          <w:b/>
          <w:sz w:val="24"/>
          <w:szCs w:val="24"/>
        </w:rPr>
      </w:pPr>
      <w:r>
        <w:rPr>
          <w:rFonts w:ascii="Times New Roman" w:hAnsi="Times New Roman"/>
          <w:sz w:val="24"/>
          <w:szCs w:val="24"/>
        </w:rPr>
        <w:t xml:space="preserve">    generální ředitel</w:t>
      </w:r>
    </w:p>
    <w:p w:rsidR="009224D1" w:rsidRDefault="009224D1"/>
    <w:sectPr w:rsidR="009224D1">
      <w:headerReference w:type="default" r:id="rId7"/>
      <w:pgSz w:w="11906" w:h="16838"/>
      <w:pgMar w:top="1417" w:right="1417" w:bottom="1417" w:left="1417" w:header="708"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09B" w:rsidRDefault="00733CE6">
      <w:pPr>
        <w:spacing w:after="0" w:line="240" w:lineRule="auto"/>
      </w:pPr>
      <w:r>
        <w:separator/>
      </w:r>
    </w:p>
  </w:endnote>
  <w:endnote w:type="continuationSeparator" w:id="0">
    <w:p w:rsidR="0084509B" w:rsidRDefault="0073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09B" w:rsidRDefault="00733CE6">
      <w:pPr>
        <w:spacing w:after="0" w:line="240" w:lineRule="auto"/>
      </w:pPr>
      <w:r>
        <w:separator/>
      </w:r>
    </w:p>
  </w:footnote>
  <w:footnote w:type="continuationSeparator" w:id="0">
    <w:p w:rsidR="0084509B" w:rsidRDefault="00733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4D1" w:rsidRDefault="00733CE6">
    <w:pPr>
      <w:pStyle w:val="Zhlav"/>
    </w:pPr>
    <w:r>
      <w:rPr>
        <w:noProof/>
        <w:lang w:eastAsia="cs-CZ"/>
      </w:rPr>
      <w:drawing>
        <wp:inline distT="0" distB="0" distL="0" distR="0">
          <wp:extent cx="2286635"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286635" cy="944880"/>
                  </a:xfrm>
                  <a:prstGeom prst="rect">
                    <a:avLst/>
                  </a:prstGeom>
                </pic:spPr>
              </pic:pic>
            </a:graphicData>
          </a:graphic>
        </wp:inline>
      </w:drawing>
    </w:r>
  </w:p>
  <w:p w:rsidR="009224D1" w:rsidRDefault="009224D1">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F6C70"/>
    <w:multiLevelType w:val="multilevel"/>
    <w:tmpl w:val="F8F800A8"/>
    <w:lvl w:ilvl="0">
      <w:start w:val="1"/>
      <w:numFmt w:val="decimal"/>
      <w:lvlText w:val="%1."/>
      <w:lvlJc w:val="left"/>
      <w:pPr>
        <w:ind w:left="1065" w:hanging="705"/>
      </w:pPr>
      <w:rPr>
        <w:rFonts w:ascii="Times New Roman" w:hAnsi="Times New Roman"/>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E95D92"/>
    <w:multiLevelType w:val="multilevel"/>
    <w:tmpl w:val="C4765BC0"/>
    <w:lvl w:ilvl="0">
      <w:start w:val="1"/>
      <w:numFmt w:val="none"/>
      <w:suff w:val="nothing"/>
      <w:lvlText w:val=""/>
      <w:lvlJc w:val="left"/>
      <w:pPr>
        <w:ind w:left="720" w:hanging="360"/>
      </w:pPr>
      <w:rPr>
        <w:rFonts w:ascii="Times New Roman" w:hAnsi="Times New Roman" w:cs="Times New Roman"/>
        <w:sz w:val="24"/>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 w15:restartNumberingAfterBreak="0">
    <w:nsid w:val="65F95649"/>
    <w:multiLevelType w:val="multilevel"/>
    <w:tmpl w:val="F19A60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D1"/>
    <w:rsid w:val="00222E6F"/>
    <w:rsid w:val="004670FA"/>
    <w:rsid w:val="00733CE6"/>
    <w:rsid w:val="0084509B"/>
    <w:rsid w:val="009224D1"/>
    <w:rsid w:val="00E35EB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EAE5"/>
  <w15:docId w15:val="{F96AA64C-5552-4419-95B4-AEDFAFC7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08C"/>
    <w:pPr>
      <w:spacing w:after="160" w:line="259" w:lineRule="auto"/>
    </w:pPr>
    <w:rPr>
      <w:color w:val="00000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Char">
    <w:name w:val="Základní text 3 Char"/>
    <w:link w:val="Zkladntext3"/>
    <w:uiPriority w:val="99"/>
    <w:semiHidden/>
    <w:qFormat/>
    <w:locked/>
    <w:rsid w:val="00C67395"/>
    <w:rPr>
      <w:rFonts w:ascii="Times New Roman" w:hAnsi="Times New Roman" w:cs="Times New Roman"/>
      <w:sz w:val="16"/>
      <w:szCs w:val="16"/>
      <w:lang w:eastAsia="cs-CZ"/>
    </w:rPr>
  </w:style>
  <w:style w:type="character" w:customStyle="1" w:styleId="platne1">
    <w:name w:val="platne1"/>
    <w:uiPriority w:val="99"/>
    <w:qFormat/>
    <w:rsid w:val="00C67395"/>
    <w:rPr>
      <w:rFonts w:ascii="Times New Roman" w:hAnsi="Times New Roman" w:cs="Times New Roman"/>
    </w:rPr>
  </w:style>
  <w:style w:type="character" w:customStyle="1" w:styleId="ZhlavChar">
    <w:name w:val="Záhlaví Char"/>
    <w:link w:val="Zhlav"/>
    <w:uiPriority w:val="99"/>
    <w:qFormat/>
    <w:locked/>
    <w:rsid w:val="00E903CD"/>
    <w:rPr>
      <w:rFonts w:cs="Times New Roman"/>
    </w:rPr>
  </w:style>
  <w:style w:type="character" w:customStyle="1" w:styleId="ZpatChar">
    <w:name w:val="Zápatí Char"/>
    <w:link w:val="Zpat"/>
    <w:uiPriority w:val="99"/>
    <w:qFormat/>
    <w:locked/>
    <w:rsid w:val="00E903CD"/>
    <w:rPr>
      <w:rFonts w:cs="Times New Roman"/>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eastAsia="Times New Roman" w:cs="Times New Roman"/>
      <w:b w:val="0"/>
      <w:sz w:val="22"/>
      <w:szCs w:val="22"/>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hAnsi="Times New Roman" w:cs="Times New Roman"/>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ascii="Times New Roman" w:hAnsi="Times New Roman"/>
      <w:i/>
      <w:sz w:val="24"/>
    </w:rPr>
  </w:style>
  <w:style w:type="character" w:customStyle="1" w:styleId="ListLabel29">
    <w:name w:val="ListLabel 29"/>
    <w:qFormat/>
    <w:rPr>
      <w:rFonts w:ascii="Times New Roman" w:hAnsi="Times New Roman" w:cs="Times New Roman"/>
      <w:sz w:val="24"/>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ascii="Times New Roman" w:hAnsi="Times New Roman"/>
      <w:i/>
      <w:sz w:val="24"/>
    </w:rPr>
  </w:style>
  <w:style w:type="character" w:customStyle="1" w:styleId="ListLabel39">
    <w:name w:val="ListLabel 39"/>
    <w:qFormat/>
    <w:rPr>
      <w:rFonts w:ascii="Times New Roman" w:hAnsi="Times New Roman" w:cs="Times New Roman"/>
      <w:sz w:val="24"/>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Times New Roman" w:hAnsi="Times New Roman"/>
      <w:i/>
      <w:sz w:val="24"/>
    </w:rPr>
  </w:style>
  <w:style w:type="character" w:customStyle="1" w:styleId="ListLabel49">
    <w:name w:val="ListLabel 49"/>
    <w:qFormat/>
    <w:rPr>
      <w:rFonts w:ascii="Times New Roman" w:hAnsi="Times New Roman" w:cs="Times New Roman"/>
      <w:sz w:val="24"/>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ascii="Times New Roman" w:hAnsi="Times New Roman"/>
      <w:i/>
      <w:sz w:val="24"/>
    </w:rPr>
  </w:style>
  <w:style w:type="character" w:customStyle="1" w:styleId="ListLabel59">
    <w:name w:val="ListLabel 59"/>
    <w:qFormat/>
    <w:rPr>
      <w:rFonts w:ascii="Times New Roman" w:hAnsi="Times New Roman" w:cs="Times New Roman"/>
      <w:sz w:val="24"/>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ascii="Times New Roman" w:hAnsi="Times New Roman"/>
      <w:i/>
      <w:sz w:val="24"/>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99"/>
    <w:qFormat/>
    <w:rsid w:val="002E3A1B"/>
    <w:pPr>
      <w:ind w:left="720"/>
      <w:contextualSpacing/>
    </w:pPr>
  </w:style>
  <w:style w:type="paragraph" w:styleId="Zkladntext3">
    <w:name w:val="Body Text 3"/>
    <w:basedOn w:val="Normln"/>
    <w:link w:val="Zkladntext3Char"/>
    <w:uiPriority w:val="99"/>
    <w:semiHidden/>
    <w:qFormat/>
    <w:rsid w:val="00C67395"/>
    <w:pPr>
      <w:spacing w:after="120" w:line="240" w:lineRule="auto"/>
    </w:pPr>
    <w:rPr>
      <w:rFonts w:ascii="Times New Roman" w:eastAsia="Times New Roman" w:hAnsi="Times New Roman"/>
      <w:sz w:val="16"/>
      <w:szCs w:val="16"/>
      <w:lang w:eastAsia="cs-CZ"/>
    </w:rPr>
  </w:style>
  <w:style w:type="paragraph" w:customStyle="1" w:styleId="Text">
    <w:name w:val="Text"/>
    <w:basedOn w:val="Normln"/>
    <w:uiPriority w:val="99"/>
    <w:qFormat/>
    <w:rsid w:val="00EC5715"/>
    <w:pPr>
      <w:tabs>
        <w:tab w:val="left" w:pos="227"/>
      </w:tabs>
      <w:spacing w:after="0" w:line="220" w:lineRule="exact"/>
      <w:jc w:val="both"/>
    </w:pPr>
    <w:rPr>
      <w:rFonts w:ascii="Book Antiqua" w:eastAsia="Times New Roman" w:hAnsi="Book Antiqua"/>
      <w:color w:val="000000"/>
      <w:sz w:val="18"/>
      <w:szCs w:val="20"/>
      <w:lang w:val="en-US" w:eastAsia="cs-CZ"/>
    </w:rPr>
  </w:style>
  <w:style w:type="paragraph" w:styleId="Zhlav">
    <w:name w:val="header"/>
    <w:basedOn w:val="Normln"/>
    <w:link w:val="ZhlavChar"/>
    <w:uiPriority w:val="99"/>
    <w:rsid w:val="00E903CD"/>
    <w:pPr>
      <w:tabs>
        <w:tab w:val="center" w:pos="4536"/>
        <w:tab w:val="right" w:pos="9072"/>
      </w:tabs>
      <w:spacing w:after="0" w:line="240" w:lineRule="auto"/>
    </w:pPr>
  </w:style>
  <w:style w:type="paragraph" w:styleId="Zpat">
    <w:name w:val="footer"/>
    <w:basedOn w:val="Normln"/>
    <w:link w:val="ZpatChar"/>
    <w:uiPriority w:val="99"/>
    <w:rsid w:val="00E903CD"/>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4171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Česák Jan</dc:creator>
  <dc:description/>
  <cp:lastModifiedBy>Heřmanová Pavla</cp:lastModifiedBy>
  <cp:revision>3</cp:revision>
  <dcterms:created xsi:type="dcterms:W3CDTF">2017-12-06T16:38:00Z</dcterms:created>
  <dcterms:modified xsi:type="dcterms:W3CDTF">2017-12-06T16:39:00Z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