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99" w:rsidRDefault="0068515E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F99" w:rsidRDefault="0068515E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-24369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D75F99" w:rsidRDefault="0068515E">
      <w:pPr>
        <w:pStyle w:val="Nadpis1"/>
      </w:pPr>
      <w:r>
        <w:t xml:space="preserve">DODATEK </w:t>
      </w:r>
      <w:r>
        <w:t>č</w:t>
      </w:r>
      <w:r>
        <w:t>. 1 k pojistné smlouv</w:t>
      </w:r>
      <w:r>
        <w:t>ě</w:t>
      </w:r>
      <w:r>
        <w:t xml:space="preserve"> </w:t>
      </w:r>
      <w:r>
        <w:t>č</w:t>
      </w:r>
      <w:r>
        <w:t xml:space="preserve">. 2269141761 </w:t>
      </w:r>
    </w:p>
    <w:p w:rsidR="00D75F99" w:rsidRDefault="0068515E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D75F99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F99" w:rsidRDefault="00D75F99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 xml:space="preserve">Kooperativa pojišťovna, a.s., </w:t>
      </w:r>
      <w:proofErr w:type="spellStart"/>
      <w:r>
        <w:rPr>
          <w:rFonts w:ascii="Arial" w:eastAsia="Arial" w:hAnsi="Arial" w:cs="Arial"/>
          <w:b/>
          <w:sz w:val="17"/>
        </w:rPr>
        <w:t>Vienna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Insurance</w:t>
      </w:r>
      <w:proofErr w:type="spellEnd"/>
      <w:r>
        <w:rPr>
          <w:rFonts w:ascii="Arial" w:eastAsia="Arial" w:hAnsi="Arial" w:cs="Arial"/>
          <w:b/>
          <w:sz w:val="17"/>
        </w:rPr>
        <w:t xml:space="preserve"> Group, sídlo Pobřežní 665/21, 186 00 Praha 8, Č</w:t>
      </w:r>
      <w:r>
        <w:rPr>
          <w:rFonts w:ascii="Arial" w:eastAsia="Arial" w:hAnsi="Arial" w:cs="Arial"/>
          <w:b/>
          <w:sz w:val="17"/>
        </w:rPr>
        <w:t xml:space="preserve">eská republika, IČ:47116617, zapsaná v obchodním rejstříku u Městského soudu v Praze, </w:t>
      </w:r>
      <w:proofErr w:type="spellStart"/>
      <w:r>
        <w:rPr>
          <w:rFonts w:ascii="Arial" w:eastAsia="Arial" w:hAnsi="Arial" w:cs="Arial"/>
          <w:b/>
          <w:sz w:val="17"/>
        </w:rPr>
        <w:t>sp</w:t>
      </w:r>
      <w:proofErr w:type="spellEnd"/>
      <w:r>
        <w:rPr>
          <w:rFonts w:ascii="Arial" w:eastAsia="Arial" w:hAnsi="Arial" w:cs="Arial"/>
          <w:b/>
          <w:sz w:val="17"/>
        </w:rPr>
        <w:t>. zn. B 1897</w:t>
      </w:r>
    </w:p>
    <w:p w:rsidR="00D75F99" w:rsidRDefault="0068515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35" w:hanging="250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D75F99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68515E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5F99" w:rsidRDefault="0068515E">
            <w:pPr>
              <w:numPr>
                <w:ilvl w:val="0"/>
                <w:numId w:val="3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D75F99" w:rsidRDefault="0068515E">
            <w:pPr>
              <w:numPr>
                <w:ilvl w:val="0"/>
                <w:numId w:val="3"/>
              </w:numPr>
              <w:spacing w:after="190" w:line="324" w:lineRule="auto"/>
              <w:ind w:right="209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JednajícíAdresa</w:t>
            </w:r>
            <w:proofErr w:type="spellEnd"/>
            <w:r>
              <w:rPr>
                <w:rFonts w:ascii="Arial" w:eastAsia="Arial" w:hAnsi="Arial" w:cs="Arial"/>
                <w:sz w:val="13"/>
              </w:rPr>
              <w:t>:</w:t>
            </w:r>
          </w:p>
          <w:p w:rsidR="00D75F99" w:rsidRDefault="0068515E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D75F99" w:rsidRDefault="0068515E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D75F99" w:rsidRDefault="0068515E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D75F99" w:rsidRDefault="0068515E">
            <w:pPr>
              <w:spacing w:after="166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Kralovy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Vary, 36001</w: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75F99" w:rsidRDefault="0068515E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D75F99" w:rsidRDefault="0068515E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75F99" w:rsidRDefault="0068515E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D75F99" w:rsidRDefault="0068515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35" w:hanging="250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D75F99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75F99" w:rsidRDefault="00D75F99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5F99" w:rsidRDefault="0068515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68515E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D75F99" w:rsidRDefault="0068515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35" w:hanging="250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D75F99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D75F99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5F99" w:rsidRDefault="0068515E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2"/>
              <w:jc w:val="center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Pojištení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D75F99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75F99" w:rsidRDefault="0068515E">
            <w:pPr>
              <w:tabs>
                <w:tab w:val="center" w:pos="2954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</w:t>
            </w:r>
            <w:r>
              <w:rPr>
                <w:rFonts w:ascii="Arial" w:eastAsia="Arial" w:hAnsi="Arial" w:cs="Arial"/>
                <w:sz w:val="13"/>
              </w:rPr>
              <w:t>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1.7.2015 00:01</w:t>
            </w:r>
          </w:p>
        </w:tc>
      </w:tr>
    </w:tbl>
    <w:p w:rsidR="00D75F99" w:rsidRDefault="0068515E">
      <w:pPr>
        <w:spacing w:after="190"/>
        <w:ind w:left="-38" w:right="-13"/>
      </w:pPr>
      <w:r>
        <w:rPr>
          <w:noProof/>
        </w:rPr>
        <mc:AlternateContent>
          <mc:Choice Requires="wpg">
            <w:drawing>
              <wp:inline distT="0" distB="0" distL="0" distR="0">
                <wp:extent cx="6856476" cy="1251347"/>
                <wp:effectExtent l="0" t="0" r="0" b="0"/>
                <wp:docPr id="11011" name="Group 1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476" cy="1251347"/>
                          <a:chOff x="0" y="0"/>
                          <a:chExt cx="6856476" cy="1251347"/>
                        </a:xfrm>
                      </wpg:grpSpPr>
                      <wps:wsp>
                        <wps:cNvPr id="164" name="Rectangle 164"/>
                        <wps:cNvSpPr/>
                        <wps:spPr>
                          <a:xfrm>
                            <a:off x="24384" y="23118"/>
                            <a:ext cx="987989" cy="151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5F99" w:rsidRDefault="006851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9"/>
                                </w:rPr>
                                <w:t>E. POPIS ZM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66572" y="0"/>
                            <a:ext cx="109445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5F99" w:rsidRDefault="006851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9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848868" y="23118"/>
                            <a:ext cx="118469" cy="151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5F99" w:rsidRDefault="006851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215375"/>
                            <a:ext cx="6856476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76" h="822960">
                                <a:moveTo>
                                  <a:pt x="0" y="822960"/>
                                </a:moveTo>
                                <a:lnTo>
                                  <a:pt x="6856476" y="822960"/>
                                </a:lnTo>
                                <a:lnTo>
                                  <a:pt x="6856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4384" y="1137162"/>
                            <a:ext cx="1889968" cy="1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5F99" w:rsidRDefault="006851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9"/>
                                </w:rPr>
                                <w:t>F. ÚDAJE O POJISTNÉM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11" style="width:539.88pt;height:98.5313pt;mso-position-horizontal-relative:char;mso-position-vertical-relative:line" coordsize="68564,12513">
                <v:rect id="Rectangle 164" style="position:absolute;width:9879;height:1518;left:243;top: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9"/>
                          </w:rPr>
                          <w:t xml:space="preserve">E. POPIS ZM</w:t>
                        </w:r>
                      </w:p>
                    </w:txbxContent>
                  </v:textbox>
                </v:rect>
                <v:rect id="Rectangle 165" style="position:absolute;width:1094;height:1834;left:76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9"/>
                          </w:rPr>
                          <w:t xml:space="preserve">Ě</w:t>
                        </w:r>
                      </w:p>
                    </w:txbxContent>
                  </v:textbox>
                </v:rect>
                <v:rect id="Rectangle 166" style="position:absolute;width:1184;height:1518;left:8488;top: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9"/>
                          </w:rPr>
                          <w:t xml:space="preserve">N</w:t>
                        </w:r>
                      </w:p>
                    </w:txbxContent>
                  </v:textbox>
                </v:rect>
                <v:shape id="Shape 167" style="position:absolute;width:68564;height:8229;left:0;top:2153;" coordsize="6856476,822960" path="m0,822960l6856476,822960l6856476,0l0,0x">
                  <v:stroke weight="0.12pt" endcap="round" joinstyle="round" on="true" color="#000000"/>
                  <v:fill on="false" color="#000000" opacity="0"/>
                </v:shape>
                <v:rect id="Rectangle 170" style="position:absolute;width:18899;height:1518;left:243;top:1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9"/>
                          </w:rPr>
                          <w:t xml:space="preserve">F. ÚDAJE O POJISTNÉM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232"/>
          <w:tab w:val="center" w:pos="7166"/>
          <w:tab w:val="center" w:pos="9106"/>
        </w:tabs>
        <w:spacing w:after="17" w:line="265" w:lineRule="auto"/>
        <w:ind w:left="-15"/>
      </w:pPr>
      <w:r>
        <w:rPr>
          <w:rFonts w:ascii="Arial" w:eastAsia="Arial" w:hAnsi="Arial" w:cs="Arial"/>
          <w:sz w:val="13"/>
        </w:rPr>
        <w:t>Pojistné období: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6 měsíců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3"/>
        </w:rPr>
        <w:t>Roční pojistné (A) za dodatek: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0 Kč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117"/>
          <w:tab w:val="center" w:pos="6979"/>
          <w:tab w:val="center" w:pos="9174"/>
        </w:tabs>
        <w:spacing w:after="17" w:line="265" w:lineRule="auto"/>
        <w:ind w:left="-15"/>
      </w:pPr>
      <w:r>
        <w:rPr>
          <w:rFonts w:ascii="Arial" w:eastAsia="Arial" w:hAnsi="Arial" w:cs="Arial"/>
          <w:sz w:val="13"/>
        </w:rPr>
        <w:t>Frekvenční sleva: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3,0 %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3"/>
        </w:rPr>
        <w:t>Sleva za škodný průběh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20,0 %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154"/>
          <w:tab w:val="center" w:pos="7401"/>
          <w:tab w:val="center" w:pos="9106"/>
        </w:tabs>
        <w:spacing w:after="17" w:line="265" w:lineRule="auto"/>
        <w:ind w:left="-15"/>
      </w:pPr>
      <w:r>
        <w:rPr>
          <w:rFonts w:ascii="Arial" w:eastAsia="Arial" w:hAnsi="Arial" w:cs="Arial"/>
          <w:sz w:val="13"/>
        </w:rPr>
        <w:t>Množstevní sleva: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10,0 %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3"/>
        </w:rPr>
        <w:t>Celkové roč</w:t>
      </w:r>
      <w:r>
        <w:rPr>
          <w:rFonts w:ascii="Arial" w:eastAsia="Arial" w:hAnsi="Arial" w:cs="Arial"/>
          <w:sz w:val="13"/>
        </w:rPr>
        <w:t>ní pojistné (A) za dodatek: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0 Kč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154"/>
          <w:tab w:val="center" w:pos="7401"/>
          <w:tab w:val="center" w:pos="9106"/>
        </w:tabs>
        <w:spacing w:after="17" w:line="265" w:lineRule="auto"/>
        <w:ind w:left="-15"/>
      </w:pPr>
      <w:r>
        <w:rPr>
          <w:rFonts w:ascii="Arial" w:eastAsia="Arial" w:hAnsi="Arial" w:cs="Arial"/>
          <w:sz w:val="13"/>
        </w:rPr>
        <w:t>Obchodní sleva: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15,0 %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3"/>
        </w:rPr>
        <w:t>Celkové roční pojistné (B) za dodatek: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0 Kč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075"/>
          <w:tab w:val="center" w:pos="7292"/>
          <w:tab w:val="center" w:pos="9106"/>
        </w:tabs>
        <w:spacing w:after="17" w:line="265" w:lineRule="auto"/>
        <w:ind w:left="-15"/>
      </w:pPr>
      <w:r>
        <w:rPr>
          <w:rFonts w:ascii="Arial" w:eastAsia="Arial" w:hAnsi="Arial" w:cs="Arial"/>
          <w:sz w:val="13"/>
        </w:rPr>
        <w:t>Sleva celkem (</w:t>
      </w:r>
      <w:proofErr w:type="spellStart"/>
      <w:r>
        <w:rPr>
          <w:rFonts w:ascii="Arial" w:eastAsia="Arial" w:hAnsi="Arial" w:cs="Arial"/>
          <w:sz w:val="13"/>
        </w:rPr>
        <w:t>koef</w:t>
      </w:r>
      <w:proofErr w:type="spellEnd"/>
      <w:r>
        <w:rPr>
          <w:rFonts w:ascii="Arial" w:eastAsia="Arial" w:hAnsi="Arial" w:cs="Arial"/>
          <w:sz w:val="13"/>
        </w:rPr>
        <w:t>.):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0,72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sz w:val="13"/>
        </w:rPr>
        <w:t>Celkové roční pojistné za dodatek: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>0 Kč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7"/>
        <w:ind w:left="-15"/>
      </w:pPr>
      <w:r>
        <w:rPr>
          <w:rFonts w:ascii="Arial" w:eastAsia="Arial" w:hAnsi="Arial" w:cs="Arial"/>
          <w:sz w:val="13"/>
        </w:rPr>
        <w:t xml:space="preserve"> 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 xml:space="preserve"> 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5681"/>
        </w:tabs>
        <w:spacing w:after="17" w:line="265" w:lineRule="auto"/>
        <w:ind w:left="-15"/>
      </w:pPr>
      <w:r>
        <w:rPr>
          <w:rFonts w:ascii="Arial" w:eastAsia="Arial" w:hAnsi="Arial" w:cs="Arial"/>
          <w:sz w:val="13"/>
        </w:rPr>
        <w:t xml:space="preserve">Produkční pojistné (A) za dodatek celkem činí:  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 xml:space="preserve">0 Kč 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5681"/>
        </w:tabs>
        <w:spacing w:after="1240" w:line="265" w:lineRule="auto"/>
        <w:ind w:left="-15"/>
      </w:pPr>
      <w:r>
        <w:rPr>
          <w:rFonts w:ascii="Arial" w:eastAsia="Arial" w:hAnsi="Arial" w:cs="Arial"/>
          <w:sz w:val="13"/>
        </w:rPr>
        <w:t>Produkč</w:t>
      </w:r>
      <w:r>
        <w:rPr>
          <w:rFonts w:ascii="Arial" w:eastAsia="Arial" w:hAnsi="Arial" w:cs="Arial"/>
          <w:sz w:val="13"/>
        </w:rPr>
        <w:t xml:space="preserve">ní pojistné (B) za dodatek celkem činí: 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b/>
          <w:sz w:val="13"/>
        </w:rPr>
        <w:t xml:space="preserve">0 Kč 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1"/>
        <w:ind w:left="-15"/>
      </w:pP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b/>
          <w:sz w:val="17"/>
        </w:rPr>
        <w:tab/>
        <w:t xml:space="preserve"> </w:t>
      </w:r>
    </w:p>
    <w:p w:rsidR="00D75F99" w:rsidRDefault="0068515E">
      <w:pPr>
        <w:pStyle w:val="Nadpis2"/>
        <w:tabs>
          <w:tab w:val="center" w:pos="6767"/>
        </w:tabs>
        <w:spacing w:after="177" w:line="259" w:lineRule="auto"/>
        <w:ind w:left="-15" w:right="0"/>
      </w:pPr>
      <w:r>
        <w:lastRenderedPageBreak/>
        <w:t>Produk</w:t>
      </w:r>
      <w:r>
        <w:t>č</w:t>
      </w:r>
      <w:r>
        <w:t>ní pojistné za zm</w:t>
      </w:r>
      <w:r>
        <w:t>ě</w:t>
      </w:r>
      <w:r>
        <w:t xml:space="preserve">ny sjednané tímto dodatkem </w:t>
      </w:r>
      <w:r>
        <w:t>č</w:t>
      </w:r>
      <w:r>
        <w:t>iní:</w:t>
      </w:r>
      <w:r>
        <w:tab/>
        <w:t>0 K</w:t>
      </w:r>
      <w:r>
        <w:t>č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7" w:line="265" w:lineRule="auto"/>
        <w:ind w:left="-5" w:hanging="10"/>
      </w:pPr>
      <w:r>
        <w:rPr>
          <w:rFonts w:ascii="Arial" w:eastAsia="Arial" w:hAnsi="Arial" w:cs="Arial"/>
          <w:sz w:val="13"/>
        </w:rPr>
        <w:t>Po zohlednění změn v pojištění tímto dodatkem nevznikl přeplatek ani nedoplatek pojistného. Pojistné za tento dodatek je ve výši 0 Kč</w:t>
      </w:r>
      <w:r>
        <w:rPr>
          <w:rFonts w:ascii="Arial" w:eastAsia="Arial" w:hAnsi="Arial" w:cs="Arial"/>
          <w:sz w:val="13"/>
        </w:rPr>
        <w:t xml:space="preserve">. Celkové roční pojistné zůstává beze změn. </w:t>
      </w:r>
    </w:p>
    <w:p w:rsidR="00D75F99" w:rsidRDefault="0068515E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D75F99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numPr>
                <w:ilvl w:val="0"/>
                <w:numId w:val="4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Návrh pojistitele na uzavření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>) musí být pojistníkem přijat ve lhůtě stanovené pojistitelem, a není-li taková lhůta stanovena, pak do jednoho měsíce ode dne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doručení nabídky pojistníkovi. Odpověď s dodatkem nebo odchylkou od nabídky se nepovažuje za její přijetí, a to ani v případě, že se takovou odchylkou podstatně nemění podmínky nabídky. </w:t>
            </w:r>
          </w:p>
          <w:p w:rsidR="00D75F99" w:rsidRDefault="0068515E">
            <w:pPr>
              <w:numPr>
                <w:ilvl w:val="0"/>
                <w:numId w:val="4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>Pojistná smlouva je vyhotovena ve třech stejnopisech. Pojistník ob</w:t>
            </w:r>
            <w:r>
              <w:rPr>
                <w:rFonts w:ascii="Arial" w:eastAsia="Arial" w:hAnsi="Arial" w:cs="Arial"/>
                <w:sz w:val="12"/>
              </w:rPr>
              <w:t xml:space="preserve">drží jeden stejnopis, pojistitel si ponechá dva stejnopisy.  </w:t>
            </w:r>
          </w:p>
          <w:p w:rsidR="00D75F99" w:rsidRDefault="0068515E">
            <w:pPr>
              <w:numPr>
                <w:ilvl w:val="0"/>
                <w:numId w:val="4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 xml:space="preserve">Množstevní sleva pro další pojistný rok se mění k výročnímu dni, a to na základě aktuálního počtu pojištěných vozidel. Výše slevy je určena sazebníkem 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>poji</w:t>
            </w:r>
            <w:r>
              <w:rPr>
                <w:rFonts w:ascii="Arial" w:eastAsia="Arial" w:hAnsi="Arial" w:cs="Arial"/>
                <w:sz w:val="12"/>
              </w:rPr>
              <w:t xml:space="preserve">stné smlouvy. </w:t>
            </w:r>
          </w:p>
          <w:p w:rsidR="00D75F99" w:rsidRDefault="0068515E">
            <w:pPr>
              <w:numPr>
                <w:ilvl w:val="0"/>
                <w:numId w:val="4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 xml:space="preserve">Územní platnost hlavního pojištění je uvedena u každého z vozidel pojištěných v této pojistné smlouvě. Územní platnost doplňkových pojištění nestandardní výbavy, skel vozidla, zavazadel,  úrazu a strojů je shodná s územní platností hlavního </w:t>
            </w:r>
            <w:r>
              <w:rPr>
                <w:rFonts w:ascii="Arial" w:eastAsia="Arial" w:hAnsi="Arial" w:cs="Arial"/>
                <w:sz w:val="12"/>
              </w:rPr>
              <w:t xml:space="preserve">pojištění příslušného vozidla. Územní platnost doplňkového pojištění dopravy je uvedena u příslušného vozidla v údajích o tomto  doplňkovém pojištění. </w:t>
            </w:r>
          </w:p>
          <w:p w:rsidR="00D75F99" w:rsidRDefault="0068515E">
            <w:pPr>
              <w:numPr>
                <w:ilvl w:val="0"/>
                <w:numId w:val="4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>Dohodnuté způsoby zabezpečení vozidla se vztahují na všechna vozidla uvedená v pojistné smlouvě</w:t>
            </w:r>
            <w:r>
              <w:rPr>
                <w:rFonts w:ascii="Arial" w:eastAsia="Arial" w:hAnsi="Arial" w:cs="Arial"/>
                <w:sz w:val="12"/>
              </w:rPr>
              <w:t xml:space="preserve">. Dohodnutý způsob zabezpečení je uveden v pojistné smlouvě pomocí prvního písmene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 kódu koeficientu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imobilizérem nebo zabezpečovacím z</w:t>
            </w:r>
            <w:r>
              <w:rPr>
                <w:rFonts w:ascii="Arial" w:eastAsia="Arial" w:hAnsi="Arial" w:cs="Arial"/>
                <w:sz w:val="12"/>
              </w:rPr>
              <w:t xml:space="preserve">ařízením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schopným vysílat poplachové zprávy nebo mechanickým uzamykatelným zařízením blokujícím řadící páku nebo převodovku nebo dodatečně uzamykatelné mechanické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>volantu pevně spojené s karosérií vozidla. V případě motocyklu,</w:t>
            </w:r>
            <w:r>
              <w:rPr>
                <w:rFonts w:ascii="Arial" w:eastAsia="Arial" w:hAnsi="Arial" w:cs="Arial"/>
                <w:sz w:val="12"/>
              </w:rPr>
              <w:t xml:space="preserve"> tříkolky, čtyřkolky či sněžného skútru se jedná o zabezpečení "U" zámkem (průměr tyče min. 13 mm) nebo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>brzdy (o průměru min. 10 mm) nebo řetězovým zámkem (u řetězu i zámku průměr min. 10 mm) nebo kroužkovým zámkem (o průměru min. 27 mm)</w:t>
            </w:r>
            <w:r>
              <w:rPr>
                <w:rFonts w:ascii="Arial" w:eastAsia="Arial" w:hAnsi="Arial" w:cs="Arial"/>
                <w:sz w:val="12"/>
              </w:rPr>
              <w:t xml:space="preserve"> nebo lanovým zámkem (o průměru min. </w:t>
            </w:r>
          </w:p>
          <w:p w:rsidR="00D75F99" w:rsidRDefault="0068515E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uzamčeno, zabezpečeno kombinací nejméně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>zabezpečovacím zařízením napojeným na centrální dispeč</w:t>
            </w:r>
            <w:r>
              <w:rPr>
                <w:rFonts w:ascii="Arial" w:eastAsia="Arial" w:hAnsi="Arial" w:cs="Arial"/>
                <w:sz w:val="12"/>
              </w:rPr>
              <w:t xml:space="preserve">erské pracoviště (pult centrální ochrany). 6. Škodnou událost lze oznámit:  </w:t>
            </w:r>
          </w:p>
          <w:p w:rsidR="00D75F99" w:rsidRDefault="0068515E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a)  telefonicky prostřednictvím linky pojistitele č. 841 105 105 nebo elektronicky prostřednictvím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b)  osobně na kterémkoli obchodním místě pojistitele;  </w:t>
            </w:r>
          </w:p>
          <w:p w:rsidR="00D75F99" w:rsidRDefault="0068515E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>c)  pí</w:t>
            </w:r>
            <w:r>
              <w:rPr>
                <w:rFonts w:ascii="Arial" w:eastAsia="Arial" w:hAnsi="Arial" w:cs="Arial"/>
                <w:sz w:val="12"/>
              </w:rPr>
              <w:t>semně na adresu: Kooperativa pojišťovna, a.s., VIG; Centrum zákaznické podpory, Brněnská 634, 664 42 Modřice.</w:t>
            </w:r>
          </w:p>
        </w:tc>
      </w:tr>
    </w:tbl>
    <w:p w:rsidR="00D75F99" w:rsidRDefault="0068515E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D75F99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numPr>
                <w:ilvl w:val="0"/>
                <w:numId w:val="5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potvrzuje, že před uzavřením pojistné smlouvy převzal v listinné nebo, s jeho souhlasem, v jiné textové podobě</w:t>
            </w:r>
            <w:r>
              <w:rPr>
                <w:rFonts w:ascii="Arial" w:eastAsia="Arial" w:hAnsi="Arial" w:cs="Arial"/>
                <w:sz w:val="12"/>
              </w:rPr>
              <w:t xml:space="preserve">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seznámil se s nimi. Pojistník si je vědom, že se jedná o důležité informace, které mu napomohou porozumět podmínkám sjednávaného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>pojiš</w:t>
            </w:r>
            <w:r>
              <w:rPr>
                <w:rFonts w:ascii="Arial" w:eastAsia="Arial" w:hAnsi="Arial" w:cs="Arial"/>
                <w:sz w:val="12"/>
              </w:rPr>
              <w:t xml:space="preserve">tění i významná ustanovení pojistných podmínek.  </w:t>
            </w:r>
          </w:p>
          <w:p w:rsidR="00D75F99" w:rsidRDefault="0068515E">
            <w:pPr>
              <w:numPr>
                <w:ilvl w:val="0"/>
                <w:numId w:val="5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dále potvrzuje, že před uzavřením pojistné smlouvy převzal v listinné nebo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>v oddílu D. VŠEOBECNÉ Ú</w:t>
            </w:r>
            <w:r>
              <w:rPr>
                <w:rFonts w:ascii="Arial" w:eastAsia="Arial" w:hAnsi="Arial" w:cs="Arial"/>
                <w:sz w:val="12"/>
              </w:rPr>
              <w:t xml:space="preserve">DAJE O POJIŠTĚNÍ a seznámil se s nimi. Pojistník si je vědom, že tyto dokumenty tvoří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  <w:t>jeho omezení (včetně výluk), práva a povinnosti účastníků pojištění a následky jejich porušení a další po</w:t>
            </w:r>
            <w:r>
              <w:rPr>
                <w:rFonts w:ascii="Arial" w:eastAsia="Arial" w:hAnsi="Arial" w:cs="Arial"/>
                <w:sz w:val="12"/>
              </w:rPr>
              <w:t xml:space="preserve">dmínky pojištění a pojistník je jimi vázán stejně jako pojistnou smlouvou.  </w:t>
            </w:r>
          </w:p>
          <w:p w:rsidR="00D75F99" w:rsidRDefault="0068515E">
            <w:pPr>
              <w:numPr>
                <w:ilvl w:val="0"/>
                <w:numId w:val="5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má pojistný zájem na pojištění pojištěného, pokud je osobou od něj odlišnou.  </w:t>
            </w:r>
          </w:p>
          <w:p w:rsidR="00D75F99" w:rsidRDefault="0068515E">
            <w:pPr>
              <w:numPr>
                <w:ilvl w:val="0"/>
                <w:numId w:val="5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potvrzuje, že adresa jeho trvalého pobytu/bydliště či sídla a kon</w:t>
            </w:r>
            <w:r>
              <w:rPr>
                <w:rFonts w:ascii="Arial" w:eastAsia="Arial" w:hAnsi="Arial" w:cs="Arial"/>
                <w:sz w:val="12"/>
              </w:rPr>
              <w:t xml:space="preserve">takty elektronické komunikace uvedené v této pojistné smlouvě jsou aktuální, 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>jejich rozporu s jinými údaji uvedenými v dříve uzavřených pojistných smlouvách, ve kterých je pojistníkem nebo pojištěným, využívány i</w:t>
            </w:r>
            <w:r>
              <w:rPr>
                <w:rFonts w:ascii="Arial" w:eastAsia="Arial" w:hAnsi="Arial" w:cs="Arial"/>
                <w:sz w:val="12"/>
              </w:rPr>
              <w:t xml:space="preserve">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>pojistník souhlasí i pro případ, kdy pojistiteli oznámí změnu adresy trvalého pobytu/bydliště či sídla nebo kontaktů elektronické komunikace v době trvání této pojistné smlouvy.  5. Pojistník souhlas</w:t>
            </w:r>
            <w:r>
              <w:rPr>
                <w:rFonts w:ascii="Arial" w:eastAsia="Arial" w:hAnsi="Arial" w:cs="Arial"/>
                <w:sz w:val="12"/>
              </w:rPr>
              <w:t xml:space="preserve">í, aby pojistitel předával jeho osobní údaje členům pojišťovací skupiny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Vienna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Insurance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D75F99" w:rsidRDefault="0068515E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>Pojistník dále souhlasí, aby pojistitel i spřízněné osoby používali jeho osobní údaje, v</w:t>
            </w:r>
            <w:r>
              <w:rPr>
                <w:rFonts w:ascii="Arial" w:eastAsia="Arial" w:hAnsi="Arial" w:cs="Arial"/>
                <w:sz w:val="12"/>
              </w:rPr>
              <w:t xml:space="preserve">četně kontaktů pro elektronickou komunikaci, za účelem zasílání svých obchodních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D75F99" w:rsidRDefault="0068515E">
            <w:pPr>
              <w:numPr>
                <w:ilvl w:val="0"/>
                <w:numId w:val="6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>Pojistník prohlašuje, že pojišťované vozidlo je v dobrém technickém stavu a nepoškozeno (není-li v příloze k této pojistné smlouvě u</w:t>
            </w:r>
            <w:r>
              <w:rPr>
                <w:rFonts w:ascii="Arial" w:eastAsia="Arial" w:hAnsi="Arial" w:cs="Arial"/>
                <w:sz w:val="12"/>
              </w:rPr>
              <w:t xml:space="preserve">vedeno jinak).  </w:t>
            </w:r>
          </w:p>
          <w:p w:rsidR="00D75F99" w:rsidRDefault="0068515E">
            <w:pPr>
              <w:numPr>
                <w:ilvl w:val="0"/>
                <w:numId w:val="6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této pojistné smlouvě nejsou pojištěny proti stejným nebezpečím u jiného pojistitele (není-li v oddílu I této pojistné smlouvy uvedeno jinak); </w:t>
            </w:r>
          </w:p>
          <w:p w:rsidR="00D75F99" w:rsidRDefault="0068515E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</w:t>
            </w:r>
            <w:r>
              <w:rPr>
                <w:rFonts w:ascii="Arial" w:eastAsia="Arial" w:hAnsi="Arial" w:cs="Arial"/>
                <w:sz w:val="12"/>
              </w:rPr>
              <w:t xml:space="preserve">odpovídají skutečnosti a bere na vědomí, že je povinen v průběhu doby trvání pojištění bez zbytečného odkladu pojistiteli oznámit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pravdivě odpověděl na písemné dotazy pojistitele týkající se sjednávaného pojištění a je </w:t>
            </w:r>
            <w:r>
              <w:rPr>
                <w:rFonts w:ascii="Arial" w:eastAsia="Arial" w:hAnsi="Arial" w:cs="Arial"/>
                <w:sz w:val="12"/>
              </w:rPr>
              <w:t xml:space="preserve">si vědom povinnosti v průběhu trvání pojištění bez zbytečného odkladu pojistiteli oznámit všechny případné změny v těchto údajích.  </w:t>
            </w:r>
          </w:p>
        </w:tc>
      </w:tr>
    </w:tbl>
    <w:p w:rsidR="00D75F99" w:rsidRDefault="0068515E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48" w:line="265" w:lineRule="auto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</w:t>
      </w:r>
      <w:r>
        <w:rPr>
          <w:rFonts w:ascii="Arial" w:eastAsia="Arial" w:hAnsi="Arial" w:cs="Arial"/>
          <w:sz w:val="13"/>
        </w:rPr>
        <w:t xml:space="preserve">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D75F99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75F99" w:rsidRDefault="0068515E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30.6.2015</w:t>
            </w:r>
          </w:p>
          <w:p w:rsidR="00D75F99" w:rsidRDefault="0068515E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1605" name="Group 11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05" style="width:72.48pt;height:0.119995pt;mso-position-horizontal-relative:char;mso-position-vertical-relative:line" coordsize="9204,15">
                      <v:shape id="Shape 78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89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2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5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796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7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8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799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0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1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2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75F99" w:rsidRDefault="0068515E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75F99" w:rsidRDefault="0068515E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1618" name="Group 11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18" style="width:117.48pt;height:0.119995pt;mso-position-horizontal-relative:char;mso-position-vertical-relative:line" coordsize="14919,15">
                      <v:shape id="Shape 807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8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9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0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1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2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3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4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5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6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7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8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9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0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1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9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0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75F99" w:rsidRDefault="0068515E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1626" name="Group 11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26" style="width:12.48pt;height:0.12pt;mso-position-horizontal-relative:char;mso-position-vertical-relative:line" coordsize="1584,15">
                      <v:shape id="Shape 83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3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75F99" w:rsidRDefault="0068515E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1630" name="Group 11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30" style="width:57.48pt;height:0.119995pt;mso-position-horizontal-relative:char;mso-position-vertical-relative:line" coordsize="7299,15">
                      <v:shape id="Shape 83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6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5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6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D75F99" w:rsidRDefault="0068515E">
      <w:pPr>
        <w:spacing w:after="15"/>
        <w:jc w:val="both"/>
      </w:pPr>
      <w:r>
        <w:rPr>
          <w:rFonts w:ascii="Arial" w:eastAsia="Arial" w:hAnsi="Arial" w:cs="Arial"/>
          <w:sz w:val="10"/>
        </w:rPr>
        <w:lastRenderedPageBreak/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D75F99" w:rsidRDefault="0068515E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OR:12.8.2015 DT:12.8.2015 Verze:6.9</w:t>
      </w:r>
      <w:r>
        <w:rPr>
          <w:rFonts w:ascii="Arial" w:eastAsia="Arial" w:hAnsi="Arial" w:cs="Arial"/>
          <w:sz w:val="11"/>
        </w:rPr>
        <w:tab/>
        <w:t>Počet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D75F99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D75F99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68</w:t>
            </w:r>
          </w:p>
        </w:tc>
      </w:tr>
      <w:tr w:rsidR="00D75F99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D75F99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  <w:tr w:rsidR="00D75F99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</w:tr>
    </w:tbl>
    <w:p w:rsidR="00D75F99" w:rsidRDefault="0068515E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D75F9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</w:t>
            </w:r>
            <w:r>
              <w:rPr>
                <w:rFonts w:ascii="Arial" w:eastAsia="Arial" w:hAnsi="Arial" w:cs="Arial"/>
                <w:sz w:val="13"/>
              </w:rPr>
              <w:t>edkovatele</w:t>
            </w:r>
          </w:p>
        </w:tc>
      </w:tr>
      <w:tr w:rsidR="00D75F9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</w:tr>
      <w:tr w:rsidR="00D75F9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F99" w:rsidRDefault="00D75F99"/>
        </w:tc>
      </w:tr>
    </w:tbl>
    <w:p w:rsidR="00D75F99" w:rsidRDefault="0068515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098" w:line="265" w:lineRule="auto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D75F99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75F99" w:rsidRDefault="0068515E">
            <w:pPr>
              <w:spacing w:after="67"/>
              <w:ind w:left="10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9017" name="Group 9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17" style="width:67.44pt;height:0.12pt;mso-position-horizontal-relative:char;mso-position-vertical-relative:line" coordsize="8564,15">
                      <v:shape id="Shape 986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87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88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89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0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1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2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3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4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5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6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7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8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999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75F99" w:rsidRDefault="0068515E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75F99" w:rsidRDefault="0068515E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9097" name="Group 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97" style="width:67.56pt;height:0.12pt;mso-position-horizontal-relative:char;mso-position-vertical-relative:line" coordsize="8580,15">
                      <v:shape id="Shape 1001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2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3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4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5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6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7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8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9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0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1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2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3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4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75F99" w:rsidRDefault="0068515E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Podpis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taxátora</w:t>
            </w:r>
            <w:proofErr w:type="spellEnd"/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75F99" w:rsidRDefault="00D75F99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D75F99" w:rsidRDefault="0068515E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9105" name="Group 9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105" style="width:67.44pt;height:0.12pt;mso-position-horizontal-relative:char;mso-position-vertical-relative:line" coordsize="8564,15">
                      <v:shape id="Shape 101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6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7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8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9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0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1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D75F99" w:rsidRDefault="0068515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68515E" w:rsidRDefault="0068515E"/>
    <w:sectPr w:rsidR="0068515E">
      <w:pgSz w:w="11900" w:h="16840"/>
      <w:pgMar w:top="101" w:right="1015" w:bottom="846" w:left="1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29A"/>
    <w:multiLevelType w:val="hybridMultilevel"/>
    <w:tmpl w:val="AB9027D0"/>
    <w:lvl w:ilvl="0" w:tplc="9F8EAD1A">
      <w:start w:val="2"/>
      <w:numFmt w:val="upperLetter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858BB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8E1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68F7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B281D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CE69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521B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46CD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EEAF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E61F5"/>
    <w:multiLevelType w:val="hybridMultilevel"/>
    <w:tmpl w:val="6C7C70D8"/>
    <w:lvl w:ilvl="0" w:tplc="9EB86FB6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0A5CDD74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3606D4C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C3C8678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D2609EA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1806354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71A4DB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ECACAF6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966F92C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D167FC"/>
    <w:multiLevelType w:val="hybridMultilevel"/>
    <w:tmpl w:val="1396E7F8"/>
    <w:lvl w:ilvl="0" w:tplc="B85633E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494760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416CF0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E726E4E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B2C918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E667B92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0884806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1F6F0EE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62A8D92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34B46"/>
    <w:multiLevelType w:val="hybridMultilevel"/>
    <w:tmpl w:val="FB546A38"/>
    <w:lvl w:ilvl="0" w:tplc="4DF8992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730065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1088C20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6AA4F40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4AAD94E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AE6920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B587EC6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C1C8CF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71C39A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964087"/>
    <w:multiLevelType w:val="hybridMultilevel"/>
    <w:tmpl w:val="8E328DF8"/>
    <w:lvl w:ilvl="0" w:tplc="0AA0E264">
      <w:start w:val="7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1A87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CEDB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C2D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3802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5AE5D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28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EE3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98D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4E3702"/>
    <w:multiLevelType w:val="hybridMultilevel"/>
    <w:tmpl w:val="1F7C204A"/>
    <w:lvl w:ilvl="0" w:tplc="2842D36C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918F72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934E05C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2DCD4D8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44ACBA0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6B65846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A4E5A0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FDC1C7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0A8A73C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99"/>
    <w:rsid w:val="0068515E"/>
    <w:rsid w:val="00D75F99"/>
    <w:rsid w:val="00E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5964-7C25-48D2-BC35-1D914F8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9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169" w:line="281" w:lineRule="auto"/>
      <w:ind w:left="195" w:right="220"/>
      <w:outlineLvl w:val="1"/>
    </w:pPr>
    <w:rPr>
      <w:rFonts w:ascii="Arial" w:eastAsia="Arial" w:hAnsi="Arial" w:cs="Arial"/>
      <w:b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7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2017-12-04T09:09:00Z</dcterms:created>
  <dcterms:modified xsi:type="dcterms:W3CDTF">2017-12-04T09:09:00Z</dcterms:modified>
</cp:coreProperties>
</file>