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15" w:rsidRDefault="00AB69D1">
      <w:pPr>
        <w:pStyle w:val="Nadpis1"/>
        <w:spacing w:before="64"/>
      </w:pPr>
      <w:r>
        <w:rPr>
          <w:color w:val="1C1C1C"/>
          <w:w w:val="110"/>
        </w:rPr>
        <w:t>Dodatek č. 1</w:t>
      </w:r>
    </w:p>
    <w:p w:rsidR="00293715" w:rsidRDefault="00AB69D1">
      <w:pPr>
        <w:spacing w:before="26"/>
        <w:ind w:left="331" w:right="260"/>
        <w:jc w:val="center"/>
        <w:rPr>
          <w:b/>
          <w:sz w:val="26"/>
        </w:rPr>
      </w:pPr>
      <w:r>
        <w:rPr>
          <w:b/>
          <w:color w:val="1C1C1C"/>
          <w:w w:val="105"/>
          <w:sz w:val="26"/>
        </w:rPr>
        <w:t>ke Smlouvě o využití výsledků výzkumu a  vývoje</w:t>
      </w:r>
    </w:p>
    <w:p w:rsidR="00293715" w:rsidRDefault="00AB69D1">
      <w:pPr>
        <w:pStyle w:val="Zkladntext"/>
        <w:spacing w:before="11"/>
        <w:ind w:left="331" w:right="266"/>
        <w:jc w:val="center"/>
      </w:pPr>
      <w:r>
        <w:rPr>
          <w:color w:val="1C1C1C"/>
          <w:w w:val="105"/>
        </w:rPr>
        <w:t>dosažených řešením projektu TAČR TA01020352</w:t>
      </w:r>
    </w:p>
    <w:p w:rsidR="00293715" w:rsidRDefault="00293715">
      <w:pPr>
        <w:pStyle w:val="Zkladntext"/>
        <w:rPr>
          <w:sz w:val="17"/>
        </w:rPr>
      </w:pPr>
    </w:p>
    <w:p w:rsidR="00293715" w:rsidRDefault="00AB69D1">
      <w:pPr>
        <w:pStyle w:val="Zkladntext"/>
        <w:spacing w:before="90"/>
        <w:ind w:left="136"/>
        <w:jc w:val="both"/>
      </w:pPr>
      <w:r>
        <w:rPr>
          <w:color w:val="1C1C1C"/>
        </w:rPr>
        <w:t>Smluvní</w:t>
      </w:r>
      <w:r>
        <w:rPr>
          <w:color w:val="1C1C1C"/>
          <w:spacing w:val="55"/>
        </w:rPr>
        <w:t xml:space="preserve"> </w:t>
      </w:r>
      <w:r>
        <w:rPr>
          <w:color w:val="1C1C1C"/>
        </w:rPr>
        <w:t>strany:</w:t>
      </w:r>
    </w:p>
    <w:p w:rsidR="00293715" w:rsidRDefault="00293715">
      <w:pPr>
        <w:pStyle w:val="Zkladntext"/>
        <w:spacing w:before="9"/>
        <w:rPr>
          <w:sz w:val="24"/>
        </w:rPr>
      </w:pPr>
    </w:p>
    <w:p w:rsidR="00293715" w:rsidRDefault="00AB69D1">
      <w:pPr>
        <w:pStyle w:val="Zkladntext"/>
        <w:spacing w:line="252" w:lineRule="auto"/>
        <w:ind w:left="132" w:right="5414" w:hanging="5"/>
      </w:pPr>
      <w:r>
        <w:rPr>
          <w:color w:val="1C1C1C"/>
          <w:w w:val="105"/>
        </w:rPr>
        <w:t xml:space="preserve">Západočeská univerzita </w:t>
      </w:r>
      <w:r>
        <w:rPr>
          <w:color w:val="2D2D2D"/>
          <w:w w:val="105"/>
        </w:rPr>
        <w:t xml:space="preserve">v </w:t>
      </w:r>
      <w:r>
        <w:rPr>
          <w:color w:val="1C1C1C"/>
          <w:w w:val="105"/>
        </w:rPr>
        <w:t>Plzni Fakulta aplikovaných věd</w:t>
      </w:r>
    </w:p>
    <w:p w:rsidR="00293715" w:rsidRDefault="00AB69D1">
      <w:pPr>
        <w:pStyle w:val="Zkladntext"/>
        <w:spacing w:line="252" w:lineRule="auto"/>
        <w:ind w:left="130" w:right="5414" w:hanging="1"/>
      </w:pPr>
      <w:r>
        <w:rPr>
          <w:color w:val="1C1C1C"/>
          <w:w w:val="105"/>
        </w:rPr>
        <w:t>se sídlem Univerzitní 8, 306 14 Plzeň IČ:49777513</w:t>
      </w:r>
    </w:p>
    <w:p w:rsidR="00293715" w:rsidRDefault="00AB69D1">
      <w:pPr>
        <w:pStyle w:val="Zkladntext"/>
        <w:spacing w:line="247" w:lineRule="auto"/>
        <w:ind w:left="126" w:right="1786"/>
      </w:pPr>
      <w:r>
        <w:rPr>
          <w:color w:val="1C1C1C"/>
          <w:w w:val="105"/>
        </w:rPr>
        <w:t>zastoupená: prof RNDr. Tomáš Kaiser, DSc</w:t>
      </w:r>
      <w:r>
        <w:rPr>
          <w:color w:val="3F3F3F"/>
          <w:w w:val="105"/>
        </w:rPr>
        <w:t xml:space="preserve">., </w:t>
      </w:r>
      <w:r>
        <w:rPr>
          <w:color w:val="1C1C1C"/>
          <w:w w:val="105"/>
        </w:rPr>
        <w:t>prorektor pro výzkum a vývoj (dále jen „příjemce")</w:t>
      </w:r>
    </w:p>
    <w:p w:rsidR="00293715" w:rsidRDefault="00293715">
      <w:pPr>
        <w:pStyle w:val="Zkladntext"/>
        <w:spacing w:before="4"/>
        <w:rPr>
          <w:sz w:val="27"/>
        </w:rPr>
      </w:pPr>
    </w:p>
    <w:p w:rsidR="00293715" w:rsidRDefault="00AB69D1">
      <w:pPr>
        <w:ind w:left="128"/>
        <w:jc w:val="both"/>
        <w:rPr>
          <w:rFonts w:ascii="Arial"/>
          <w:sz w:val="20"/>
        </w:rPr>
      </w:pPr>
      <w:r>
        <w:rPr>
          <w:rFonts w:ascii="Arial"/>
          <w:color w:val="1C1C1C"/>
          <w:w w:val="107"/>
          <w:sz w:val="20"/>
        </w:rPr>
        <w:t>a</w:t>
      </w:r>
    </w:p>
    <w:p w:rsidR="00293715" w:rsidRDefault="00293715">
      <w:pPr>
        <w:pStyle w:val="Zkladntext"/>
        <w:spacing w:before="5"/>
        <w:rPr>
          <w:rFonts w:ascii="Arial"/>
          <w:sz w:val="25"/>
        </w:rPr>
      </w:pPr>
    </w:p>
    <w:p w:rsidR="00293715" w:rsidRDefault="00AB69D1">
      <w:pPr>
        <w:pStyle w:val="Zkladntext"/>
        <w:spacing w:line="249" w:lineRule="auto"/>
        <w:ind w:left="119" w:right="5453" w:firstLine="2"/>
        <w:jc w:val="both"/>
      </w:pPr>
      <w:r>
        <w:rPr>
          <w:color w:val="1C1C1C"/>
          <w:w w:val="105"/>
        </w:rPr>
        <w:t>České vysoké učení technické v Praze Fakulta jaderná a</w:t>
      </w:r>
      <w:r>
        <w:rPr>
          <w:color w:val="1C1C1C"/>
          <w:spacing w:val="-45"/>
          <w:w w:val="105"/>
        </w:rPr>
        <w:t xml:space="preserve"> </w:t>
      </w:r>
      <w:r>
        <w:rPr>
          <w:color w:val="1C1C1C"/>
          <w:w w:val="105"/>
        </w:rPr>
        <w:t>fyzikálně inženýrská se sídlem Břehová 7, 115 19 Praha</w:t>
      </w:r>
      <w:r>
        <w:rPr>
          <w:color w:val="1C1C1C"/>
          <w:spacing w:val="-29"/>
          <w:w w:val="105"/>
        </w:rPr>
        <w:t xml:space="preserve"> </w:t>
      </w:r>
      <w:r>
        <w:rPr>
          <w:color w:val="1C1C1C"/>
          <w:w w:val="105"/>
        </w:rPr>
        <w:t>1</w:t>
      </w:r>
    </w:p>
    <w:p w:rsidR="00293715" w:rsidRDefault="00AB69D1">
      <w:pPr>
        <w:pStyle w:val="Zkladntext"/>
        <w:spacing w:line="263" w:lineRule="exact"/>
        <w:ind w:left="125"/>
        <w:jc w:val="both"/>
      </w:pPr>
      <w:r>
        <w:rPr>
          <w:color w:val="1C1C1C"/>
          <w:w w:val="105"/>
        </w:rPr>
        <w:t>IČ: 68407700</w:t>
      </w:r>
    </w:p>
    <w:p w:rsidR="00293715" w:rsidRDefault="00AB69D1">
      <w:pPr>
        <w:pStyle w:val="Zkladntext"/>
        <w:spacing w:before="14" w:line="247" w:lineRule="auto"/>
        <w:ind w:left="121" w:right="4360"/>
      </w:pPr>
      <w:r>
        <w:rPr>
          <w:color w:val="1C1C1C"/>
          <w:w w:val="105"/>
        </w:rPr>
        <w:t>zastoupená: prof</w:t>
      </w:r>
      <w:r>
        <w:rPr>
          <w:color w:val="3F3F3F"/>
          <w:w w:val="105"/>
        </w:rPr>
        <w:t xml:space="preserve">. </w:t>
      </w:r>
      <w:r>
        <w:rPr>
          <w:color w:val="1C1C1C"/>
          <w:w w:val="105"/>
        </w:rPr>
        <w:t>Ing. Igor Jex, DrSc., děkan (dále jen „další účastník projektu")</w:t>
      </w:r>
    </w:p>
    <w:p w:rsidR="00293715" w:rsidRDefault="00293715">
      <w:pPr>
        <w:pStyle w:val="Zkladntext"/>
        <w:spacing w:before="2"/>
        <w:rPr>
          <w:sz w:val="24"/>
        </w:rPr>
      </w:pPr>
    </w:p>
    <w:p w:rsidR="00293715" w:rsidRDefault="00AB69D1">
      <w:pPr>
        <w:pStyle w:val="Zkladntext"/>
        <w:spacing w:line="252" w:lineRule="auto"/>
        <w:ind w:left="331" w:right="326"/>
        <w:jc w:val="center"/>
      </w:pPr>
      <w:r>
        <w:rPr>
          <w:color w:val="1C1C1C"/>
          <w:w w:val="105"/>
        </w:rPr>
        <w:t>uzavírají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tento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dodatek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č.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1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ke</w:t>
      </w:r>
      <w:r>
        <w:rPr>
          <w:color w:val="1C1C1C"/>
          <w:spacing w:val="-21"/>
          <w:w w:val="105"/>
        </w:rPr>
        <w:t xml:space="preserve"> </w:t>
      </w:r>
      <w:r>
        <w:rPr>
          <w:color w:val="1C1C1C"/>
          <w:w w:val="105"/>
        </w:rPr>
        <w:t>Smlouvě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o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využití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výsledků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výzkumu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vývoje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dosažených řešením projektu TAČR</w:t>
      </w:r>
      <w:r>
        <w:rPr>
          <w:color w:val="1C1C1C"/>
          <w:spacing w:val="-46"/>
          <w:w w:val="105"/>
        </w:rPr>
        <w:t xml:space="preserve"> </w:t>
      </w:r>
      <w:r>
        <w:rPr>
          <w:color w:val="1C1C1C"/>
          <w:w w:val="105"/>
        </w:rPr>
        <w:t>TA01020352</w:t>
      </w:r>
    </w:p>
    <w:p w:rsidR="00293715" w:rsidRDefault="00AB69D1">
      <w:pPr>
        <w:pStyle w:val="Zkladntext"/>
        <w:spacing w:line="260" w:lineRule="exact"/>
        <w:ind w:left="331" w:right="274"/>
        <w:jc w:val="center"/>
      </w:pPr>
      <w:r>
        <w:rPr>
          <w:color w:val="1C1C1C"/>
          <w:w w:val="105"/>
        </w:rPr>
        <w:t>(dále jen „Smlouva").</w:t>
      </w:r>
    </w:p>
    <w:p w:rsidR="00293715" w:rsidRDefault="00293715">
      <w:pPr>
        <w:pStyle w:val="Zkladntext"/>
        <w:spacing w:before="10"/>
        <w:rPr>
          <w:sz w:val="24"/>
        </w:rPr>
      </w:pPr>
    </w:p>
    <w:p w:rsidR="00293715" w:rsidRDefault="00AB69D1">
      <w:pPr>
        <w:pStyle w:val="Zkladntext"/>
        <w:ind w:left="331" w:right="307"/>
        <w:jc w:val="center"/>
      </w:pPr>
      <w:r>
        <w:rPr>
          <w:color w:val="1C1C1C"/>
          <w:w w:val="105"/>
        </w:rPr>
        <w:t>I.</w:t>
      </w:r>
    </w:p>
    <w:p w:rsidR="00293715" w:rsidRDefault="00AB69D1">
      <w:pPr>
        <w:pStyle w:val="Nadpis3"/>
        <w:ind w:left="328"/>
      </w:pPr>
      <w:r>
        <w:rPr>
          <w:color w:val="1C1C1C"/>
          <w:w w:val="105"/>
        </w:rPr>
        <w:t>Předmět dodatku</w:t>
      </w:r>
    </w:p>
    <w:p w:rsidR="00293715" w:rsidRDefault="00AB69D1">
      <w:pPr>
        <w:pStyle w:val="Odstavecseseznamem"/>
        <w:numPr>
          <w:ilvl w:val="0"/>
          <w:numId w:val="2"/>
        </w:numPr>
        <w:tabs>
          <w:tab w:val="left" w:pos="826"/>
        </w:tabs>
        <w:spacing w:before="3" w:line="247" w:lineRule="auto"/>
        <w:ind w:right="137" w:hanging="363"/>
        <w:jc w:val="both"/>
        <w:rPr>
          <w:sz w:val="23"/>
        </w:rPr>
      </w:pPr>
      <w:r>
        <w:rPr>
          <w:color w:val="1C1C1C"/>
          <w:sz w:val="23"/>
        </w:rPr>
        <w:t xml:space="preserve">Tímto dodatkem se do čl. II. Vymezení výsledků Smlouvy u výsledků  dosažených  dalším  účastníkem  projektu  při </w:t>
      </w:r>
      <w:r>
        <w:rPr>
          <w:color w:val="2D2D2D"/>
          <w:sz w:val="23"/>
        </w:rPr>
        <w:t xml:space="preserve">řešení  </w:t>
      </w:r>
      <w:r>
        <w:rPr>
          <w:color w:val="1C1C1C"/>
          <w:sz w:val="23"/>
        </w:rPr>
        <w:t>projektu vkládá další odrážka,  která</w:t>
      </w:r>
      <w:r>
        <w:rPr>
          <w:color w:val="1C1C1C"/>
          <w:spacing w:val="-19"/>
          <w:sz w:val="23"/>
        </w:rPr>
        <w:t xml:space="preserve"> </w:t>
      </w:r>
      <w:r>
        <w:rPr>
          <w:color w:val="1C1C1C"/>
          <w:sz w:val="23"/>
        </w:rPr>
        <w:t>zní:</w:t>
      </w:r>
    </w:p>
    <w:p w:rsidR="00293715" w:rsidRDefault="00293715">
      <w:pPr>
        <w:pStyle w:val="Zkladntext"/>
        <w:spacing w:before="2"/>
        <w:rPr>
          <w:sz w:val="24"/>
        </w:rPr>
      </w:pPr>
    </w:p>
    <w:p w:rsidR="00293715" w:rsidRDefault="00AB69D1">
      <w:pPr>
        <w:pStyle w:val="Zkladntext"/>
        <w:spacing w:line="252" w:lineRule="auto"/>
        <w:ind w:left="1198" w:firstLine="2"/>
      </w:pPr>
      <w:r>
        <w:rPr>
          <w:color w:val="1C1C1C"/>
          <w:w w:val="105"/>
        </w:rPr>
        <w:t>C</w:t>
      </w:r>
      <w:r w:rsidR="00844AC1">
        <w:rPr>
          <w:color w:val="1C1C1C"/>
          <w:w w:val="105"/>
        </w:rPr>
        <w:t>e</w:t>
      </w:r>
      <w:r>
        <w:rPr>
          <w:color w:val="1C1C1C"/>
          <w:w w:val="105"/>
        </w:rPr>
        <w:t>rtifikovaná metodika: Metoda kalibrace absorpční tyče výzkumného jaderného reaktoru na zá</w:t>
      </w:r>
      <w:r>
        <w:rPr>
          <w:color w:val="1C1C1C"/>
          <w:w w:val="105"/>
        </w:rPr>
        <w:t>kladě aplikace rovnice inverzní kinetiky reaktoru</w:t>
      </w:r>
    </w:p>
    <w:p w:rsidR="00293715" w:rsidRDefault="00293715">
      <w:pPr>
        <w:pStyle w:val="Zkladntext"/>
        <w:spacing w:before="3"/>
      </w:pPr>
    </w:p>
    <w:p w:rsidR="00293715" w:rsidRDefault="00AB69D1">
      <w:pPr>
        <w:pStyle w:val="Zkladntext"/>
        <w:spacing w:line="252" w:lineRule="auto"/>
        <w:ind w:left="1201"/>
      </w:pPr>
      <w:r>
        <w:rPr>
          <w:color w:val="1C1C1C"/>
          <w:w w:val="105"/>
        </w:rPr>
        <w:t>Certifikovaná metodika: Metodika přípravy a realizace základního kritického experi</w:t>
      </w:r>
      <w:r>
        <w:rPr>
          <w:color w:val="AFAFAF"/>
          <w:w w:val="105"/>
        </w:rPr>
        <w:t>.</w:t>
      </w:r>
      <w:r>
        <w:rPr>
          <w:color w:val="1C1C1C"/>
          <w:w w:val="105"/>
        </w:rPr>
        <w:t>meptu na reaktoru VR-1</w:t>
      </w:r>
    </w:p>
    <w:p w:rsidR="00293715" w:rsidRDefault="00293715">
      <w:pPr>
        <w:pStyle w:val="Zkladntext"/>
        <w:spacing w:before="3"/>
      </w:pPr>
    </w:p>
    <w:p w:rsidR="00293715" w:rsidRDefault="00844AC1">
      <w:pPr>
        <w:pStyle w:val="Odstavecseseznamem"/>
        <w:numPr>
          <w:ilvl w:val="0"/>
          <w:numId w:val="2"/>
        </w:numPr>
        <w:tabs>
          <w:tab w:val="left" w:pos="824"/>
        </w:tabs>
        <w:ind w:left="823" w:hanging="349"/>
        <w:rPr>
          <w:rFonts w:ascii="Arial" w:hAnsi="Arial"/>
          <w:b/>
        </w:rPr>
      </w:pPr>
      <w:r>
        <w:rPr>
          <w:color w:val="1C1C1C"/>
          <w:spacing w:val="2"/>
          <w:sz w:val="23"/>
        </w:rPr>
        <w:t>Sm</w:t>
      </w:r>
      <w:r w:rsidR="00AB69D1">
        <w:rPr>
          <w:color w:val="1C1C1C"/>
          <w:spacing w:val="2"/>
          <w:sz w:val="23"/>
        </w:rPr>
        <w:t>luvní</w:t>
      </w:r>
      <w:r w:rsidR="00AB69D1">
        <w:rPr>
          <w:color w:val="999999"/>
          <w:spacing w:val="2"/>
          <w:sz w:val="23"/>
        </w:rPr>
        <w:t xml:space="preserve">· </w:t>
      </w:r>
      <w:r w:rsidR="00AB69D1">
        <w:rPr>
          <w:color w:val="1C1C1C"/>
          <w:sz w:val="23"/>
        </w:rPr>
        <w:t xml:space="preserve">strany  prohlašují,  že  výlučným   vlastníkem   výsledků  uvedených  v odst.  </w:t>
      </w:r>
      <w:r w:rsidR="00AB69D1">
        <w:rPr>
          <w:color w:val="1C1C1C"/>
          <w:spacing w:val="41"/>
          <w:sz w:val="23"/>
        </w:rPr>
        <w:t xml:space="preserve"> </w:t>
      </w:r>
      <w:r w:rsidR="00AB69D1">
        <w:rPr>
          <w:rFonts w:ascii="Arial" w:hAnsi="Arial"/>
          <w:b/>
          <w:color w:val="1C1C1C"/>
        </w:rPr>
        <w:t>1</w:t>
      </w:r>
    </w:p>
    <w:p w:rsidR="00293715" w:rsidRDefault="00AB69D1">
      <w:pPr>
        <w:pStyle w:val="Zkladntext"/>
        <w:spacing w:before="12"/>
        <w:ind w:left="840"/>
      </w:pPr>
      <w:r>
        <w:rPr>
          <w:color w:val="1C1C1C"/>
          <w:w w:val="105"/>
        </w:rPr>
        <w:t>tohoto článku je další účastník projektu.</w:t>
      </w:r>
    </w:p>
    <w:p w:rsidR="00293715" w:rsidRDefault="00293715">
      <w:pPr>
        <w:pStyle w:val="Zkladntext"/>
        <w:spacing w:before="4"/>
        <w:rPr>
          <w:sz w:val="24"/>
        </w:rPr>
      </w:pPr>
    </w:p>
    <w:p w:rsidR="00293715" w:rsidRDefault="00AB69D1">
      <w:pPr>
        <w:pStyle w:val="Odstavecseseznamem"/>
        <w:numPr>
          <w:ilvl w:val="0"/>
          <w:numId w:val="2"/>
        </w:numPr>
        <w:tabs>
          <w:tab w:val="left" w:pos="825"/>
        </w:tabs>
        <w:spacing w:line="247" w:lineRule="auto"/>
        <w:ind w:left="834" w:right="122" w:hanging="364"/>
        <w:jc w:val="both"/>
        <w:rPr>
          <w:sz w:val="23"/>
        </w:rPr>
      </w:pPr>
      <w:r>
        <w:rPr>
          <w:color w:val="1C1C1C"/>
          <w:w w:val="105"/>
          <w:sz w:val="23"/>
        </w:rPr>
        <w:t>Další účastník projektu prohlašuje, že výsledky projektu uvedené v odst. 1 tohoto článku budou využívány způsobem uvedeným v čl. III. Smlouvy od data uzavření tohoto</w:t>
      </w:r>
      <w:r>
        <w:rPr>
          <w:color w:val="1C1C1C"/>
          <w:spacing w:val="-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dodatku</w:t>
      </w:r>
      <w:r>
        <w:rPr>
          <w:color w:val="1C1C1C"/>
          <w:spacing w:val="-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alespoň</w:t>
      </w:r>
      <w:r>
        <w:rPr>
          <w:color w:val="1C1C1C"/>
          <w:spacing w:val="-4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po</w:t>
      </w:r>
      <w:r>
        <w:rPr>
          <w:color w:val="1C1C1C"/>
          <w:spacing w:val="-12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dobu</w:t>
      </w:r>
      <w:r>
        <w:rPr>
          <w:color w:val="1C1C1C"/>
          <w:spacing w:val="-15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3</w:t>
      </w:r>
      <w:r>
        <w:rPr>
          <w:color w:val="1C1C1C"/>
          <w:spacing w:val="-17"/>
          <w:w w:val="105"/>
          <w:sz w:val="23"/>
        </w:rPr>
        <w:t xml:space="preserve"> </w:t>
      </w:r>
      <w:r>
        <w:rPr>
          <w:color w:val="1C1C1C"/>
          <w:w w:val="105"/>
          <w:sz w:val="23"/>
        </w:rPr>
        <w:t>let.</w:t>
      </w:r>
    </w:p>
    <w:p w:rsidR="00293715" w:rsidRDefault="00293715">
      <w:pPr>
        <w:pStyle w:val="Zkladntext"/>
        <w:rPr>
          <w:sz w:val="24"/>
        </w:rPr>
      </w:pPr>
    </w:p>
    <w:p w:rsidR="00293715" w:rsidRDefault="00293715">
      <w:pPr>
        <w:pStyle w:val="Zkladntext"/>
        <w:spacing w:before="10"/>
      </w:pPr>
    </w:p>
    <w:p w:rsidR="00293715" w:rsidRDefault="00AB69D1">
      <w:pPr>
        <w:pStyle w:val="Zkladntext"/>
        <w:ind w:left="325" w:right="326"/>
        <w:jc w:val="center"/>
      </w:pPr>
      <w:r>
        <w:rPr>
          <w:color w:val="1C1C1C"/>
          <w:w w:val="105"/>
        </w:rPr>
        <w:t>II.</w:t>
      </w:r>
    </w:p>
    <w:p w:rsidR="00293715" w:rsidRDefault="00AB69D1">
      <w:pPr>
        <w:pStyle w:val="Nadpis3"/>
        <w:spacing w:before="13"/>
      </w:pPr>
      <w:r>
        <w:rPr>
          <w:color w:val="1C1C1C"/>
        </w:rPr>
        <w:t xml:space="preserve">Závěrečná </w:t>
      </w:r>
      <w:r>
        <w:rPr>
          <w:color w:val="1C1C1C"/>
        </w:rPr>
        <w:t xml:space="preserve"> ustanovení</w:t>
      </w:r>
    </w:p>
    <w:p w:rsidR="00293715" w:rsidRDefault="00293715">
      <w:pPr>
        <w:pStyle w:val="Zkladntext"/>
        <w:spacing w:before="5"/>
        <w:rPr>
          <w:b/>
          <w:sz w:val="24"/>
        </w:rPr>
      </w:pPr>
    </w:p>
    <w:p w:rsidR="00293715" w:rsidRDefault="00AB69D1">
      <w:pPr>
        <w:pStyle w:val="Odstavecseseznamem"/>
        <w:numPr>
          <w:ilvl w:val="0"/>
          <w:numId w:val="1"/>
        </w:numPr>
        <w:tabs>
          <w:tab w:val="left" w:pos="822"/>
        </w:tabs>
        <w:spacing w:line="247" w:lineRule="auto"/>
        <w:ind w:right="136" w:hanging="363"/>
        <w:jc w:val="both"/>
        <w:rPr>
          <w:color w:val="1C1C1C"/>
          <w:sz w:val="23"/>
        </w:rPr>
      </w:pPr>
      <w:r>
        <w:rPr>
          <w:color w:val="1C1C1C"/>
          <w:sz w:val="23"/>
        </w:rPr>
        <w:t xml:space="preserve">Tento  Dodatek  nabývá  platnosti  dnem  jeho  uzavření  a  účinnosti   dnem  zveřejnění   v registru smluv. Tento  Dodatek se po uzavření  stává nedílnou součástí  </w:t>
      </w:r>
      <w:r>
        <w:rPr>
          <w:color w:val="1C1C1C"/>
          <w:spacing w:val="26"/>
          <w:sz w:val="23"/>
        </w:rPr>
        <w:t xml:space="preserve"> </w:t>
      </w:r>
      <w:r>
        <w:rPr>
          <w:color w:val="1C1C1C"/>
          <w:sz w:val="23"/>
        </w:rPr>
        <w:t>Smlouvy.</w:t>
      </w:r>
    </w:p>
    <w:p w:rsidR="00293715" w:rsidRDefault="00293715">
      <w:pPr>
        <w:spacing w:line="247" w:lineRule="auto"/>
        <w:jc w:val="both"/>
        <w:rPr>
          <w:sz w:val="23"/>
        </w:rPr>
        <w:sectPr w:rsidR="00293715">
          <w:footerReference w:type="default" r:id="rId8"/>
          <w:type w:val="continuous"/>
          <w:pgSz w:w="11910" w:h="16840"/>
          <w:pgMar w:top="1360" w:right="1220" w:bottom="980" w:left="1420" w:header="708" w:footer="792" w:gutter="0"/>
          <w:pgNumType w:start="1"/>
          <w:cols w:space="708"/>
        </w:sectPr>
      </w:pPr>
    </w:p>
    <w:p w:rsidR="00293715" w:rsidRDefault="00AB69D1">
      <w:pPr>
        <w:pStyle w:val="Odstavecseseznamem"/>
        <w:numPr>
          <w:ilvl w:val="0"/>
          <w:numId w:val="1"/>
        </w:numPr>
        <w:tabs>
          <w:tab w:val="left" w:pos="836"/>
        </w:tabs>
        <w:spacing w:before="74" w:line="242" w:lineRule="auto"/>
        <w:ind w:left="845" w:right="103" w:hanging="358"/>
        <w:jc w:val="both"/>
        <w:rPr>
          <w:color w:val="1A1A1A"/>
          <w:sz w:val="24"/>
        </w:rPr>
      </w:pPr>
      <w:r>
        <w:rPr>
          <w:color w:val="1A1A1A"/>
          <w:sz w:val="24"/>
        </w:rPr>
        <w:lastRenderedPageBreak/>
        <w:t>Tento dodatek je vyhotoven ve třech stejnopisech s platností originálu, každá ze smluvních stran a poskytovatel obdrží po jednom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z w:val="24"/>
        </w:rPr>
        <w:t>vyhotovení.</w:t>
      </w:r>
    </w:p>
    <w:p w:rsidR="00293715" w:rsidRDefault="00AB69D1">
      <w:pPr>
        <w:pStyle w:val="Odstavecseseznamem"/>
        <w:numPr>
          <w:ilvl w:val="0"/>
          <w:numId w:val="1"/>
        </w:numPr>
        <w:tabs>
          <w:tab w:val="left" w:pos="835"/>
        </w:tabs>
        <w:ind w:left="847" w:right="126" w:hanging="359"/>
        <w:jc w:val="both"/>
        <w:rPr>
          <w:color w:val="1A1A1A"/>
          <w:sz w:val="24"/>
        </w:rPr>
      </w:pPr>
      <w:r>
        <w:rPr>
          <w:color w:val="1A1A1A"/>
          <w:sz w:val="24"/>
        </w:rPr>
        <w:t xml:space="preserve">Příjemce i další účastník projektu jsou povinnými subjekty dle zákona č. </w:t>
      </w:r>
      <w:r>
        <w:rPr>
          <w:color w:val="1A1A1A"/>
          <w:sz w:val="24"/>
        </w:rPr>
        <w:t>340/2015  Sb., smluvní  strany  se  dohodly,  že  Příjemce  tento  Dodatek  a  Smlouvu  uveřejní  v registru smluv podle tohoto zákona. Smluvní strany pro tyto účely shodně  prohlašují, že uvedené dokumenty neobsahují obchodní tajemství žádné z</w:t>
      </w:r>
      <w:r>
        <w:rPr>
          <w:color w:val="1A1A1A"/>
          <w:spacing w:val="-24"/>
          <w:sz w:val="24"/>
        </w:rPr>
        <w:t xml:space="preserve"> </w:t>
      </w:r>
      <w:r>
        <w:rPr>
          <w:color w:val="1A1A1A"/>
          <w:sz w:val="24"/>
        </w:rPr>
        <w:t>nich.</w:t>
      </w:r>
    </w:p>
    <w:p w:rsidR="00293715" w:rsidRDefault="00293715">
      <w:pPr>
        <w:pStyle w:val="Zkladntext"/>
        <w:rPr>
          <w:sz w:val="24"/>
        </w:rPr>
      </w:pPr>
    </w:p>
    <w:p w:rsidR="00293715" w:rsidRDefault="00AB69D1">
      <w:pPr>
        <w:pStyle w:val="Odstavecseseznamem"/>
        <w:numPr>
          <w:ilvl w:val="0"/>
          <w:numId w:val="1"/>
        </w:numPr>
        <w:tabs>
          <w:tab w:val="left" w:pos="834"/>
        </w:tabs>
        <w:ind w:left="839" w:right="112" w:hanging="355"/>
        <w:jc w:val="both"/>
        <w:rPr>
          <w:color w:val="1A1A1A"/>
          <w:sz w:val="24"/>
        </w:rPr>
      </w:pPr>
      <w:r>
        <w:rPr>
          <w:color w:val="1A1A1A"/>
          <w:sz w:val="24"/>
        </w:rPr>
        <w:t>Smlu</w:t>
      </w:r>
      <w:r>
        <w:rPr>
          <w:color w:val="1A1A1A"/>
          <w:sz w:val="24"/>
        </w:rPr>
        <w:t>vní strany níže připojenými podpisy svých oprávněných zástupců potvrzují, že jsou seznámeny a srozuměny s celým obsahem tohoto Dodatku a že pokud jim z tohoto Dodatku plynou jakékoli povinnosti či naopak práva, bez výhrad je přijímají a takto se k uvedeném</w:t>
      </w:r>
      <w:r>
        <w:rPr>
          <w:color w:val="1A1A1A"/>
          <w:sz w:val="24"/>
        </w:rPr>
        <w:t>u Dodatku připojují. Smluvní strany dále potvrzují, že tento Dodatek je projevem jejich svobodné a vážné vůle, byl sjednán určitě a srozumitelně, nikoliv v tísni a/nebo za jednostranně nevýhodných podmínek a na důkaz toho připojují podpisy svých oprávněnýc</w:t>
      </w:r>
      <w:r>
        <w:rPr>
          <w:color w:val="1A1A1A"/>
          <w:sz w:val="24"/>
        </w:rPr>
        <w:t>h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zástupců.</w:t>
      </w:r>
    </w:p>
    <w:p w:rsidR="00293715" w:rsidRDefault="00293715">
      <w:pPr>
        <w:pStyle w:val="Zkladntext"/>
        <w:rPr>
          <w:sz w:val="20"/>
        </w:rPr>
      </w:pPr>
    </w:p>
    <w:p w:rsidR="00293715" w:rsidRDefault="00293715">
      <w:pPr>
        <w:pStyle w:val="Zkladntext"/>
        <w:rPr>
          <w:sz w:val="20"/>
        </w:rPr>
      </w:pPr>
    </w:p>
    <w:p w:rsidR="00293715" w:rsidRDefault="00293715">
      <w:pPr>
        <w:pStyle w:val="Zkladntext"/>
        <w:rPr>
          <w:sz w:val="20"/>
        </w:rPr>
      </w:pPr>
    </w:p>
    <w:p w:rsidR="00293715" w:rsidRDefault="00293715">
      <w:pPr>
        <w:pStyle w:val="Zkladntext"/>
        <w:rPr>
          <w:sz w:val="20"/>
        </w:rPr>
      </w:pPr>
    </w:p>
    <w:p w:rsidR="00293715" w:rsidRDefault="00293715">
      <w:pPr>
        <w:pStyle w:val="Zkladntext"/>
        <w:rPr>
          <w:sz w:val="20"/>
        </w:rPr>
      </w:pPr>
    </w:p>
    <w:p w:rsidR="00293715" w:rsidRDefault="00293715">
      <w:pPr>
        <w:pStyle w:val="Zkladntext"/>
        <w:spacing w:before="4"/>
        <w:rPr>
          <w:sz w:val="20"/>
        </w:rPr>
      </w:pPr>
    </w:p>
    <w:p w:rsidR="00293715" w:rsidRDefault="00AB69D1">
      <w:pPr>
        <w:spacing w:line="272" w:lineRule="exact"/>
        <w:ind w:left="105"/>
        <w:rPr>
          <w:sz w:val="24"/>
        </w:rPr>
      </w:pPr>
      <w:r>
        <w:rPr>
          <w:color w:val="1A1A1A"/>
          <w:sz w:val="24"/>
        </w:rPr>
        <w:t>Zástupce příjemce</w:t>
      </w:r>
    </w:p>
    <w:p w:rsidR="00293715" w:rsidRDefault="00AB69D1">
      <w:pPr>
        <w:spacing w:line="272" w:lineRule="exact"/>
        <w:ind w:left="5788"/>
        <w:rPr>
          <w:sz w:val="24"/>
        </w:rPr>
      </w:pPr>
      <w:r>
        <w:rPr>
          <w:color w:val="1A1A1A"/>
          <w:sz w:val="24"/>
        </w:rPr>
        <w:t>prof. RNDr. Tomáš Kaiser, DSc.</w:t>
      </w:r>
    </w:p>
    <w:p w:rsidR="00293715" w:rsidRDefault="00293715">
      <w:pPr>
        <w:pStyle w:val="Zkladntext"/>
        <w:spacing w:before="7"/>
        <w:rPr>
          <w:sz w:val="16"/>
        </w:rPr>
      </w:pPr>
    </w:p>
    <w:p w:rsidR="00293715" w:rsidRDefault="00AB69D1">
      <w:pPr>
        <w:spacing w:before="90"/>
        <w:ind w:left="471"/>
        <w:rPr>
          <w:sz w:val="24"/>
        </w:rPr>
      </w:pPr>
      <w:r>
        <w:rPr>
          <w:color w:val="1A1A1A"/>
          <w:sz w:val="24"/>
        </w:rPr>
        <w:t>V Plzni dne</w:t>
      </w:r>
    </w:p>
    <w:p w:rsidR="00293715" w:rsidRDefault="00293715">
      <w:pPr>
        <w:pStyle w:val="Zkladntext"/>
        <w:rPr>
          <w:sz w:val="26"/>
        </w:rPr>
      </w:pPr>
    </w:p>
    <w:p w:rsidR="00293715" w:rsidRDefault="00293715">
      <w:pPr>
        <w:pStyle w:val="Zkladntext"/>
        <w:rPr>
          <w:sz w:val="26"/>
        </w:rPr>
      </w:pPr>
    </w:p>
    <w:p w:rsidR="00293715" w:rsidRDefault="00293715">
      <w:pPr>
        <w:pStyle w:val="Zkladntext"/>
        <w:rPr>
          <w:sz w:val="26"/>
        </w:rPr>
      </w:pPr>
    </w:p>
    <w:p w:rsidR="00293715" w:rsidRDefault="00293715">
      <w:pPr>
        <w:pStyle w:val="Zkladntext"/>
        <w:rPr>
          <w:sz w:val="26"/>
        </w:rPr>
      </w:pPr>
    </w:p>
    <w:p w:rsidR="00293715" w:rsidRDefault="00AB69D1">
      <w:pPr>
        <w:tabs>
          <w:tab w:val="left" w:pos="5797"/>
        </w:tabs>
        <w:spacing w:before="179" w:line="272" w:lineRule="exact"/>
        <w:ind w:left="105"/>
        <w:rPr>
          <w:sz w:val="13"/>
        </w:rPr>
      </w:pPr>
      <w:r>
        <w:rPr>
          <w:color w:val="1A1A1A"/>
          <w:sz w:val="24"/>
        </w:rPr>
        <w:t>Zástupce dalšího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účastníka</w:t>
      </w:r>
      <w:r>
        <w:rPr>
          <w:color w:val="1A1A1A"/>
          <w:spacing w:val="6"/>
          <w:sz w:val="24"/>
        </w:rPr>
        <w:t xml:space="preserve"> </w:t>
      </w:r>
      <w:r>
        <w:rPr>
          <w:color w:val="1A1A1A"/>
          <w:sz w:val="24"/>
        </w:rPr>
        <w:t>projektu</w:t>
      </w:r>
      <w:r>
        <w:rPr>
          <w:color w:val="1A1A1A"/>
          <w:sz w:val="24"/>
        </w:rPr>
        <w:tab/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1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1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1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1"/>
          <w:sz w:val="13"/>
        </w:rPr>
        <w:t xml:space="preserve"> </w:t>
      </w:r>
      <w:r>
        <w:rPr>
          <w:color w:val="363636"/>
          <w:sz w:val="13"/>
        </w:rPr>
        <w:t>.</w:t>
      </w:r>
      <w:r>
        <w:rPr>
          <w:color w:val="363636"/>
          <w:spacing w:val="15"/>
          <w:sz w:val="13"/>
        </w:rPr>
        <w:t xml:space="preserve"> </w:t>
      </w:r>
      <w:r>
        <w:rPr>
          <w:color w:val="363636"/>
          <w:sz w:val="13"/>
        </w:rPr>
        <w:t>.</w:t>
      </w:r>
      <w:r>
        <w:rPr>
          <w:color w:val="363636"/>
          <w:spacing w:val="11"/>
          <w:sz w:val="13"/>
        </w:rPr>
        <w:t xml:space="preserve"> </w:t>
      </w:r>
      <w:r>
        <w:rPr>
          <w:color w:val="363636"/>
          <w:sz w:val="13"/>
        </w:rPr>
        <w:t>.</w:t>
      </w:r>
      <w:r>
        <w:rPr>
          <w:color w:val="363636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-5"/>
          <w:sz w:val="13"/>
        </w:rPr>
        <w:t xml:space="preserve"> </w:t>
      </w:r>
      <w:r>
        <w:rPr>
          <w:color w:val="26213D"/>
          <w:sz w:val="13"/>
        </w:rPr>
        <w:t xml:space="preserve">r,  </w:t>
      </w:r>
      <w:r>
        <w:rPr>
          <w:color w:val="26213D"/>
          <w:spacing w:val="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1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1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1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1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1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6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6"/>
          <w:sz w:val="13"/>
        </w:rPr>
        <w:t xml:space="preserve"> </w:t>
      </w:r>
      <w:r>
        <w:rPr>
          <w:color w:val="363636"/>
          <w:sz w:val="13"/>
        </w:rPr>
        <w:t>.</w:t>
      </w:r>
      <w:r>
        <w:rPr>
          <w:color w:val="363636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1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  <w:r>
        <w:rPr>
          <w:color w:val="1A1A1A"/>
          <w:spacing w:val="15"/>
          <w:sz w:val="13"/>
        </w:rPr>
        <w:t xml:space="preserve"> </w:t>
      </w:r>
      <w:r>
        <w:rPr>
          <w:color w:val="1A1A1A"/>
          <w:sz w:val="13"/>
        </w:rPr>
        <w:t>.</w:t>
      </w:r>
    </w:p>
    <w:p w:rsidR="00293715" w:rsidRDefault="009D054A">
      <w:pPr>
        <w:pStyle w:val="Nadpis2"/>
        <w:spacing w:line="272" w:lineRule="exact"/>
        <w:ind w:left="0" w:right="424"/>
        <w:jc w:val="right"/>
      </w:pPr>
      <w:r>
        <w:rPr>
          <w:color w:val="1A1A1A"/>
        </w:rPr>
        <w:t>P</w:t>
      </w:r>
      <w:r w:rsidR="00AB69D1">
        <w:rPr>
          <w:color w:val="1A1A1A"/>
        </w:rPr>
        <w:t>ro</w:t>
      </w:r>
      <w:r w:rsidR="00AB69D1">
        <w:rPr>
          <w:color w:val="26213D"/>
        </w:rPr>
        <w:t>f</w:t>
      </w:r>
      <w:r>
        <w:rPr>
          <w:color w:val="26213D"/>
        </w:rPr>
        <w:t xml:space="preserve">. </w:t>
      </w:r>
      <w:bookmarkStart w:id="0" w:name="_GoBack"/>
      <w:bookmarkEnd w:id="0"/>
      <w:r w:rsidR="00AB69D1">
        <w:rPr>
          <w:color w:val="26213D"/>
        </w:rPr>
        <w:t>I</w:t>
      </w:r>
      <w:r w:rsidR="00AB69D1">
        <w:rPr>
          <w:color w:val="1A1A1A"/>
        </w:rPr>
        <w:t xml:space="preserve">ng. Igor </w:t>
      </w:r>
      <w:r w:rsidR="00AB69D1">
        <w:rPr>
          <w:color w:val="1A1A1A"/>
          <w:sz w:val="22"/>
        </w:rPr>
        <w:t>J</w:t>
      </w:r>
      <w:r w:rsidR="00AB69D1">
        <w:rPr>
          <w:color w:val="1A1A1A"/>
        </w:rPr>
        <w:t>ex, DrSc.</w:t>
      </w:r>
    </w:p>
    <w:p w:rsidR="00293715" w:rsidRDefault="00293715">
      <w:pPr>
        <w:pStyle w:val="Zkladntext"/>
        <w:spacing w:before="5"/>
        <w:rPr>
          <w:sz w:val="24"/>
        </w:rPr>
      </w:pPr>
    </w:p>
    <w:p w:rsidR="00293715" w:rsidRDefault="00AB69D1">
      <w:pPr>
        <w:ind w:left="471"/>
        <w:rPr>
          <w:sz w:val="24"/>
        </w:rPr>
      </w:pPr>
      <w:r>
        <w:rPr>
          <w:color w:val="1A1A1A"/>
          <w:sz w:val="24"/>
        </w:rPr>
        <w:t>V Praze dne</w:t>
      </w:r>
    </w:p>
    <w:sectPr w:rsidR="00293715">
      <w:pgSz w:w="11910" w:h="16840"/>
      <w:pgMar w:top="1320" w:right="1240" w:bottom="980" w:left="1360" w:header="0" w:footer="7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D1" w:rsidRDefault="00AB69D1">
      <w:r>
        <w:separator/>
      </w:r>
    </w:p>
  </w:endnote>
  <w:endnote w:type="continuationSeparator" w:id="0">
    <w:p w:rsidR="00AB69D1" w:rsidRDefault="00AB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15" w:rsidRDefault="00AB69D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pt;margin-top:789.75pt;width:11.6pt;height:15.1pt;z-index:-251658752;mso-position-horizontal-relative:page;mso-position-vertical-relative:page" filled="f" stroked="f">
          <v:textbox inset="0,0,0,0">
            <w:txbxContent>
              <w:p w:rsidR="00293715" w:rsidRDefault="00AB69D1">
                <w:pPr>
                  <w:spacing w:before="40"/>
                  <w:ind w:left="40"/>
                  <w:rPr>
                    <w:rFonts w:ascii="Arial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1A1A1A"/>
                    <w:w w:val="108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9D054A">
                  <w:rPr>
                    <w:rFonts w:ascii="Arial"/>
                    <w:noProof/>
                    <w:color w:val="1A1A1A"/>
                    <w:w w:val="108"/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D1" w:rsidRDefault="00AB69D1">
      <w:r>
        <w:separator/>
      </w:r>
    </w:p>
  </w:footnote>
  <w:footnote w:type="continuationSeparator" w:id="0">
    <w:p w:rsidR="00AB69D1" w:rsidRDefault="00AB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83A"/>
    <w:multiLevelType w:val="hybridMultilevel"/>
    <w:tmpl w:val="35A0CD28"/>
    <w:lvl w:ilvl="0" w:tplc="349A6AA2">
      <w:start w:val="1"/>
      <w:numFmt w:val="decimal"/>
      <w:lvlText w:val="%1."/>
      <w:lvlJc w:val="left"/>
      <w:pPr>
        <w:ind w:left="835" w:hanging="350"/>
        <w:jc w:val="left"/>
      </w:pPr>
      <w:rPr>
        <w:rFonts w:hint="default"/>
        <w:w w:val="109"/>
      </w:rPr>
    </w:lvl>
    <w:lvl w:ilvl="1" w:tplc="2B70B262">
      <w:numFmt w:val="bullet"/>
      <w:lvlText w:val="•"/>
      <w:lvlJc w:val="left"/>
      <w:pPr>
        <w:ind w:left="1682" w:hanging="350"/>
      </w:pPr>
      <w:rPr>
        <w:rFonts w:hint="default"/>
      </w:rPr>
    </w:lvl>
    <w:lvl w:ilvl="2" w:tplc="C5F4B166">
      <w:numFmt w:val="bullet"/>
      <w:lvlText w:val="•"/>
      <w:lvlJc w:val="left"/>
      <w:pPr>
        <w:ind w:left="2524" w:hanging="350"/>
      </w:pPr>
      <w:rPr>
        <w:rFonts w:hint="default"/>
      </w:rPr>
    </w:lvl>
    <w:lvl w:ilvl="3" w:tplc="38489DEE">
      <w:numFmt w:val="bullet"/>
      <w:lvlText w:val="•"/>
      <w:lvlJc w:val="left"/>
      <w:pPr>
        <w:ind w:left="3367" w:hanging="350"/>
      </w:pPr>
      <w:rPr>
        <w:rFonts w:hint="default"/>
      </w:rPr>
    </w:lvl>
    <w:lvl w:ilvl="4" w:tplc="416C5F2C">
      <w:numFmt w:val="bullet"/>
      <w:lvlText w:val="•"/>
      <w:lvlJc w:val="left"/>
      <w:pPr>
        <w:ind w:left="4209" w:hanging="350"/>
      </w:pPr>
      <w:rPr>
        <w:rFonts w:hint="default"/>
      </w:rPr>
    </w:lvl>
    <w:lvl w:ilvl="5" w:tplc="7F94EBB6">
      <w:numFmt w:val="bullet"/>
      <w:lvlText w:val="•"/>
      <w:lvlJc w:val="left"/>
      <w:pPr>
        <w:ind w:left="5052" w:hanging="350"/>
      </w:pPr>
      <w:rPr>
        <w:rFonts w:hint="default"/>
      </w:rPr>
    </w:lvl>
    <w:lvl w:ilvl="6" w:tplc="40928BB6">
      <w:numFmt w:val="bullet"/>
      <w:lvlText w:val="•"/>
      <w:lvlJc w:val="left"/>
      <w:pPr>
        <w:ind w:left="5894" w:hanging="350"/>
      </w:pPr>
      <w:rPr>
        <w:rFonts w:hint="default"/>
      </w:rPr>
    </w:lvl>
    <w:lvl w:ilvl="7" w:tplc="58B23D8A">
      <w:numFmt w:val="bullet"/>
      <w:lvlText w:val="•"/>
      <w:lvlJc w:val="left"/>
      <w:pPr>
        <w:ind w:left="6736" w:hanging="350"/>
      </w:pPr>
      <w:rPr>
        <w:rFonts w:hint="default"/>
      </w:rPr>
    </w:lvl>
    <w:lvl w:ilvl="8" w:tplc="3234663E">
      <w:numFmt w:val="bullet"/>
      <w:lvlText w:val="•"/>
      <w:lvlJc w:val="left"/>
      <w:pPr>
        <w:ind w:left="7579" w:hanging="350"/>
      </w:pPr>
      <w:rPr>
        <w:rFonts w:hint="default"/>
      </w:rPr>
    </w:lvl>
  </w:abstractNum>
  <w:abstractNum w:abstractNumId="1">
    <w:nsid w:val="77122F8C"/>
    <w:multiLevelType w:val="hybridMultilevel"/>
    <w:tmpl w:val="9BF45680"/>
    <w:lvl w:ilvl="0" w:tplc="EA707B46">
      <w:start w:val="1"/>
      <w:numFmt w:val="decimal"/>
      <w:lvlText w:val="%1."/>
      <w:lvlJc w:val="left"/>
      <w:pPr>
        <w:ind w:left="839" w:hanging="350"/>
        <w:jc w:val="left"/>
      </w:pPr>
      <w:rPr>
        <w:rFonts w:ascii="Times New Roman" w:eastAsia="Times New Roman" w:hAnsi="Times New Roman" w:cs="Times New Roman" w:hint="default"/>
        <w:color w:val="1C1C1C"/>
        <w:spacing w:val="0"/>
        <w:w w:val="103"/>
        <w:sz w:val="23"/>
        <w:szCs w:val="23"/>
      </w:rPr>
    </w:lvl>
    <w:lvl w:ilvl="1" w:tplc="A23EB2E4">
      <w:numFmt w:val="bullet"/>
      <w:lvlText w:val="•"/>
      <w:lvlJc w:val="left"/>
      <w:pPr>
        <w:ind w:left="1682" w:hanging="350"/>
      </w:pPr>
      <w:rPr>
        <w:rFonts w:hint="default"/>
      </w:rPr>
    </w:lvl>
    <w:lvl w:ilvl="2" w:tplc="62084E72">
      <w:numFmt w:val="bullet"/>
      <w:lvlText w:val="•"/>
      <w:lvlJc w:val="left"/>
      <w:pPr>
        <w:ind w:left="2524" w:hanging="350"/>
      </w:pPr>
      <w:rPr>
        <w:rFonts w:hint="default"/>
      </w:rPr>
    </w:lvl>
    <w:lvl w:ilvl="3" w:tplc="CB40CCA6">
      <w:numFmt w:val="bullet"/>
      <w:lvlText w:val="•"/>
      <w:lvlJc w:val="left"/>
      <w:pPr>
        <w:ind w:left="3367" w:hanging="350"/>
      </w:pPr>
      <w:rPr>
        <w:rFonts w:hint="default"/>
      </w:rPr>
    </w:lvl>
    <w:lvl w:ilvl="4" w:tplc="9DC2BB8C">
      <w:numFmt w:val="bullet"/>
      <w:lvlText w:val="•"/>
      <w:lvlJc w:val="left"/>
      <w:pPr>
        <w:ind w:left="4209" w:hanging="350"/>
      </w:pPr>
      <w:rPr>
        <w:rFonts w:hint="default"/>
      </w:rPr>
    </w:lvl>
    <w:lvl w:ilvl="5" w:tplc="98F6B436">
      <w:numFmt w:val="bullet"/>
      <w:lvlText w:val="•"/>
      <w:lvlJc w:val="left"/>
      <w:pPr>
        <w:ind w:left="5052" w:hanging="350"/>
      </w:pPr>
      <w:rPr>
        <w:rFonts w:hint="default"/>
      </w:rPr>
    </w:lvl>
    <w:lvl w:ilvl="6" w:tplc="01985BFE">
      <w:numFmt w:val="bullet"/>
      <w:lvlText w:val="•"/>
      <w:lvlJc w:val="left"/>
      <w:pPr>
        <w:ind w:left="5894" w:hanging="350"/>
      </w:pPr>
      <w:rPr>
        <w:rFonts w:hint="default"/>
      </w:rPr>
    </w:lvl>
    <w:lvl w:ilvl="7" w:tplc="8ED6440A">
      <w:numFmt w:val="bullet"/>
      <w:lvlText w:val="•"/>
      <w:lvlJc w:val="left"/>
      <w:pPr>
        <w:ind w:left="6736" w:hanging="350"/>
      </w:pPr>
      <w:rPr>
        <w:rFonts w:hint="default"/>
      </w:rPr>
    </w:lvl>
    <w:lvl w:ilvl="8" w:tplc="C2F83DC6">
      <w:numFmt w:val="bullet"/>
      <w:lvlText w:val="•"/>
      <w:lvlJc w:val="left"/>
      <w:pPr>
        <w:ind w:left="7579" w:hanging="3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93715"/>
    <w:rsid w:val="00293715"/>
    <w:rsid w:val="00844AC1"/>
    <w:rsid w:val="009D054A"/>
    <w:rsid w:val="00A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26"/>
      <w:ind w:left="331" w:right="243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471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spacing w:before="12"/>
      <w:ind w:left="302" w:right="326"/>
      <w:jc w:val="center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839" w:hanging="36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4</cp:revision>
  <dcterms:created xsi:type="dcterms:W3CDTF">2017-12-05T09:06:00Z</dcterms:created>
  <dcterms:modified xsi:type="dcterms:W3CDTF">2017-12-05T08:08:00Z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LastSaved">
    <vt:filetime>2017-12-05T00:00:00Z</vt:filetime>
  </property>
</Properties>
</file>