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4731B" w:rsidRDefault="0044731B">
      <w:pPr>
        <w:spacing w:after="0" w:line="240" w:lineRule="auto"/>
        <w:jc w:val="center"/>
        <w:rPr>
          <w:b/>
          <w:sz w:val="32"/>
          <w:szCs w:val="32"/>
        </w:rPr>
      </w:pPr>
    </w:p>
    <w:p w:rsidR="007B44B3" w:rsidRPr="007B44B3" w:rsidRDefault="005F7480" w:rsidP="007B44B3">
      <w:pPr>
        <w:spacing w:after="0" w:line="240" w:lineRule="auto"/>
        <w:jc w:val="center"/>
        <w:rPr>
          <w:b/>
          <w:sz w:val="32"/>
          <w:szCs w:val="32"/>
        </w:rPr>
      </w:pPr>
      <w:r w:rsidRPr="00BF5C08">
        <w:rPr>
          <w:b/>
          <w:sz w:val="32"/>
          <w:szCs w:val="32"/>
        </w:rPr>
        <w:t>Smlouva o poskytnutí oprávnění k užití aplikace MONITORA</w:t>
      </w:r>
    </w:p>
    <w:p w:rsidR="00D31F3C" w:rsidRPr="00BF5C08" w:rsidRDefault="00DA4D1F">
      <w:pPr>
        <w:tabs>
          <w:tab w:val="left" w:pos="2977"/>
        </w:tabs>
        <w:spacing w:after="0" w:line="240" w:lineRule="auto"/>
        <w:jc w:val="center"/>
      </w:pPr>
      <w:bookmarkStart w:id="0" w:name="_gjdgxs" w:colFirst="0" w:colLast="0"/>
      <w:bookmarkEnd w:id="0"/>
      <w:r>
        <w:rPr>
          <w:sz w:val="22"/>
          <w:szCs w:val="22"/>
        </w:rPr>
        <w:t>Smlouva č. KO654/2017/08/17</w:t>
      </w:r>
      <w:r w:rsidR="00C10D10">
        <w:rPr>
          <w:sz w:val="22"/>
          <w:szCs w:val="22"/>
        </w:rPr>
        <w:t>-01</w:t>
      </w:r>
    </w:p>
    <w:p w:rsidR="00D31F3C" w:rsidRPr="00BF5C08" w:rsidRDefault="00D31F3C">
      <w:pPr>
        <w:tabs>
          <w:tab w:val="left" w:pos="2835"/>
        </w:tabs>
        <w:spacing w:after="0" w:line="240" w:lineRule="auto"/>
        <w:jc w:val="both"/>
      </w:pPr>
    </w:p>
    <w:p w:rsidR="0044731B" w:rsidRDefault="0044731B">
      <w:pPr>
        <w:tabs>
          <w:tab w:val="left" w:pos="2835"/>
        </w:tabs>
        <w:spacing w:after="0" w:line="240" w:lineRule="auto"/>
        <w:jc w:val="both"/>
        <w:rPr>
          <w:sz w:val="22"/>
          <w:szCs w:val="22"/>
        </w:rPr>
      </w:pPr>
    </w:p>
    <w:p w:rsidR="00D31F3C" w:rsidRPr="00BF5C08" w:rsidRDefault="00986596">
      <w:pPr>
        <w:tabs>
          <w:tab w:val="left" w:pos="2835"/>
        </w:tabs>
        <w:spacing w:after="0" w:line="240" w:lineRule="auto"/>
        <w:jc w:val="both"/>
      </w:pPr>
      <w:r>
        <w:rPr>
          <w:sz w:val="22"/>
          <w:szCs w:val="22"/>
        </w:rPr>
        <w:t>Název</w:t>
      </w:r>
      <w:r w:rsidR="005F7480" w:rsidRPr="00BF5C08">
        <w:rPr>
          <w:sz w:val="22"/>
          <w:szCs w:val="22"/>
        </w:rPr>
        <w:t>:</w:t>
      </w:r>
      <w:r w:rsidR="005F7480" w:rsidRPr="00BF5C08">
        <w:rPr>
          <w:sz w:val="22"/>
          <w:szCs w:val="22"/>
        </w:rPr>
        <w:tab/>
      </w:r>
      <w:r w:rsidR="005F7480" w:rsidRPr="00BF5C08">
        <w:rPr>
          <w:b/>
          <w:sz w:val="22"/>
          <w:szCs w:val="22"/>
        </w:rPr>
        <w:t>Monitora Media s.r.o.</w:t>
      </w:r>
    </w:p>
    <w:p w:rsidR="00D31F3C" w:rsidRPr="00BF5C08" w:rsidRDefault="005F7480">
      <w:pPr>
        <w:tabs>
          <w:tab w:val="left" w:pos="2835"/>
        </w:tabs>
        <w:spacing w:after="0" w:line="240" w:lineRule="auto"/>
        <w:jc w:val="both"/>
      </w:pPr>
      <w:r w:rsidRPr="00BF5C08">
        <w:rPr>
          <w:sz w:val="22"/>
          <w:szCs w:val="22"/>
        </w:rPr>
        <w:t>Zápis v OR:</w:t>
      </w:r>
      <w:r w:rsidRPr="00BF5C08">
        <w:rPr>
          <w:sz w:val="22"/>
          <w:szCs w:val="22"/>
        </w:rPr>
        <w:tab/>
        <w:t>Městský soud v Praze, oddíl C, vložka 240838</w:t>
      </w:r>
    </w:p>
    <w:p w:rsidR="00D31F3C" w:rsidRPr="00BF5C08" w:rsidRDefault="005F7480">
      <w:pPr>
        <w:tabs>
          <w:tab w:val="left" w:pos="2835"/>
        </w:tabs>
        <w:spacing w:after="0" w:line="240" w:lineRule="auto"/>
        <w:jc w:val="both"/>
      </w:pPr>
      <w:r w:rsidRPr="00BF5C08">
        <w:rPr>
          <w:sz w:val="22"/>
          <w:szCs w:val="22"/>
        </w:rPr>
        <w:t>Sídlo:</w:t>
      </w:r>
      <w:r w:rsidRPr="00BF5C08">
        <w:rPr>
          <w:sz w:val="22"/>
          <w:szCs w:val="22"/>
        </w:rPr>
        <w:tab/>
        <w:t xml:space="preserve">Viktora Huga 359/6, 150 00 Praha 5 - Smíchov, </w:t>
      </w:r>
    </w:p>
    <w:p w:rsidR="00D31F3C" w:rsidRPr="00BF5C08" w:rsidRDefault="005F7480">
      <w:pPr>
        <w:tabs>
          <w:tab w:val="left" w:pos="2835"/>
        </w:tabs>
        <w:spacing w:after="0" w:line="240" w:lineRule="auto"/>
        <w:jc w:val="both"/>
      </w:pPr>
      <w:r w:rsidRPr="00BF5C08">
        <w:rPr>
          <w:sz w:val="22"/>
          <w:szCs w:val="22"/>
        </w:rPr>
        <w:t xml:space="preserve">IČ:  </w:t>
      </w:r>
      <w:r w:rsidRPr="00BF5C08">
        <w:rPr>
          <w:sz w:val="22"/>
          <w:szCs w:val="22"/>
        </w:rPr>
        <w:tab/>
        <w:t>03980481</w:t>
      </w:r>
    </w:p>
    <w:p w:rsidR="00D31F3C" w:rsidRPr="00BF5C08" w:rsidRDefault="005F7480">
      <w:pPr>
        <w:tabs>
          <w:tab w:val="left" w:pos="2835"/>
        </w:tabs>
        <w:spacing w:after="0" w:line="240" w:lineRule="auto"/>
        <w:jc w:val="both"/>
      </w:pPr>
      <w:r w:rsidRPr="00BF5C08">
        <w:rPr>
          <w:sz w:val="22"/>
          <w:szCs w:val="22"/>
        </w:rPr>
        <w:t xml:space="preserve">DIČ: </w:t>
      </w:r>
      <w:r w:rsidRPr="00BF5C08">
        <w:rPr>
          <w:sz w:val="22"/>
          <w:szCs w:val="22"/>
        </w:rPr>
        <w:tab/>
        <w:t>CZ03980481</w:t>
      </w:r>
    </w:p>
    <w:p w:rsidR="00D31F3C" w:rsidRPr="00BF5C08" w:rsidRDefault="005F7480">
      <w:pPr>
        <w:tabs>
          <w:tab w:val="left" w:pos="2835"/>
        </w:tabs>
        <w:spacing w:after="0" w:line="240" w:lineRule="auto"/>
        <w:jc w:val="both"/>
      </w:pPr>
      <w:r w:rsidRPr="00BF5C08">
        <w:rPr>
          <w:sz w:val="22"/>
          <w:szCs w:val="22"/>
        </w:rPr>
        <w:t xml:space="preserve">Zastoupená:                            </w:t>
      </w:r>
      <w:r w:rsidRPr="00BF5C08">
        <w:rPr>
          <w:sz w:val="22"/>
          <w:szCs w:val="22"/>
        </w:rPr>
        <w:tab/>
        <w:t>Tomáš Berger, jednatel</w:t>
      </w:r>
    </w:p>
    <w:p w:rsidR="00D31F3C" w:rsidRPr="00BF5C08" w:rsidRDefault="005F7480">
      <w:pPr>
        <w:spacing w:after="0" w:line="240" w:lineRule="auto"/>
        <w:jc w:val="both"/>
      </w:pPr>
      <w:r w:rsidRPr="00BF5C08">
        <w:rPr>
          <w:sz w:val="22"/>
          <w:szCs w:val="22"/>
        </w:rPr>
        <w:t>(dále jen „</w:t>
      </w:r>
      <w:r w:rsidRPr="00BF5C08">
        <w:rPr>
          <w:b/>
          <w:sz w:val="22"/>
          <w:szCs w:val="22"/>
        </w:rPr>
        <w:t>Poskytovatel</w:t>
      </w:r>
      <w:r w:rsidRPr="00BF5C08">
        <w:rPr>
          <w:sz w:val="22"/>
          <w:szCs w:val="22"/>
        </w:rPr>
        <w:t>“)</w:t>
      </w:r>
    </w:p>
    <w:p w:rsidR="00D31F3C" w:rsidRPr="00BF5C08" w:rsidRDefault="00D31F3C">
      <w:pPr>
        <w:spacing w:after="0" w:line="240" w:lineRule="auto"/>
        <w:jc w:val="both"/>
      </w:pPr>
    </w:p>
    <w:p w:rsidR="00D31F3C" w:rsidRPr="00BF5C08" w:rsidRDefault="005F7480">
      <w:pPr>
        <w:spacing w:after="0" w:line="240" w:lineRule="auto"/>
        <w:jc w:val="both"/>
      </w:pPr>
      <w:r w:rsidRPr="00BF5C08">
        <w:rPr>
          <w:sz w:val="22"/>
          <w:szCs w:val="22"/>
        </w:rPr>
        <w:t>a</w:t>
      </w:r>
    </w:p>
    <w:p w:rsidR="00D31F3C" w:rsidRPr="00BF5C08" w:rsidRDefault="00D31F3C">
      <w:pPr>
        <w:spacing w:after="0" w:line="240" w:lineRule="auto"/>
        <w:jc w:val="both"/>
      </w:pPr>
    </w:p>
    <w:p w:rsidR="00D31F3C" w:rsidRPr="00986596" w:rsidRDefault="005F7480" w:rsidP="007B44B3">
      <w:pPr>
        <w:tabs>
          <w:tab w:val="left" w:pos="2835"/>
          <w:tab w:val="right" w:pos="9072"/>
        </w:tabs>
        <w:spacing w:after="0" w:line="240" w:lineRule="auto"/>
        <w:jc w:val="both"/>
        <w:rPr>
          <w:b/>
        </w:rPr>
      </w:pPr>
      <w:r w:rsidRPr="00BF5C08">
        <w:rPr>
          <w:sz w:val="22"/>
          <w:szCs w:val="22"/>
        </w:rPr>
        <w:t xml:space="preserve">Název:  </w:t>
      </w:r>
      <w:r w:rsidR="00986596">
        <w:rPr>
          <w:sz w:val="22"/>
          <w:szCs w:val="22"/>
        </w:rPr>
        <w:tab/>
      </w:r>
      <w:r w:rsidR="00C10D10" w:rsidRPr="00C10D10">
        <w:rPr>
          <w:b/>
          <w:sz w:val="22"/>
          <w:szCs w:val="22"/>
        </w:rPr>
        <w:t>Univerzita Hradec Králové</w:t>
      </w:r>
      <w:r w:rsidR="007B44B3">
        <w:rPr>
          <w:b/>
          <w:sz w:val="22"/>
          <w:szCs w:val="22"/>
        </w:rPr>
        <w:tab/>
      </w:r>
    </w:p>
    <w:p w:rsidR="00986596" w:rsidRPr="00BF5C08" w:rsidRDefault="00986596">
      <w:pPr>
        <w:tabs>
          <w:tab w:val="left" w:pos="2835"/>
        </w:tabs>
        <w:spacing w:after="0" w:line="240" w:lineRule="auto"/>
        <w:jc w:val="both"/>
      </w:pPr>
      <w:r>
        <w:rPr>
          <w:sz w:val="22"/>
          <w:szCs w:val="22"/>
        </w:rPr>
        <w:t>Sídlo:</w:t>
      </w:r>
      <w:r w:rsidR="00C10D10">
        <w:rPr>
          <w:sz w:val="22"/>
          <w:szCs w:val="22"/>
        </w:rPr>
        <w:tab/>
      </w:r>
      <w:r w:rsidR="00C10D10" w:rsidRPr="00C10D10">
        <w:rPr>
          <w:sz w:val="22"/>
          <w:szCs w:val="22"/>
        </w:rPr>
        <w:t>Rokitanského 62/26, 50003 Hradec Králové</w:t>
      </w:r>
    </w:p>
    <w:p w:rsidR="00D31F3C" w:rsidRPr="00BF5C08" w:rsidRDefault="005F7480">
      <w:pPr>
        <w:tabs>
          <w:tab w:val="left" w:pos="2835"/>
        </w:tabs>
        <w:spacing w:after="0" w:line="240" w:lineRule="auto"/>
        <w:jc w:val="both"/>
      </w:pPr>
      <w:r w:rsidRPr="00BF5C08">
        <w:rPr>
          <w:sz w:val="22"/>
          <w:szCs w:val="22"/>
        </w:rPr>
        <w:t xml:space="preserve">IČ:    </w:t>
      </w:r>
      <w:r w:rsidR="00C10D10">
        <w:rPr>
          <w:sz w:val="22"/>
          <w:szCs w:val="22"/>
        </w:rPr>
        <w:tab/>
      </w:r>
      <w:r w:rsidR="00C10D10" w:rsidRPr="00C10D10">
        <w:rPr>
          <w:sz w:val="22"/>
          <w:szCs w:val="22"/>
        </w:rPr>
        <w:t>62690094</w:t>
      </w:r>
    </w:p>
    <w:p w:rsidR="00D31F3C" w:rsidRPr="00BF5C08" w:rsidRDefault="005F7480">
      <w:pPr>
        <w:tabs>
          <w:tab w:val="left" w:pos="2835"/>
        </w:tabs>
        <w:spacing w:after="0" w:line="240" w:lineRule="auto"/>
        <w:jc w:val="both"/>
      </w:pPr>
      <w:r w:rsidRPr="00BF5C08">
        <w:rPr>
          <w:sz w:val="22"/>
          <w:szCs w:val="22"/>
        </w:rPr>
        <w:t xml:space="preserve">DIČ:                                                </w:t>
      </w:r>
      <w:r w:rsidR="00C10D10">
        <w:rPr>
          <w:sz w:val="22"/>
          <w:szCs w:val="22"/>
        </w:rPr>
        <w:tab/>
        <w:t>CZ</w:t>
      </w:r>
      <w:r w:rsidR="00C10D10" w:rsidRPr="00C10D10">
        <w:rPr>
          <w:sz w:val="22"/>
          <w:szCs w:val="22"/>
        </w:rPr>
        <w:t>62690094</w:t>
      </w:r>
    </w:p>
    <w:p w:rsidR="00D31F3C" w:rsidRPr="00C02B1B" w:rsidRDefault="005F7480">
      <w:pPr>
        <w:tabs>
          <w:tab w:val="left" w:pos="2835"/>
        </w:tabs>
        <w:spacing w:after="0" w:line="240" w:lineRule="auto"/>
        <w:jc w:val="both"/>
        <w:rPr>
          <w:color w:val="auto"/>
        </w:rPr>
      </w:pPr>
      <w:r w:rsidRPr="00BF5C08">
        <w:rPr>
          <w:sz w:val="22"/>
          <w:szCs w:val="22"/>
        </w:rPr>
        <w:t xml:space="preserve">Zastoupená:                      </w:t>
      </w:r>
      <w:r w:rsidRPr="00C02B1B">
        <w:rPr>
          <w:color w:val="auto"/>
          <w:sz w:val="22"/>
          <w:szCs w:val="22"/>
        </w:rPr>
        <w:t xml:space="preserve">        </w:t>
      </w:r>
      <w:r w:rsidR="007B44B3" w:rsidRPr="00C02B1B">
        <w:rPr>
          <w:color w:val="auto"/>
          <w:sz w:val="22"/>
          <w:szCs w:val="22"/>
        </w:rPr>
        <w:t xml:space="preserve">prof. Ing. </w:t>
      </w:r>
      <w:r w:rsidR="00C10D10" w:rsidRPr="00C02B1B">
        <w:rPr>
          <w:color w:val="auto"/>
          <w:sz w:val="22"/>
          <w:szCs w:val="22"/>
        </w:rPr>
        <w:t>Kamil Kuča</w:t>
      </w:r>
      <w:r w:rsidR="007B44B3" w:rsidRPr="00C02B1B">
        <w:rPr>
          <w:color w:val="auto"/>
          <w:sz w:val="22"/>
          <w:szCs w:val="22"/>
        </w:rPr>
        <w:t xml:space="preserve"> Ph.D. </w:t>
      </w:r>
      <w:r w:rsidR="00C10D10" w:rsidRPr="00C02B1B">
        <w:rPr>
          <w:color w:val="auto"/>
          <w:sz w:val="22"/>
          <w:szCs w:val="22"/>
        </w:rPr>
        <w:t>, rektor</w:t>
      </w:r>
    </w:p>
    <w:p w:rsidR="00D31F3C" w:rsidRPr="00C02B1B" w:rsidRDefault="005F7480">
      <w:pPr>
        <w:spacing w:after="0" w:line="240" w:lineRule="auto"/>
        <w:jc w:val="both"/>
        <w:rPr>
          <w:color w:val="auto"/>
        </w:rPr>
      </w:pPr>
      <w:r w:rsidRPr="00C02B1B">
        <w:rPr>
          <w:color w:val="auto"/>
          <w:sz w:val="22"/>
          <w:szCs w:val="22"/>
        </w:rPr>
        <w:t>(dále jen „</w:t>
      </w:r>
      <w:r w:rsidRPr="00C02B1B">
        <w:rPr>
          <w:b/>
          <w:color w:val="auto"/>
          <w:sz w:val="22"/>
          <w:szCs w:val="22"/>
        </w:rPr>
        <w:t>Nabyvatel</w:t>
      </w:r>
      <w:r w:rsidRPr="00C02B1B">
        <w:rPr>
          <w:color w:val="auto"/>
          <w:sz w:val="22"/>
          <w:szCs w:val="22"/>
        </w:rPr>
        <w:t>“)</w:t>
      </w:r>
    </w:p>
    <w:p w:rsidR="00D31F3C" w:rsidRPr="00C02B1B" w:rsidRDefault="007B44B3">
      <w:pPr>
        <w:spacing w:after="120" w:line="240" w:lineRule="auto"/>
        <w:ind w:left="720" w:hanging="720"/>
        <w:jc w:val="center"/>
        <w:rPr>
          <w:color w:val="auto"/>
        </w:rPr>
      </w:pPr>
      <w:r w:rsidRPr="00C02B1B">
        <w:rPr>
          <w:color w:val="auto"/>
          <w:sz w:val="22"/>
          <w:szCs w:val="22"/>
        </w:rPr>
        <w:t>se dohodly</w:t>
      </w:r>
      <w:r w:rsidR="005F7480" w:rsidRPr="00C02B1B">
        <w:rPr>
          <w:color w:val="auto"/>
          <w:sz w:val="22"/>
          <w:szCs w:val="22"/>
        </w:rPr>
        <w:t xml:space="preserve"> na následujícím:</w:t>
      </w:r>
    </w:p>
    <w:p w:rsidR="00D31F3C" w:rsidRPr="00BF5C08" w:rsidRDefault="005F7480">
      <w:pPr>
        <w:keepNext/>
        <w:numPr>
          <w:ilvl w:val="0"/>
          <w:numId w:val="1"/>
        </w:numPr>
        <w:spacing w:before="480" w:after="240" w:line="240" w:lineRule="auto"/>
        <w:ind w:left="0"/>
        <w:jc w:val="center"/>
      </w:pPr>
      <w:r w:rsidRPr="00BF5C08">
        <w:rPr>
          <w:b/>
          <w:sz w:val="22"/>
          <w:szCs w:val="22"/>
        </w:rPr>
        <w:t>Předmět smlouvy</w:t>
      </w:r>
    </w:p>
    <w:p w:rsidR="00D31F3C" w:rsidRPr="00BF5C08" w:rsidRDefault="005F7480">
      <w:pPr>
        <w:numPr>
          <w:ilvl w:val="1"/>
          <w:numId w:val="1"/>
        </w:numPr>
        <w:spacing w:after="120" w:line="240" w:lineRule="auto"/>
        <w:ind w:left="720" w:hanging="720"/>
        <w:jc w:val="both"/>
      </w:pPr>
      <w:r w:rsidRPr="00BF5C08">
        <w:rPr>
          <w:sz w:val="22"/>
          <w:szCs w:val="22"/>
        </w:rPr>
        <w:t xml:space="preserve">Poskytovatel je oprávněn vykonávat veškerá majetková autorská práva k aplikaci MONITORA.cz, popsané v čl. </w:t>
      </w:r>
      <w:r w:rsidR="00BF5C08" w:rsidRPr="00BF5C08">
        <w:rPr>
          <w:sz w:val="22"/>
          <w:szCs w:val="22"/>
        </w:rPr>
        <w:t>2</w:t>
      </w:r>
      <w:r w:rsidRPr="00BF5C08">
        <w:rPr>
          <w:sz w:val="22"/>
          <w:szCs w:val="22"/>
        </w:rPr>
        <w:t>. níže (dále také jen „</w:t>
      </w:r>
      <w:r w:rsidRPr="00BF5C08">
        <w:rPr>
          <w:b/>
          <w:sz w:val="22"/>
          <w:szCs w:val="22"/>
        </w:rPr>
        <w:t>Aplikace</w:t>
      </w:r>
      <w:r w:rsidRPr="00BF5C08">
        <w:rPr>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sidRPr="00BF5C08">
        <w:rPr>
          <w:b/>
          <w:sz w:val="22"/>
          <w:szCs w:val="22"/>
        </w:rPr>
        <w:t>Licence</w:t>
      </w:r>
      <w:r w:rsidRPr="00BF5C08">
        <w:rPr>
          <w:sz w:val="22"/>
          <w:szCs w:val="22"/>
        </w:rPr>
        <w:t>“).</w:t>
      </w:r>
    </w:p>
    <w:p w:rsidR="00D31F3C" w:rsidRPr="00BF5C08" w:rsidRDefault="005F7480">
      <w:pPr>
        <w:numPr>
          <w:ilvl w:val="1"/>
          <w:numId w:val="1"/>
        </w:numPr>
        <w:spacing w:after="120" w:line="240" w:lineRule="auto"/>
        <w:ind w:left="720" w:hanging="720"/>
        <w:jc w:val="both"/>
      </w:pPr>
      <w:r w:rsidRPr="00BF5C08">
        <w:rPr>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rsidR="00D31F3C" w:rsidRPr="00BF5C08" w:rsidRDefault="005F7480">
      <w:pPr>
        <w:numPr>
          <w:ilvl w:val="1"/>
          <w:numId w:val="1"/>
        </w:numPr>
        <w:spacing w:after="120" w:line="240" w:lineRule="auto"/>
        <w:ind w:left="720" w:hanging="720"/>
        <w:jc w:val="both"/>
      </w:pPr>
      <w:r w:rsidRPr="00BF5C08">
        <w:rPr>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rsidR="00D31F3C" w:rsidRPr="00BF5C08" w:rsidRDefault="005F7480">
      <w:pPr>
        <w:numPr>
          <w:ilvl w:val="1"/>
          <w:numId w:val="1"/>
        </w:numPr>
        <w:spacing w:after="120" w:line="240" w:lineRule="auto"/>
        <w:ind w:left="720" w:hanging="720"/>
        <w:jc w:val="both"/>
      </w:pPr>
      <w:r w:rsidRPr="00BF5C08">
        <w:rPr>
          <w:sz w:val="22"/>
          <w:szCs w:val="22"/>
        </w:rPr>
        <w:t>Nabyvatel není oprávněn bez předchozího písemného souhlasu Poskytovatele poskytnout nebo jakkoli zpřístupnit informace z Aplikace třetím osobám.</w:t>
      </w:r>
    </w:p>
    <w:p w:rsidR="00D31F3C" w:rsidRPr="00BF5C08" w:rsidRDefault="005F7480">
      <w:pPr>
        <w:numPr>
          <w:ilvl w:val="1"/>
          <w:numId w:val="1"/>
        </w:numPr>
        <w:spacing w:after="120" w:line="240" w:lineRule="auto"/>
        <w:ind w:left="720" w:hanging="720"/>
        <w:jc w:val="both"/>
      </w:pPr>
      <w:r w:rsidRPr="00BF5C08">
        <w:rPr>
          <w:sz w:val="22"/>
          <w:szCs w:val="22"/>
        </w:rPr>
        <w:t xml:space="preserve">Počet licencí: </w:t>
      </w:r>
      <w:r w:rsidR="00C10D10">
        <w:rPr>
          <w:b/>
          <w:sz w:val="22"/>
          <w:szCs w:val="22"/>
        </w:rPr>
        <w:t>1</w:t>
      </w:r>
    </w:p>
    <w:p w:rsidR="00D31F3C" w:rsidRPr="00BF5C08" w:rsidRDefault="005F7480">
      <w:pPr>
        <w:numPr>
          <w:ilvl w:val="1"/>
          <w:numId w:val="1"/>
        </w:numPr>
        <w:spacing w:after="120" w:line="240" w:lineRule="auto"/>
        <w:ind w:left="720" w:hanging="720"/>
        <w:jc w:val="both"/>
      </w:pPr>
      <w:r w:rsidRPr="00BF5C08">
        <w:rPr>
          <w:sz w:val="22"/>
          <w:szCs w:val="22"/>
        </w:rPr>
        <w:t>Počet nalezených článků</w:t>
      </w:r>
      <w:r w:rsidR="00444F19">
        <w:rPr>
          <w:sz w:val="22"/>
          <w:szCs w:val="22"/>
        </w:rPr>
        <w:t>/měsíc</w:t>
      </w:r>
      <w:r w:rsidRPr="00BF5C08">
        <w:rPr>
          <w:b/>
          <w:sz w:val="22"/>
          <w:szCs w:val="22"/>
        </w:rPr>
        <w:t xml:space="preserve">: </w:t>
      </w:r>
      <w:r w:rsidR="00C10D10">
        <w:rPr>
          <w:b/>
          <w:sz w:val="22"/>
          <w:szCs w:val="22"/>
        </w:rPr>
        <w:t xml:space="preserve">500 </w:t>
      </w:r>
      <w:r w:rsidRPr="00BF5C08">
        <w:rPr>
          <w:sz w:val="22"/>
          <w:szCs w:val="22"/>
        </w:rPr>
        <w:t>(v případě, že bude tento limit pro počet nalezených článků překročen, upozorní na tuto skutečnost Poskytovatel Nabyvatele a nabídne případné dokoupení článků nad stanovený rámec)</w:t>
      </w:r>
      <w:r w:rsidRPr="00BF5C08">
        <w:t>.</w:t>
      </w:r>
    </w:p>
    <w:p w:rsidR="00D31F3C" w:rsidRPr="00BF5C08" w:rsidRDefault="005F7480">
      <w:pPr>
        <w:keepNext/>
        <w:numPr>
          <w:ilvl w:val="0"/>
          <w:numId w:val="1"/>
        </w:numPr>
        <w:spacing w:before="480" w:after="240" w:line="240" w:lineRule="auto"/>
        <w:ind w:left="0"/>
        <w:jc w:val="center"/>
      </w:pPr>
      <w:r w:rsidRPr="00BF5C08">
        <w:rPr>
          <w:b/>
          <w:sz w:val="22"/>
          <w:szCs w:val="22"/>
        </w:rPr>
        <w:lastRenderedPageBreak/>
        <w:t>Aplikace MONITORA</w:t>
      </w:r>
    </w:p>
    <w:p w:rsidR="00D31F3C" w:rsidRPr="00BF5C08" w:rsidRDefault="005F7480">
      <w:pPr>
        <w:numPr>
          <w:ilvl w:val="1"/>
          <w:numId w:val="1"/>
        </w:numPr>
        <w:spacing w:after="120" w:line="240" w:lineRule="auto"/>
        <w:ind w:left="720" w:hanging="720"/>
        <w:jc w:val="both"/>
      </w:pPr>
      <w:r w:rsidRPr="00BF5C08">
        <w:rPr>
          <w:sz w:val="22"/>
          <w:szCs w:val="22"/>
        </w:rPr>
        <w:t>Aplikace poskytuje Nabyvateli možnost sledovat a vyhledávat informace podle zadaných klíčových slov na sledovaných tištěných, online a audiovizuálních mediích.</w:t>
      </w:r>
    </w:p>
    <w:p w:rsidR="00D31F3C" w:rsidRPr="00BF5C08" w:rsidRDefault="005F7480">
      <w:pPr>
        <w:numPr>
          <w:ilvl w:val="1"/>
          <w:numId w:val="1"/>
        </w:numPr>
        <w:spacing w:after="120" w:line="240" w:lineRule="auto"/>
        <w:ind w:left="720" w:hanging="720"/>
        <w:jc w:val="both"/>
      </w:pPr>
      <w:r w:rsidRPr="00BF5C08">
        <w:rPr>
          <w:sz w:val="22"/>
          <w:szCs w:val="22"/>
        </w:rPr>
        <w:t xml:space="preserve">Seznam aktuálně sledovaných zdrojů je uveden na webových stránkách </w:t>
      </w:r>
      <w:hyperlink r:id="rId8">
        <w:r w:rsidRPr="00BF5C08">
          <w:rPr>
            <w:color w:val="4BACC6"/>
            <w:sz w:val="22"/>
            <w:szCs w:val="22"/>
            <w:u w:val="single"/>
          </w:rPr>
          <w:t>www.monitora.cz</w:t>
        </w:r>
      </w:hyperlink>
      <w:r w:rsidRPr="00BF5C08">
        <w:rPr>
          <w:sz w:val="22"/>
          <w:szCs w:val="22"/>
        </w:rPr>
        <w:t>.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rsidR="00D31F3C" w:rsidRPr="00BF5C08" w:rsidRDefault="005F7480">
      <w:pPr>
        <w:numPr>
          <w:ilvl w:val="1"/>
          <w:numId w:val="1"/>
        </w:numPr>
        <w:spacing w:after="120" w:line="240" w:lineRule="auto"/>
        <w:ind w:left="720" w:hanging="720"/>
        <w:jc w:val="both"/>
      </w:pPr>
      <w:r w:rsidRPr="00BF5C08">
        <w:rPr>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rsidR="00D31F3C" w:rsidRPr="00BF5C08" w:rsidRDefault="005F7480">
      <w:pPr>
        <w:keepNext/>
        <w:numPr>
          <w:ilvl w:val="0"/>
          <w:numId w:val="1"/>
        </w:numPr>
        <w:spacing w:before="480" w:after="240" w:line="240" w:lineRule="auto"/>
        <w:ind w:left="0"/>
        <w:jc w:val="center"/>
      </w:pPr>
      <w:r w:rsidRPr="00BF5C08">
        <w:rPr>
          <w:b/>
          <w:sz w:val="22"/>
          <w:szCs w:val="22"/>
        </w:rPr>
        <w:t>Užití Aplikace Nabyvatelem</w:t>
      </w:r>
    </w:p>
    <w:p w:rsidR="00D31F3C" w:rsidRPr="00BF5C08" w:rsidRDefault="005F7480">
      <w:pPr>
        <w:numPr>
          <w:ilvl w:val="1"/>
          <w:numId w:val="1"/>
        </w:numPr>
        <w:spacing w:after="120" w:line="240" w:lineRule="auto"/>
        <w:ind w:left="720" w:hanging="720"/>
        <w:jc w:val="both"/>
      </w:pPr>
      <w:r w:rsidRPr="00BF5C08">
        <w:rPr>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rsidR="00D31F3C" w:rsidRPr="00BF5C08" w:rsidRDefault="005F7480">
      <w:pPr>
        <w:numPr>
          <w:ilvl w:val="1"/>
          <w:numId w:val="1"/>
        </w:numPr>
        <w:spacing w:after="120" w:line="240" w:lineRule="auto"/>
        <w:ind w:left="720" w:hanging="720"/>
        <w:jc w:val="both"/>
      </w:pPr>
      <w:r w:rsidRPr="00BF5C08">
        <w:rPr>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rsidR="00D31F3C" w:rsidRPr="00BF5C08" w:rsidRDefault="005F7480">
      <w:pPr>
        <w:numPr>
          <w:ilvl w:val="1"/>
          <w:numId w:val="1"/>
        </w:numPr>
        <w:spacing w:after="120" w:line="240" w:lineRule="auto"/>
        <w:ind w:left="720" w:hanging="720"/>
        <w:jc w:val="both"/>
      </w:pPr>
      <w:r w:rsidRPr="00BF5C08">
        <w:rPr>
          <w:sz w:val="22"/>
          <w:szCs w:val="22"/>
        </w:rP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rsidR="00D31F3C" w:rsidRPr="00BF5C08" w:rsidRDefault="005F7480">
      <w:pPr>
        <w:numPr>
          <w:ilvl w:val="1"/>
          <w:numId w:val="1"/>
        </w:numPr>
        <w:spacing w:after="120" w:line="240" w:lineRule="auto"/>
        <w:ind w:left="720" w:hanging="720"/>
        <w:jc w:val="both"/>
      </w:pPr>
      <w:r w:rsidRPr="00BF5C08">
        <w:rPr>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rsidR="00D31F3C" w:rsidRPr="00BF5C08" w:rsidRDefault="005F7480">
      <w:pPr>
        <w:numPr>
          <w:ilvl w:val="1"/>
          <w:numId w:val="1"/>
        </w:numPr>
        <w:spacing w:after="120" w:line="240" w:lineRule="auto"/>
        <w:ind w:left="720" w:hanging="720"/>
        <w:jc w:val="both"/>
      </w:pPr>
      <w:r w:rsidRPr="00BF5C08">
        <w:rPr>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rsidR="00D31F3C" w:rsidRPr="0044731B" w:rsidRDefault="005F7480">
      <w:pPr>
        <w:numPr>
          <w:ilvl w:val="1"/>
          <w:numId w:val="1"/>
        </w:numPr>
        <w:spacing w:after="120" w:line="240" w:lineRule="auto"/>
        <w:ind w:left="720" w:hanging="720"/>
        <w:jc w:val="both"/>
      </w:pPr>
      <w:r w:rsidRPr="00BF5C08">
        <w:rPr>
          <w:sz w:val="22"/>
          <w:szCs w:val="22"/>
        </w:rPr>
        <w:t xml:space="preserve">Nabyvatel má právo přístupu k údajům, poskytnutým mu prostřednictvím Aplikace dle této smlouvy pouze po dobu účinnosti této smlouvy. </w:t>
      </w:r>
    </w:p>
    <w:p w:rsidR="0044731B" w:rsidRPr="00BF5C08" w:rsidRDefault="0044731B" w:rsidP="0044731B">
      <w:pPr>
        <w:spacing w:after="120" w:line="240" w:lineRule="auto"/>
        <w:ind w:left="720"/>
        <w:jc w:val="both"/>
      </w:pPr>
    </w:p>
    <w:p w:rsidR="00D31F3C" w:rsidRPr="00BF5C08" w:rsidRDefault="005F7480">
      <w:pPr>
        <w:keepNext/>
        <w:numPr>
          <w:ilvl w:val="0"/>
          <w:numId w:val="1"/>
        </w:numPr>
        <w:spacing w:before="480" w:after="240" w:line="240" w:lineRule="auto"/>
        <w:ind w:left="0"/>
        <w:jc w:val="center"/>
      </w:pPr>
      <w:r w:rsidRPr="00BF5C08">
        <w:rPr>
          <w:b/>
          <w:sz w:val="22"/>
          <w:szCs w:val="22"/>
        </w:rPr>
        <w:lastRenderedPageBreak/>
        <w:t>Omezení Aplikace a databáze</w:t>
      </w:r>
    </w:p>
    <w:p w:rsidR="00D31F3C" w:rsidRPr="00BF5C08" w:rsidRDefault="005F7480">
      <w:pPr>
        <w:numPr>
          <w:ilvl w:val="1"/>
          <w:numId w:val="1"/>
        </w:numPr>
        <w:spacing w:after="120" w:line="240" w:lineRule="auto"/>
        <w:ind w:left="720" w:hanging="720"/>
        <w:jc w:val="both"/>
      </w:pPr>
      <w:r w:rsidRPr="00BF5C08">
        <w:rPr>
          <w:sz w:val="22"/>
          <w:szCs w:val="22"/>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rsidR="00D31F3C" w:rsidRPr="00BF5C08" w:rsidRDefault="005F7480">
      <w:pPr>
        <w:numPr>
          <w:ilvl w:val="1"/>
          <w:numId w:val="1"/>
        </w:numPr>
        <w:spacing w:after="120" w:line="240" w:lineRule="auto"/>
        <w:ind w:left="720" w:hanging="720"/>
        <w:jc w:val="both"/>
      </w:pPr>
      <w:r w:rsidRPr="00BF5C08">
        <w:rPr>
          <w:sz w:val="22"/>
          <w:szCs w:val="22"/>
        </w:rPr>
        <w:t xml:space="preserve">Nabyvatel bere na vědomí, že data zpřístupněná Aplikací mohou být a jsou předmětem autorských, osobnostních či jiných práv třetích osob a nese plnou odpovědnost za jejich případné další užití či šíření. </w:t>
      </w:r>
    </w:p>
    <w:p w:rsidR="00D31F3C" w:rsidRPr="00BF5C08" w:rsidRDefault="005F7480">
      <w:pPr>
        <w:numPr>
          <w:ilvl w:val="1"/>
          <w:numId w:val="1"/>
        </w:numPr>
        <w:spacing w:after="120" w:line="240" w:lineRule="auto"/>
        <w:ind w:left="720" w:hanging="720"/>
        <w:jc w:val="both"/>
      </w:pPr>
      <w:r w:rsidRPr="00BF5C08">
        <w:rPr>
          <w:sz w:val="22"/>
          <w:szCs w:val="22"/>
        </w:rPr>
        <w:t>Nabyvatel bere na vědomí, že e-mailové kontakty získané v souvislosti s plněním této smlouvy lze využívat pouze v souladu se zákonem č. 480/2004 Sb., o některých službách informační společnosti, v platném znění.</w:t>
      </w:r>
    </w:p>
    <w:p w:rsidR="00D31F3C" w:rsidRPr="00B36838" w:rsidRDefault="005F7480">
      <w:pPr>
        <w:numPr>
          <w:ilvl w:val="1"/>
          <w:numId w:val="1"/>
        </w:numPr>
        <w:spacing w:after="120" w:line="240" w:lineRule="auto"/>
        <w:ind w:left="720" w:hanging="720"/>
        <w:jc w:val="both"/>
      </w:pPr>
      <w:r w:rsidRPr="00BF5C08">
        <w:rPr>
          <w:sz w:val="22"/>
          <w:szCs w:val="22"/>
        </w:rPr>
        <w:t xml:space="preserve">Poskytovatel neodpovídá za škody způsobené Nabyvateli anebo třetím osobám z důvodu vad Aplikace anebo dat zpřístupněných Aplikací. </w:t>
      </w:r>
    </w:p>
    <w:p w:rsidR="00B36838" w:rsidRPr="00C02B1B" w:rsidRDefault="00B36838" w:rsidP="00B36838">
      <w:pPr>
        <w:spacing w:after="120" w:line="240" w:lineRule="auto"/>
        <w:ind w:left="720"/>
        <w:jc w:val="both"/>
        <w:rPr>
          <w:color w:val="auto"/>
        </w:rPr>
      </w:pPr>
      <w:r w:rsidRPr="00C02B1B">
        <w:rPr>
          <w:color w:val="auto"/>
          <w:sz w:val="22"/>
          <w:szCs w:val="22"/>
        </w:rPr>
        <w:t xml:space="preserve">Poskytovatel odpovídá za </w:t>
      </w:r>
      <w:r w:rsidR="00C02B1B">
        <w:rPr>
          <w:color w:val="auto"/>
          <w:sz w:val="22"/>
          <w:szCs w:val="22"/>
        </w:rPr>
        <w:t xml:space="preserve">škodu, která Nabyvateli vznikne, </w:t>
      </w:r>
      <w:r w:rsidRPr="00C02B1B">
        <w:rPr>
          <w:color w:val="auto"/>
          <w:sz w:val="22"/>
          <w:szCs w:val="22"/>
        </w:rPr>
        <w:t>prokáže-li se, že prohlášení Poskytovatele uvedené v čl. 1 této není pravdivé a třetí osoba uplatní proti Nabyvateli nároky z autorských práv k Aplikaci.</w:t>
      </w:r>
    </w:p>
    <w:p w:rsidR="00D31F3C" w:rsidRPr="00BF5C08" w:rsidRDefault="005F7480">
      <w:pPr>
        <w:keepNext/>
        <w:numPr>
          <w:ilvl w:val="0"/>
          <w:numId w:val="1"/>
        </w:numPr>
        <w:spacing w:before="480" w:after="240" w:line="240" w:lineRule="auto"/>
        <w:ind w:left="0"/>
        <w:jc w:val="center"/>
      </w:pPr>
      <w:r w:rsidRPr="00BF5C08">
        <w:rPr>
          <w:b/>
          <w:sz w:val="22"/>
          <w:szCs w:val="22"/>
        </w:rPr>
        <w:t>Odměna za poskytnutí Licence</w:t>
      </w:r>
    </w:p>
    <w:p w:rsidR="00D31F3C" w:rsidRPr="00BF5C08" w:rsidRDefault="00C02B1B">
      <w:pPr>
        <w:numPr>
          <w:ilvl w:val="1"/>
          <w:numId w:val="1"/>
        </w:numPr>
        <w:spacing w:after="120" w:line="240" w:lineRule="auto"/>
        <w:ind w:left="720" w:hanging="720"/>
        <w:jc w:val="both"/>
      </w:pPr>
      <w:r>
        <w:rPr>
          <w:sz w:val="22"/>
          <w:szCs w:val="22"/>
        </w:rPr>
        <w:t xml:space="preserve">Celková výše </w:t>
      </w:r>
      <w:r w:rsidR="005F7480" w:rsidRPr="00BF5C08">
        <w:rPr>
          <w:sz w:val="22"/>
          <w:szCs w:val="22"/>
        </w:rPr>
        <w:t>měsíční odměny za 1 licenci za monitoring:</w:t>
      </w:r>
      <w:r w:rsidR="0095636A">
        <w:rPr>
          <w:b/>
          <w:sz w:val="22"/>
          <w:szCs w:val="22"/>
        </w:rPr>
        <w:t xml:space="preserve"> 4.7</w:t>
      </w:r>
      <w:r w:rsidR="00C10D10">
        <w:rPr>
          <w:b/>
          <w:sz w:val="22"/>
          <w:szCs w:val="22"/>
        </w:rPr>
        <w:t>00</w:t>
      </w:r>
      <w:r w:rsidR="00CA56D1" w:rsidRPr="00986596">
        <w:rPr>
          <w:b/>
          <w:sz w:val="22"/>
          <w:szCs w:val="22"/>
        </w:rPr>
        <w:t>,- Kč bez DPH</w:t>
      </w:r>
    </w:p>
    <w:p w:rsidR="00D31F3C" w:rsidRPr="00BF5C08" w:rsidRDefault="005F7480">
      <w:pPr>
        <w:numPr>
          <w:ilvl w:val="1"/>
          <w:numId w:val="1"/>
        </w:numPr>
        <w:spacing w:after="120" w:line="240" w:lineRule="auto"/>
        <w:ind w:left="720" w:hanging="720"/>
        <w:jc w:val="both"/>
      </w:pPr>
      <w:r w:rsidRPr="00BF5C08">
        <w:rPr>
          <w:sz w:val="22"/>
          <w:szCs w:val="22"/>
        </w:rPr>
        <w:t>K odměně dle čl. 5.1 bude připočtena DPH v zákonné výši.</w:t>
      </w:r>
    </w:p>
    <w:p w:rsidR="00D31F3C" w:rsidRPr="00DC7F65" w:rsidRDefault="005F7480">
      <w:pPr>
        <w:numPr>
          <w:ilvl w:val="1"/>
          <w:numId w:val="1"/>
        </w:numPr>
        <w:spacing w:after="120" w:line="240" w:lineRule="auto"/>
        <w:ind w:left="720" w:hanging="720"/>
        <w:jc w:val="both"/>
      </w:pPr>
      <w:r w:rsidRPr="00BF5C08">
        <w:rPr>
          <w:sz w:val="22"/>
          <w:szCs w:val="22"/>
        </w:rPr>
        <w:t xml:space="preserve">Smluvní strany sjednaly, že Nabyvatel uhradí Poskytovateli odměnu za čerpání služby a příslušnou DPH vždy na </w:t>
      </w:r>
      <w:r w:rsidRPr="00C10D10">
        <w:rPr>
          <w:b/>
          <w:sz w:val="22"/>
          <w:szCs w:val="22"/>
        </w:rPr>
        <w:t>1 měsíc dopředu</w:t>
      </w:r>
      <w:r w:rsidRPr="00BF5C08">
        <w:rPr>
          <w:sz w:val="22"/>
          <w:szCs w:val="22"/>
        </w:rPr>
        <w:t xml:space="preserve"> na základě </w:t>
      </w:r>
      <w:r w:rsidRPr="00C10D10">
        <w:rPr>
          <w:sz w:val="22"/>
          <w:szCs w:val="22"/>
        </w:rPr>
        <w:t>daňového dokladu</w:t>
      </w:r>
      <w:r w:rsidRPr="00BF5C08">
        <w:rPr>
          <w:sz w:val="22"/>
          <w:szCs w:val="22"/>
        </w:rPr>
        <w:t xml:space="preserve"> se splatností 14 kalendářních dnů od dne jejich doručení, vystavených po uzavření této smlouvy, a to bezhotovostním převodem na bankovní účet uvedený na příslušném dokladu vystaveném Poskytovatelem.</w:t>
      </w:r>
    </w:p>
    <w:p w:rsidR="00DC7F65" w:rsidRPr="00BF5C08" w:rsidRDefault="00DC7F65">
      <w:pPr>
        <w:numPr>
          <w:ilvl w:val="1"/>
          <w:numId w:val="1"/>
        </w:numPr>
        <w:spacing w:after="120" w:line="240" w:lineRule="auto"/>
        <w:ind w:left="720" w:hanging="720"/>
        <w:jc w:val="both"/>
      </w:pPr>
      <w:r w:rsidRPr="00F679A6">
        <w:rPr>
          <w:rFonts w:eastAsia="Arial" w:cs="Arial"/>
          <w:sz w:val="22"/>
          <w:szCs w:val="22"/>
        </w:rPr>
        <w:t>Při prodlení úhrady faktury se sjednává smluvní pokuta ve výši 1 % z dlužné částky za každý den prodlení. V případě prodlení úhrady faktury překračující 60 kalendářních dnů má Poskytovatel nárok na pozastavení aplikace do doby úhrady</w:t>
      </w:r>
      <w:r>
        <w:rPr>
          <w:rFonts w:eastAsia="Arial" w:cs="Arial"/>
          <w:sz w:val="22"/>
          <w:szCs w:val="22"/>
        </w:rPr>
        <w:t>,</w:t>
      </w:r>
      <w:r w:rsidRPr="00F679A6">
        <w:rPr>
          <w:rFonts w:eastAsia="Arial" w:cs="Arial"/>
          <w:sz w:val="22"/>
          <w:szCs w:val="22"/>
        </w:rPr>
        <w:t xml:space="preserve"> aniž by se tím narušil nárok Poskytovatele na odměnu, a to bez nároku </w:t>
      </w:r>
      <w:r w:rsidR="00C02B1B">
        <w:rPr>
          <w:rFonts w:eastAsia="Arial" w:cs="Arial"/>
          <w:sz w:val="22"/>
          <w:szCs w:val="22"/>
        </w:rPr>
        <w:t>Nabyvatele</w:t>
      </w:r>
      <w:r w:rsidRPr="00F679A6">
        <w:rPr>
          <w:rFonts w:eastAsia="Arial" w:cs="Arial"/>
          <w:sz w:val="22"/>
          <w:szCs w:val="22"/>
        </w:rPr>
        <w:t xml:space="preserve"> na náhradu období, po které byla aplikace pozastavena</w:t>
      </w:r>
      <w:r>
        <w:rPr>
          <w:rFonts w:eastAsia="Arial" w:cs="Arial"/>
          <w:sz w:val="22"/>
          <w:szCs w:val="22"/>
        </w:rPr>
        <w:t>.</w:t>
      </w:r>
    </w:p>
    <w:p w:rsidR="00D31F3C" w:rsidRPr="00BF5C08" w:rsidRDefault="005F7480">
      <w:pPr>
        <w:keepNext/>
        <w:numPr>
          <w:ilvl w:val="0"/>
          <w:numId w:val="1"/>
        </w:numPr>
        <w:spacing w:before="480" w:after="240" w:line="240" w:lineRule="auto"/>
        <w:ind w:left="0"/>
        <w:jc w:val="center"/>
      </w:pPr>
      <w:r w:rsidRPr="00BF5C08">
        <w:rPr>
          <w:b/>
          <w:sz w:val="22"/>
          <w:szCs w:val="22"/>
        </w:rPr>
        <w:t>Trvání smlouvy</w:t>
      </w:r>
    </w:p>
    <w:p w:rsidR="00D31F3C" w:rsidRPr="0033073D" w:rsidRDefault="005F7480">
      <w:pPr>
        <w:numPr>
          <w:ilvl w:val="1"/>
          <w:numId w:val="1"/>
        </w:numPr>
        <w:spacing w:after="120" w:line="240" w:lineRule="auto"/>
        <w:ind w:left="720" w:hanging="720"/>
        <w:jc w:val="both"/>
        <w:rPr>
          <w:color w:val="auto"/>
        </w:rPr>
      </w:pPr>
      <w:r w:rsidRPr="00BF5C08">
        <w:rPr>
          <w:sz w:val="22"/>
          <w:szCs w:val="22"/>
        </w:rPr>
        <w:t xml:space="preserve">Tato smlouva se uzavírá na </w:t>
      </w:r>
      <w:r w:rsidRPr="0033073D">
        <w:rPr>
          <w:color w:val="auto"/>
          <w:sz w:val="22"/>
          <w:szCs w:val="22"/>
        </w:rPr>
        <w:t>dobu</w:t>
      </w:r>
      <w:r w:rsidR="0085176A" w:rsidRPr="0033073D">
        <w:rPr>
          <w:color w:val="auto"/>
          <w:sz w:val="22"/>
          <w:szCs w:val="22"/>
        </w:rPr>
        <w:t xml:space="preserve"> ne</w:t>
      </w:r>
      <w:r w:rsidRPr="0033073D">
        <w:rPr>
          <w:color w:val="auto"/>
          <w:sz w:val="22"/>
          <w:szCs w:val="22"/>
        </w:rPr>
        <w:t xml:space="preserve">určitou </w:t>
      </w:r>
      <w:r w:rsidR="00C02B1B" w:rsidRPr="0033073D">
        <w:rPr>
          <w:color w:val="auto"/>
          <w:sz w:val="22"/>
          <w:szCs w:val="22"/>
        </w:rPr>
        <w:t>s účinností od 1.1. 2018</w:t>
      </w:r>
      <w:r w:rsidRPr="0033073D">
        <w:rPr>
          <w:color w:val="auto"/>
          <w:sz w:val="22"/>
          <w:szCs w:val="22"/>
        </w:rPr>
        <w:t>.</w:t>
      </w:r>
    </w:p>
    <w:p w:rsidR="00057776" w:rsidRPr="0033073D" w:rsidRDefault="0085176A" w:rsidP="00057776">
      <w:pPr>
        <w:numPr>
          <w:ilvl w:val="1"/>
          <w:numId w:val="1"/>
        </w:numPr>
        <w:spacing w:after="120" w:line="240" w:lineRule="auto"/>
        <w:ind w:left="720" w:hanging="720"/>
        <w:jc w:val="both"/>
        <w:rPr>
          <w:color w:val="auto"/>
        </w:rPr>
      </w:pPr>
      <w:r w:rsidRPr="0033073D">
        <w:rPr>
          <w:color w:val="auto"/>
          <w:sz w:val="22"/>
          <w:szCs w:val="22"/>
        </w:rPr>
        <w:t xml:space="preserve">Smluvní vztah založený touto smlouvou </w:t>
      </w:r>
      <w:r w:rsidR="00057776" w:rsidRPr="0033073D">
        <w:rPr>
          <w:color w:val="auto"/>
          <w:sz w:val="22"/>
          <w:szCs w:val="22"/>
        </w:rPr>
        <w:t>k</w:t>
      </w:r>
      <w:r w:rsidRPr="0033073D">
        <w:rPr>
          <w:color w:val="auto"/>
          <w:sz w:val="22"/>
          <w:szCs w:val="22"/>
        </w:rPr>
        <w:t>ončí dohodou smluvních stran nebo výpovědí.</w:t>
      </w:r>
      <w:r w:rsidR="00057776" w:rsidRPr="0033073D">
        <w:rPr>
          <w:color w:val="auto"/>
          <w:sz w:val="22"/>
          <w:szCs w:val="22"/>
        </w:rPr>
        <w:t xml:space="preserve"> Výpovědní doba činí 2 měsíce a začíná běžet od prvého dne měsíce následujícího po měsíci, v němž byla písemná výpověď druhé straně doručena</w:t>
      </w:r>
    </w:p>
    <w:p w:rsidR="00057776" w:rsidRPr="00057776" w:rsidRDefault="00057776">
      <w:pPr>
        <w:keepNext/>
        <w:numPr>
          <w:ilvl w:val="0"/>
          <w:numId w:val="1"/>
        </w:numPr>
        <w:spacing w:before="480" w:after="240" w:line="240" w:lineRule="auto"/>
        <w:ind w:left="0"/>
        <w:jc w:val="center"/>
      </w:pPr>
    </w:p>
    <w:p w:rsidR="00D31F3C" w:rsidRPr="00BF5C08" w:rsidRDefault="005F7480">
      <w:pPr>
        <w:keepNext/>
        <w:numPr>
          <w:ilvl w:val="0"/>
          <w:numId w:val="1"/>
        </w:numPr>
        <w:spacing w:before="480" w:after="240" w:line="240" w:lineRule="auto"/>
        <w:ind w:left="0"/>
        <w:jc w:val="center"/>
      </w:pPr>
      <w:r w:rsidRPr="00BF5C08">
        <w:rPr>
          <w:b/>
          <w:sz w:val="22"/>
          <w:szCs w:val="22"/>
        </w:rPr>
        <w:t>Závěrečná ustanovení</w:t>
      </w:r>
    </w:p>
    <w:p w:rsidR="00D31F3C" w:rsidRPr="00C02B1B" w:rsidRDefault="005F7480">
      <w:pPr>
        <w:numPr>
          <w:ilvl w:val="1"/>
          <w:numId w:val="1"/>
        </w:numPr>
        <w:spacing w:after="120" w:line="240" w:lineRule="auto"/>
        <w:ind w:left="720" w:hanging="720"/>
        <w:jc w:val="both"/>
        <w:rPr>
          <w:color w:val="auto"/>
        </w:rPr>
      </w:pPr>
      <w:r w:rsidRPr="00BF5C08">
        <w:rPr>
          <w:sz w:val="22"/>
          <w:szCs w:val="22"/>
        </w:rPr>
        <w:t>Vztahuje-li se důvod neplatnosti resp. neúčinnosti jen na některé ustanovení této smlouvy, je neplatným resp. neúčinným pouze toto ustanovení, pokud z jeho povahy nebo obsahu anebo z okolností, za nichž bylo sjednáno, nevyplývá, že je nelze oddělit od ostatního obsahu smlouvy.</w:t>
      </w:r>
    </w:p>
    <w:p w:rsidR="00A84355" w:rsidRPr="00C02B1B" w:rsidRDefault="00A84355">
      <w:pPr>
        <w:numPr>
          <w:ilvl w:val="1"/>
          <w:numId w:val="1"/>
        </w:numPr>
        <w:spacing w:after="120" w:line="240" w:lineRule="auto"/>
        <w:ind w:left="720" w:hanging="720"/>
        <w:jc w:val="both"/>
        <w:rPr>
          <w:color w:val="auto"/>
        </w:rPr>
      </w:pPr>
      <w:r w:rsidRPr="00C02B1B">
        <w:rPr>
          <w:color w:val="auto"/>
          <w:sz w:val="22"/>
          <w:szCs w:val="22"/>
        </w:rPr>
        <w:t>Vztahy výslovně touto smlouvou neupravené se řídí ustanoveními občanského zákoníku o smlouvě licenční.</w:t>
      </w:r>
    </w:p>
    <w:p w:rsidR="00D31F3C" w:rsidRPr="00BF5C08" w:rsidRDefault="005F7480">
      <w:pPr>
        <w:numPr>
          <w:ilvl w:val="1"/>
          <w:numId w:val="1"/>
        </w:numPr>
        <w:spacing w:after="120" w:line="240" w:lineRule="auto"/>
        <w:ind w:left="720" w:hanging="720"/>
        <w:jc w:val="both"/>
      </w:pPr>
      <w:r w:rsidRPr="00BF5C08">
        <w:rPr>
          <w:sz w:val="22"/>
          <w:szCs w:val="22"/>
        </w:rP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rsidR="00D31F3C" w:rsidRPr="00BF5C08" w:rsidRDefault="005F7480">
      <w:pPr>
        <w:numPr>
          <w:ilvl w:val="1"/>
          <w:numId w:val="1"/>
        </w:numPr>
        <w:spacing w:after="120" w:line="240" w:lineRule="auto"/>
        <w:ind w:left="720" w:hanging="720"/>
        <w:jc w:val="both"/>
      </w:pPr>
      <w:r w:rsidRPr="00BF5C08">
        <w:rPr>
          <w:sz w:val="22"/>
          <w:szCs w:val="22"/>
        </w:rPr>
        <w:t>Smluvní strany sjednaly, že pro řešení sporů ze vztahů vzniklých na základě této smlouvy je místně příslušný soud, v jehož obvodu je sídlo Poskytovatele.</w:t>
      </w:r>
    </w:p>
    <w:p w:rsidR="00D31F3C" w:rsidRPr="00BF5C08" w:rsidRDefault="005F7480">
      <w:pPr>
        <w:numPr>
          <w:ilvl w:val="1"/>
          <w:numId w:val="1"/>
        </w:numPr>
        <w:spacing w:after="120" w:line="240" w:lineRule="auto"/>
        <w:ind w:left="720" w:hanging="720"/>
        <w:jc w:val="both"/>
        <w:rPr>
          <w:sz w:val="22"/>
          <w:szCs w:val="22"/>
        </w:rPr>
      </w:pPr>
      <w:r w:rsidRPr="00BF5C08">
        <w:rPr>
          <w:sz w:val="22"/>
          <w:szCs w:val="22"/>
        </w:rPr>
        <w:t>Poskytovatel je tímto oprávněn uvádět název a/či logo Nabyvatele ve svém seznamu referenčních klientů na svých internetových prezentacích, sociálních sítích, propagačních materiálech a podobně.</w:t>
      </w:r>
    </w:p>
    <w:p w:rsidR="00D31F3C" w:rsidRPr="00BF5C08" w:rsidRDefault="005F7480">
      <w:pPr>
        <w:numPr>
          <w:ilvl w:val="1"/>
          <w:numId w:val="1"/>
        </w:numPr>
        <w:spacing w:after="120" w:line="240" w:lineRule="auto"/>
        <w:ind w:left="720" w:hanging="720"/>
        <w:jc w:val="both"/>
      </w:pPr>
      <w:r w:rsidRPr="00BF5C08">
        <w:rPr>
          <w:sz w:val="22"/>
          <w:szCs w:val="22"/>
        </w:rPr>
        <w:t>Tato smlouv</w:t>
      </w:r>
      <w:r w:rsidR="00894999">
        <w:rPr>
          <w:sz w:val="22"/>
          <w:szCs w:val="22"/>
        </w:rPr>
        <w:t>a je uzavřena ve dvou vyhotovení</w:t>
      </w:r>
      <w:r w:rsidRPr="00BF5C08">
        <w:rPr>
          <w:sz w:val="22"/>
          <w:szCs w:val="22"/>
        </w:rPr>
        <w:t>ch, z nichž každá strana obdrží po jednom.</w:t>
      </w:r>
    </w:p>
    <w:p w:rsidR="00D31F3C" w:rsidRPr="00986596" w:rsidRDefault="005F7480">
      <w:pPr>
        <w:numPr>
          <w:ilvl w:val="1"/>
          <w:numId w:val="1"/>
        </w:numPr>
        <w:spacing w:after="120" w:line="240" w:lineRule="auto"/>
        <w:ind w:left="720" w:hanging="720"/>
        <w:jc w:val="both"/>
      </w:pPr>
      <w:r w:rsidRPr="00BF5C08">
        <w:rPr>
          <w:sz w:val="22"/>
          <w:szCs w:val="22"/>
        </w:rPr>
        <w:t xml:space="preserve">Smluvní strany prohlašují, že si tuto smlouvu řádně přečetly, a na důkaz souhlasu s jejím obsahem připojují své podpisy. </w:t>
      </w:r>
    </w:p>
    <w:p w:rsidR="00C10D10" w:rsidRDefault="00C10D10" w:rsidP="00BF5C08">
      <w:pPr>
        <w:spacing w:after="120" w:line="240" w:lineRule="auto"/>
        <w:jc w:val="both"/>
      </w:pPr>
    </w:p>
    <w:p w:rsidR="00986596" w:rsidRDefault="00986596" w:rsidP="00BF5C08">
      <w:pPr>
        <w:spacing w:after="120" w:line="240" w:lineRule="auto"/>
        <w:jc w:val="both"/>
      </w:pPr>
      <w:r>
        <w:t>V</w:t>
      </w:r>
      <w:r w:rsidR="00C10D10">
        <w:t xml:space="preserve"> Praze </w:t>
      </w:r>
      <w:r>
        <w:t xml:space="preserve">dne </w:t>
      </w:r>
      <w:r w:rsidR="0033073D">
        <w:t>3</w:t>
      </w:r>
      <w:r w:rsidR="0095636A">
        <w:t>0</w:t>
      </w:r>
      <w:r w:rsidR="00C10D10">
        <w:t>.</w:t>
      </w:r>
      <w:r w:rsidR="0095636A">
        <w:t>října</w:t>
      </w:r>
      <w:r w:rsidR="00C10D10">
        <w:t xml:space="preserve"> 2017 </w:t>
      </w:r>
      <w:r w:rsidR="00C10D10">
        <w:tab/>
      </w:r>
      <w:r w:rsidR="00C10D10">
        <w:tab/>
      </w:r>
      <w:r>
        <w:tab/>
      </w:r>
      <w:r>
        <w:tab/>
        <w:t>V</w:t>
      </w:r>
      <w:r w:rsidR="0033073D">
        <w:t> Hradci Králové</w:t>
      </w:r>
      <w:r>
        <w:t xml:space="preserve"> dne </w:t>
      </w:r>
      <w:r w:rsidR="0033073D">
        <w:t>6. 11. 2017</w:t>
      </w:r>
      <w:bookmarkStart w:id="1" w:name="_GoBack"/>
      <w:bookmarkEnd w:id="1"/>
    </w:p>
    <w:p w:rsidR="00986596" w:rsidRDefault="00846027" w:rsidP="00BF5C08">
      <w:pPr>
        <w:spacing w:after="120" w:line="240" w:lineRule="auto"/>
        <w:jc w:val="both"/>
      </w:pPr>
      <w:r w:rsidRPr="00D30621">
        <w:rPr>
          <w:noProof/>
          <w:sz w:val="22"/>
        </w:rPr>
        <w:drawing>
          <wp:anchor distT="0" distB="0" distL="114300" distR="114300" simplePos="0" relativeHeight="251659264" behindDoc="1" locked="0" layoutInCell="1" allowOverlap="1">
            <wp:simplePos x="0" y="0"/>
            <wp:positionH relativeFrom="column">
              <wp:posOffset>-48313</wp:posOffset>
            </wp:positionH>
            <wp:positionV relativeFrom="paragraph">
              <wp:posOffset>36480</wp:posOffset>
            </wp:positionV>
            <wp:extent cx="2294890" cy="1293495"/>
            <wp:effectExtent l="0" t="0" r="0" b="0"/>
            <wp:wrapNone/>
            <wp:docPr id="1" name="Picture 1" descr="C:\Users\Otto\Documents\Monitora-sign.png"/>
            <wp:cNvGraphicFramePr/>
            <a:graphic xmlns:a="http://schemas.openxmlformats.org/drawingml/2006/main">
              <a:graphicData uri="http://schemas.openxmlformats.org/drawingml/2006/picture">
                <pic:pic xmlns:pic="http://schemas.openxmlformats.org/drawingml/2006/picture">
                  <pic:nvPicPr>
                    <pic:cNvPr id="0" name="image3.png" descr="C:\Users\Otto\Documents\Monitora-sign.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294890" cy="1293495"/>
                    </a:xfrm>
                    <a:prstGeom prst="rect">
                      <a:avLst/>
                    </a:prstGeom>
                    <a:ln/>
                  </pic:spPr>
                </pic:pic>
              </a:graphicData>
            </a:graphic>
          </wp:anchor>
        </w:drawing>
      </w:r>
    </w:p>
    <w:p w:rsidR="00986596" w:rsidRDefault="00986596" w:rsidP="00BF5C08">
      <w:pPr>
        <w:spacing w:after="120" w:line="240" w:lineRule="auto"/>
        <w:jc w:val="both"/>
      </w:pPr>
    </w:p>
    <w:p w:rsidR="00986596" w:rsidRDefault="00986596" w:rsidP="00BF5C08">
      <w:pPr>
        <w:spacing w:after="120" w:line="240" w:lineRule="auto"/>
        <w:jc w:val="both"/>
      </w:pPr>
    </w:p>
    <w:p w:rsidR="00986596" w:rsidRDefault="00986596" w:rsidP="00BF5C08">
      <w:pPr>
        <w:spacing w:after="120" w:line="240" w:lineRule="auto"/>
        <w:jc w:val="both"/>
      </w:pPr>
    </w:p>
    <w:p w:rsidR="00EC7082" w:rsidRDefault="00EC7082" w:rsidP="00BF5C08">
      <w:pPr>
        <w:spacing w:after="120" w:line="240" w:lineRule="auto"/>
        <w:jc w:val="both"/>
      </w:pPr>
    </w:p>
    <w:p w:rsidR="00EC7082" w:rsidRDefault="00986596" w:rsidP="00BF5C08">
      <w:pPr>
        <w:spacing w:after="120" w:line="240" w:lineRule="auto"/>
        <w:jc w:val="both"/>
      </w:pPr>
      <w:r>
        <w:t>…………………………………………………………..</w:t>
      </w:r>
      <w:r w:rsidR="00EC7082">
        <w:tab/>
      </w:r>
      <w:r w:rsidR="00EC7082">
        <w:tab/>
        <w:t>……………………………………………………….</w:t>
      </w:r>
    </w:p>
    <w:p w:rsidR="00986596" w:rsidRDefault="00986596" w:rsidP="0044731B">
      <w:pPr>
        <w:spacing w:after="0" w:line="240" w:lineRule="auto"/>
        <w:ind w:firstLine="720"/>
        <w:jc w:val="both"/>
      </w:pPr>
      <w:r>
        <w:t>Tomáš Berger</w:t>
      </w:r>
      <w:r w:rsidR="0044731B">
        <w:tab/>
      </w:r>
      <w:r w:rsidR="0044731B">
        <w:tab/>
      </w:r>
      <w:r w:rsidR="0044731B">
        <w:tab/>
      </w:r>
      <w:r w:rsidR="0044731B">
        <w:tab/>
      </w:r>
      <w:r w:rsidR="0044731B">
        <w:tab/>
      </w:r>
      <w:r w:rsidR="00C10D10" w:rsidRPr="00C10D10">
        <w:t>Kamil Kuča</w:t>
      </w:r>
    </w:p>
    <w:p w:rsidR="00D31F3C" w:rsidRDefault="00986596" w:rsidP="0044731B">
      <w:pPr>
        <w:spacing w:after="0" w:line="240" w:lineRule="auto"/>
        <w:ind w:left="720" w:firstLine="720"/>
        <w:jc w:val="both"/>
      </w:pPr>
      <w:r>
        <w:t>jednatel</w:t>
      </w:r>
      <w:r>
        <w:tab/>
      </w:r>
      <w:r w:rsidR="0044731B">
        <w:tab/>
      </w:r>
      <w:r w:rsidR="0044731B">
        <w:tab/>
      </w:r>
      <w:r w:rsidR="0044731B">
        <w:tab/>
      </w:r>
      <w:r w:rsidR="0044731B">
        <w:tab/>
      </w:r>
      <w:r w:rsidR="00EC7082">
        <w:tab/>
      </w:r>
      <w:r w:rsidR="00C10D10" w:rsidRPr="00C10D10">
        <w:t>rektor</w:t>
      </w:r>
    </w:p>
    <w:p w:rsidR="00986596" w:rsidRPr="00BF5C08" w:rsidRDefault="00986596" w:rsidP="0044731B">
      <w:pPr>
        <w:spacing w:after="0" w:line="240" w:lineRule="auto"/>
        <w:ind w:left="720"/>
        <w:jc w:val="both"/>
      </w:pPr>
      <w:r w:rsidRPr="0044731B">
        <w:rPr>
          <w:b/>
        </w:rPr>
        <w:t>Monitora media s.r.o.</w:t>
      </w:r>
      <w:r w:rsidR="0044731B">
        <w:tab/>
      </w:r>
      <w:r w:rsidR="0044731B">
        <w:tab/>
      </w:r>
      <w:r w:rsidR="0044731B">
        <w:tab/>
      </w:r>
      <w:r w:rsidR="0044731B">
        <w:tab/>
      </w:r>
      <w:r w:rsidR="00C10D10" w:rsidRPr="00C10D10">
        <w:rPr>
          <w:b/>
          <w:sz w:val="22"/>
          <w:szCs w:val="22"/>
        </w:rPr>
        <w:t>Univerzita Hradec Králové</w:t>
      </w:r>
    </w:p>
    <w:sectPr w:rsidR="00986596" w:rsidRPr="00BF5C08" w:rsidSect="00BF5C08">
      <w:headerReference w:type="default" r:id="rId10"/>
      <w:footerReference w:type="default" r:id="rId11"/>
      <w:headerReference w:type="first" r:id="rId12"/>
      <w:footerReference w:type="first" r:id="rId13"/>
      <w:pgSz w:w="11906" w:h="16838"/>
      <w:pgMar w:top="1417" w:right="1417" w:bottom="1417" w:left="1417" w:header="397"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F14" w:rsidRDefault="00286F14">
      <w:pPr>
        <w:spacing w:after="0" w:line="240" w:lineRule="auto"/>
      </w:pPr>
      <w:r>
        <w:separator/>
      </w:r>
    </w:p>
  </w:endnote>
  <w:endnote w:type="continuationSeparator" w:id="0">
    <w:p w:rsidR="00286F14" w:rsidRDefault="0028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F3C" w:rsidRDefault="005F7480" w:rsidP="0044731B">
    <w:pPr>
      <w:tabs>
        <w:tab w:val="center" w:pos="4536"/>
        <w:tab w:val="right" w:pos="9072"/>
      </w:tabs>
      <w:spacing w:after="0" w:line="240" w:lineRule="auto"/>
    </w:pPr>
    <w:r>
      <w:rPr>
        <w:rFonts w:ascii="Arial" w:eastAsia="Arial" w:hAnsi="Arial" w:cs="Arial"/>
        <w:b/>
        <w:color w:val="434343"/>
        <w:sz w:val="16"/>
        <w:szCs w:val="16"/>
      </w:rPr>
      <w:t>Monitora media, s.r.o. (IČ: 3980481)</w:t>
    </w:r>
    <w:r>
      <w:rPr>
        <w:rFonts w:ascii="Arial" w:eastAsia="Arial" w:hAnsi="Arial" w:cs="Arial"/>
        <w:b/>
        <w:color w:val="434343"/>
        <w:sz w:val="16"/>
        <w:szCs w:val="16"/>
      </w:rPr>
      <w:br/>
      <w:t>Viktora Huga 359/6</w:t>
    </w:r>
    <w:r>
      <w:rPr>
        <w:rFonts w:ascii="Arial" w:eastAsia="Arial" w:hAnsi="Arial" w:cs="Arial"/>
        <w:b/>
        <w:color w:val="434343"/>
        <w:sz w:val="16"/>
        <w:szCs w:val="16"/>
      </w:rPr>
      <w:br/>
      <w:t xml:space="preserve">Praha 5, 15000                                                                                          </w:t>
    </w:r>
    <w:r w:rsidR="002A6C59">
      <w:fldChar w:fldCharType="begin"/>
    </w:r>
    <w:r>
      <w:instrText>PAGE</w:instrText>
    </w:r>
    <w:r w:rsidR="002A6C59">
      <w:fldChar w:fldCharType="separate"/>
    </w:r>
    <w:r w:rsidR="0033073D">
      <w:rPr>
        <w:noProof/>
      </w:rPr>
      <w:t>4</w:t>
    </w:r>
    <w:r w:rsidR="002A6C59">
      <w:fldChar w:fldCharType="end"/>
    </w:r>
    <w:r>
      <w:rPr>
        <w:rFonts w:ascii="Arial" w:eastAsia="Arial" w:hAnsi="Arial" w:cs="Arial"/>
        <w:b/>
        <w:color w:val="434343"/>
        <w:sz w:val="16"/>
        <w:szCs w:val="16"/>
      </w:rPr>
      <w:t xml:space="preserve"> z </w:t>
    </w:r>
    <w:r w:rsidR="002A6C59">
      <w:fldChar w:fldCharType="begin"/>
    </w:r>
    <w:r>
      <w:instrText>NUMPAGES</w:instrText>
    </w:r>
    <w:r w:rsidR="002A6C59">
      <w:fldChar w:fldCharType="separate"/>
    </w:r>
    <w:r w:rsidR="0033073D">
      <w:rPr>
        <w:noProof/>
      </w:rPr>
      <w:t>4</w:t>
    </w:r>
    <w:r w:rsidR="002A6C59">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C08" w:rsidRDefault="00BF5C08" w:rsidP="0044731B">
    <w:pPr>
      <w:spacing w:after="0" w:line="240" w:lineRule="auto"/>
      <w:ind w:right="-624"/>
      <w:jc w:val="both"/>
      <w:rPr>
        <w:rFonts w:ascii="Arial" w:hAnsi="Arial"/>
        <w:color w:val="6E6F72"/>
        <w:sz w:val="16"/>
        <w:szCs w:val="16"/>
        <w:lang w:eastAsia="en-US"/>
      </w:rPr>
    </w:pPr>
    <w:r w:rsidRPr="004C6C29">
      <w:rPr>
        <w:rFonts w:ascii="Arial" w:hAnsi="Arial"/>
        <w:color w:val="6E6F72"/>
        <w:sz w:val="16"/>
        <w:szCs w:val="16"/>
        <w:lang w:eastAsia="en-US"/>
      </w:rPr>
      <w:t xml:space="preserve">Autorská práva k tomuto dokumentu vlastní předkladatel, tedy společnost </w:t>
    </w:r>
    <w:r>
      <w:rPr>
        <w:rFonts w:ascii="Arial" w:hAnsi="Arial"/>
        <w:color w:val="6E6F72"/>
        <w:sz w:val="16"/>
        <w:szCs w:val="16"/>
        <w:lang w:eastAsia="en-US"/>
      </w:rPr>
      <w:t>Monitora Media</w:t>
    </w:r>
    <w:r w:rsidRPr="004C6C29">
      <w:rPr>
        <w:rFonts w:ascii="Arial" w:hAnsi="Arial"/>
        <w:color w:val="6E6F72"/>
        <w:sz w:val="16"/>
        <w:szCs w:val="16"/>
        <w:lang w:eastAsia="en-US"/>
      </w:rPr>
      <w:t>, s.r.o. Dokument smí být použit pouze pro účely, pro které byl sepsán, tedy pro posouzení nabídky. Příjemce dokumentu není oprávněn obsah dokumentu ani jeho část publikovat ve veřejných sdělovacích prostředcích včetně Internetu, ani jej předat žádným třetím osobám, které se nepodílejí na hodnocení nabídky.</w:t>
    </w:r>
  </w:p>
  <w:p w:rsidR="0044731B" w:rsidRPr="004C6C29" w:rsidRDefault="0044731B" w:rsidP="0044731B">
    <w:pPr>
      <w:spacing w:after="0" w:line="240" w:lineRule="auto"/>
      <w:ind w:right="-624"/>
      <w:jc w:val="both"/>
      <w:rPr>
        <w:rFonts w:ascii="Arial" w:hAnsi="Arial"/>
        <w:color w:val="6E6F72"/>
        <w:sz w:val="16"/>
        <w:szCs w:val="16"/>
        <w:lang w:eastAsia="en-US"/>
      </w:rPr>
    </w:pPr>
  </w:p>
  <w:p w:rsidR="00D31F3C" w:rsidRDefault="002A6C59" w:rsidP="0044731B">
    <w:pPr>
      <w:tabs>
        <w:tab w:val="center" w:pos="4536"/>
        <w:tab w:val="right" w:pos="9072"/>
      </w:tabs>
      <w:spacing w:after="0" w:line="240" w:lineRule="auto"/>
      <w:jc w:val="center"/>
    </w:pPr>
    <w:r>
      <w:fldChar w:fldCharType="begin"/>
    </w:r>
    <w:r w:rsidR="005F7480">
      <w:instrText>PAGE</w:instrText>
    </w:r>
    <w:r>
      <w:fldChar w:fldCharType="separate"/>
    </w:r>
    <w:r w:rsidR="0033073D">
      <w:rPr>
        <w:noProof/>
      </w:rPr>
      <w:t>1</w:t>
    </w:r>
    <w:r>
      <w:fldChar w:fldCharType="end"/>
    </w:r>
    <w:r w:rsidR="005F7480">
      <w:rPr>
        <w:rFonts w:ascii="Arial" w:eastAsia="Arial" w:hAnsi="Arial" w:cs="Arial"/>
        <w:b/>
        <w:color w:val="434343"/>
        <w:sz w:val="16"/>
        <w:szCs w:val="16"/>
      </w:rPr>
      <w:t xml:space="preserve"> z </w:t>
    </w:r>
    <w:r>
      <w:fldChar w:fldCharType="begin"/>
    </w:r>
    <w:r w:rsidR="005F7480">
      <w:instrText>NUMPAGES</w:instrText>
    </w:r>
    <w:r>
      <w:fldChar w:fldCharType="separate"/>
    </w:r>
    <w:r w:rsidR="0033073D">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F14" w:rsidRDefault="00286F14">
      <w:pPr>
        <w:spacing w:after="0" w:line="240" w:lineRule="auto"/>
      </w:pPr>
      <w:r>
        <w:separator/>
      </w:r>
    </w:p>
  </w:footnote>
  <w:footnote w:type="continuationSeparator" w:id="0">
    <w:p w:rsidR="00286F14" w:rsidRDefault="0028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F3C" w:rsidRDefault="005F7480">
    <w:pPr>
      <w:tabs>
        <w:tab w:val="center" w:pos="4536"/>
        <w:tab w:val="right" w:pos="9072"/>
      </w:tabs>
      <w:spacing w:before="720" w:line="240" w:lineRule="auto"/>
      <w:jc w:val="right"/>
    </w:pPr>
    <w:r>
      <w:rPr>
        <w:noProof/>
      </w:rPr>
      <w:drawing>
        <wp:anchor distT="0" distB="0" distL="114300" distR="114300" simplePos="0" relativeHeight="251658240" behindDoc="0" locked="0" layoutInCell="0" allowOverlap="1">
          <wp:simplePos x="0" y="0"/>
          <wp:positionH relativeFrom="margin">
            <wp:posOffset>-353060</wp:posOffset>
          </wp:positionH>
          <wp:positionV relativeFrom="paragraph">
            <wp:posOffset>179705</wp:posOffset>
          </wp:positionV>
          <wp:extent cx="1423035" cy="363220"/>
          <wp:effectExtent l="0" t="0" r="0" b="0"/>
          <wp:wrapSquare wrapText="bothSides" distT="0" distB="0" distL="114300" distR="114300"/>
          <wp:docPr id="4" name="image03.png" descr="/Users/tomasberger/Dropbox/grafika/Loga/Monitora.png"/>
          <wp:cNvGraphicFramePr/>
          <a:graphic xmlns:a="http://schemas.openxmlformats.org/drawingml/2006/main">
            <a:graphicData uri="http://schemas.openxmlformats.org/drawingml/2006/picture">
              <pic:pic xmlns:pic="http://schemas.openxmlformats.org/drawingml/2006/picture">
                <pic:nvPicPr>
                  <pic:cNvPr id="0" name="image03.png" descr="/Users/tomasberger/Dropbox/grafika/Loga/Monitora.png"/>
                  <pic:cNvPicPr preferRelativeResize="0"/>
                </pic:nvPicPr>
                <pic:blipFill>
                  <a:blip r:embed="rId1"/>
                  <a:srcRect/>
                  <a:stretch>
                    <a:fillRect/>
                  </a:stretch>
                </pic:blipFill>
                <pic:spPr>
                  <a:xfrm>
                    <a:off x="0" y="0"/>
                    <a:ext cx="1423035" cy="3632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F3C" w:rsidRDefault="005F7480" w:rsidP="0044731B">
    <w:pPr>
      <w:tabs>
        <w:tab w:val="center" w:pos="4536"/>
        <w:tab w:val="right" w:pos="9072"/>
      </w:tabs>
      <w:spacing w:after="0" w:line="240" w:lineRule="auto"/>
      <w:jc w:val="right"/>
    </w:pPr>
    <w:r>
      <w:rPr>
        <w:noProof/>
      </w:rPr>
      <w:drawing>
        <wp:anchor distT="0" distB="0" distL="114300" distR="114300" simplePos="0" relativeHeight="251659264" behindDoc="0" locked="0" layoutInCell="0" allowOverlap="1">
          <wp:simplePos x="0" y="0"/>
          <wp:positionH relativeFrom="margin">
            <wp:posOffset>-278765</wp:posOffset>
          </wp:positionH>
          <wp:positionV relativeFrom="paragraph">
            <wp:posOffset>176530</wp:posOffset>
          </wp:positionV>
          <wp:extent cx="1821180" cy="415290"/>
          <wp:effectExtent l="0" t="0" r="0" b="0"/>
          <wp:wrapSquare wrapText="bothSides" distT="0" distB="0" distL="114300" distR="114300"/>
          <wp:docPr id="5" name="image04.png" descr="/Users/tomasberger/Dropbox/grafika/Loga/Monitora.png"/>
          <wp:cNvGraphicFramePr/>
          <a:graphic xmlns:a="http://schemas.openxmlformats.org/drawingml/2006/main">
            <a:graphicData uri="http://schemas.openxmlformats.org/drawingml/2006/picture">
              <pic:pic xmlns:pic="http://schemas.openxmlformats.org/drawingml/2006/picture">
                <pic:nvPicPr>
                  <pic:cNvPr id="0" name="image04.png" descr="/Users/tomasberger/Dropbox/grafika/Loga/Monitora.png"/>
                  <pic:cNvPicPr preferRelativeResize="0"/>
                </pic:nvPicPr>
                <pic:blipFill>
                  <a:blip r:embed="rId1"/>
                  <a:srcRect/>
                  <a:stretch>
                    <a:fillRect/>
                  </a:stretch>
                </pic:blipFill>
                <pic:spPr>
                  <a:xfrm>
                    <a:off x="0" y="0"/>
                    <a:ext cx="1821180" cy="415290"/>
                  </a:xfrm>
                  <a:prstGeom prst="rect">
                    <a:avLst/>
                  </a:prstGeom>
                  <a:ln/>
                </pic:spPr>
              </pic:pic>
            </a:graphicData>
          </a:graphic>
        </wp:anchor>
      </w:drawing>
    </w:r>
  </w:p>
  <w:p w:rsidR="00D31F3C" w:rsidRDefault="00D31F3C">
    <w:pPr>
      <w:tabs>
        <w:tab w:val="center" w:pos="4536"/>
        <w:tab w:val="right" w:pos="9072"/>
      </w:tabs>
      <w:spacing w:line="240" w:lineRule="aut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72DEA"/>
    <w:multiLevelType w:val="multilevel"/>
    <w:tmpl w:val="41A84CA2"/>
    <w:lvl w:ilvl="0">
      <w:start w:val="1"/>
      <w:numFmt w:val="decimal"/>
      <w:lvlText w:val="%1."/>
      <w:lvlJc w:val="left"/>
      <w:pPr>
        <w:ind w:left="360" w:firstLine="0"/>
      </w:pPr>
      <w:rPr>
        <w:b/>
        <w:i w:val="0"/>
      </w:rPr>
    </w:lvl>
    <w:lvl w:ilvl="1">
      <w:start w:val="1"/>
      <w:numFmt w:val="decimal"/>
      <w:lvlText w:val="%1.%2."/>
      <w:lvlJc w:val="left"/>
      <w:pPr>
        <w:ind w:left="792" w:firstLine="360"/>
      </w:pPr>
      <w:rPr>
        <w:b w:val="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3C"/>
    <w:rsid w:val="00057776"/>
    <w:rsid w:val="00090D87"/>
    <w:rsid w:val="001F7FB8"/>
    <w:rsid w:val="002564B6"/>
    <w:rsid w:val="00286F14"/>
    <w:rsid w:val="002A6C59"/>
    <w:rsid w:val="0033073D"/>
    <w:rsid w:val="003320D5"/>
    <w:rsid w:val="00382BB4"/>
    <w:rsid w:val="0039184F"/>
    <w:rsid w:val="003C5090"/>
    <w:rsid w:val="003F240C"/>
    <w:rsid w:val="004342DE"/>
    <w:rsid w:val="00444F19"/>
    <w:rsid w:val="0044731B"/>
    <w:rsid w:val="0056510F"/>
    <w:rsid w:val="005F7480"/>
    <w:rsid w:val="0062247C"/>
    <w:rsid w:val="006751F1"/>
    <w:rsid w:val="00754F6B"/>
    <w:rsid w:val="007B44B3"/>
    <w:rsid w:val="00846027"/>
    <w:rsid w:val="0085176A"/>
    <w:rsid w:val="00894999"/>
    <w:rsid w:val="008A3752"/>
    <w:rsid w:val="008B1A2E"/>
    <w:rsid w:val="0095636A"/>
    <w:rsid w:val="00986596"/>
    <w:rsid w:val="00A30B8D"/>
    <w:rsid w:val="00A81D6F"/>
    <w:rsid w:val="00A84355"/>
    <w:rsid w:val="00AA43B7"/>
    <w:rsid w:val="00B301A1"/>
    <w:rsid w:val="00B36838"/>
    <w:rsid w:val="00BF5C08"/>
    <w:rsid w:val="00C02B1B"/>
    <w:rsid w:val="00C10D10"/>
    <w:rsid w:val="00CA56D1"/>
    <w:rsid w:val="00D31F3C"/>
    <w:rsid w:val="00DA4D1F"/>
    <w:rsid w:val="00DC7F65"/>
    <w:rsid w:val="00EC7082"/>
    <w:rsid w:val="00F35D6C"/>
    <w:rsid w:val="00F65616"/>
    <w:rsid w:val="00F84345"/>
    <w:rsid w:val="00FB01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C4C4"/>
  <w15:docId w15:val="{C5352722-2A8C-4396-9FAD-284DEFF6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cs-CZ" w:eastAsia="cs-CZ"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B1A2E"/>
  </w:style>
  <w:style w:type="paragraph" w:styleId="Nadpis1">
    <w:name w:val="heading 1"/>
    <w:basedOn w:val="Normln"/>
    <w:next w:val="Normln"/>
    <w:rsid w:val="008B1A2E"/>
    <w:pPr>
      <w:keepNext/>
      <w:keepLines/>
      <w:spacing w:before="300" w:after="60" w:line="240" w:lineRule="auto"/>
      <w:outlineLvl w:val="0"/>
    </w:pPr>
    <w:rPr>
      <w:b/>
      <w:sz w:val="42"/>
      <w:szCs w:val="42"/>
    </w:rPr>
  </w:style>
  <w:style w:type="paragraph" w:styleId="Nadpis2">
    <w:name w:val="heading 2"/>
    <w:basedOn w:val="Normln"/>
    <w:next w:val="Normln"/>
    <w:rsid w:val="008B1A2E"/>
    <w:pPr>
      <w:keepNext/>
      <w:keepLines/>
      <w:spacing w:before="300" w:after="60" w:line="240" w:lineRule="auto"/>
      <w:outlineLvl w:val="1"/>
    </w:pPr>
    <w:rPr>
      <w:b/>
      <w:sz w:val="32"/>
      <w:szCs w:val="32"/>
    </w:rPr>
  </w:style>
  <w:style w:type="paragraph" w:styleId="Nadpis3">
    <w:name w:val="heading 3"/>
    <w:basedOn w:val="Normln"/>
    <w:next w:val="Normln"/>
    <w:rsid w:val="008B1A2E"/>
    <w:pPr>
      <w:keepNext/>
      <w:keepLines/>
      <w:spacing w:before="300" w:after="60" w:line="240" w:lineRule="auto"/>
      <w:outlineLvl w:val="2"/>
    </w:pPr>
    <w:rPr>
      <w:b/>
      <w:sz w:val="28"/>
      <w:szCs w:val="28"/>
    </w:rPr>
  </w:style>
  <w:style w:type="paragraph" w:styleId="Nadpis4">
    <w:name w:val="heading 4"/>
    <w:basedOn w:val="Normln"/>
    <w:next w:val="Normln"/>
    <w:rsid w:val="008B1A2E"/>
    <w:pPr>
      <w:keepNext/>
      <w:keepLines/>
      <w:spacing w:before="300" w:after="60" w:line="240" w:lineRule="auto"/>
      <w:outlineLvl w:val="3"/>
    </w:pPr>
    <w:rPr>
      <w:b/>
    </w:rPr>
  </w:style>
  <w:style w:type="paragraph" w:styleId="Nadpis5">
    <w:name w:val="heading 5"/>
    <w:basedOn w:val="Normln"/>
    <w:next w:val="Normln"/>
    <w:rsid w:val="008B1A2E"/>
    <w:pPr>
      <w:keepNext/>
      <w:keepLines/>
      <w:spacing w:before="240" w:after="60"/>
      <w:outlineLvl w:val="4"/>
    </w:pPr>
    <w:rPr>
      <w:b/>
      <w:i/>
      <w:sz w:val="26"/>
      <w:szCs w:val="26"/>
    </w:rPr>
  </w:style>
  <w:style w:type="paragraph" w:styleId="Nadpis6">
    <w:name w:val="heading 6"/>
    <w:basedOn w:val="Normln"/>
    <w:next w:val="Normln"/>
    <w:rsid w:val="008B1A2E"/>
    <w:pPr>
      <w:keepNext/>
      <w:keepLines/>
      <w:spacing w:before="240" w:after="60"/>
      <w:outlineLvl w:val="5"/>
    </w:pPr>
    <w:rPr>
      <w:rFonts w:ascii="Times New Roman" w:eastAsia="Times New Roman" w:hAnsi="Times New Roman" w:cs="Times New Roman"/>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8B1A2E"/>
    <w:tblPr>
      <w:tblCellMar>
        <w:top w:w="0" w:type="dxa"/>
        <w:left w:w="0" w:type="dxa"/>
        <w:bottom w:w="0" w:type="dxa"/>
        <w:right w:w="0" w:type="dxa"/>
      </w:tblCellMar>
    </w:tblPr>
  </w:style>
  <w:style w:type="paragraph" w:styleId="Nzev">
    <w:name w:val="Title"/>
    <w:basedOn w:val="Normln"/>
    <w:next w:val="Normln"/>
    <w:rsid w:val="008B1A2E"/>
    <w:pPr>
      <w:keepNext/>
      <w:keepLines/>
      <w:spacing w:before="2000" w:after="300"/>
    </w:pPr>
    <w:rPr>
      <w:b/>
      <w:sz w:val="52"/>
      <w:szCs w:val="52"/>
    </w:rPr>
  </w:style>
  <w:style w:type="paragraph" w:styleId="Podnadpis">
    <w:name w:val="Subtitle"/>
    <w:basedOn w:val="Normln"/>
    <w:next w:val="Normln"/>
    <w:rsid w:val="008B1A2E"/>
    <w:pPr>
      <w:keepNext/>
      <w:keepLines/>
      <w:spacing w:after="60"/>
      <w:jc w:val="center"/>
    </w:pPr>
    <w:rPr>
      <w:i/>
      <w:color w:val="666666"/>
    </w:rPr>
  </w:style>
  <w:style w:type="table" w:customStyle="1" w:styleId="a">
    <w:basedOn w:val="TableNormal1"/>
    <w:rsid w:val="008B1A2E"/>
    <w:pPr>
      <w:contextualSpacing/>
    </w:pPr>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BF5C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5C08"/>
  </w:style>
  <w:style w:type="paragraph" w:styleId="Zpat">
    <w:name w:val="footer"/>
    <w:basedOn w:val="Normln"/>
    <w:link w:val="ZpatChar"/>
    <w:uiPriority w:val="99"/>
    <w:unhideWhenUsed/>
    <w:rsid w:val="00BF5C08"/>
    <w:pPr>
      <w:tabs>
        <w:tab w:val="center" w:pos="4536"/>
        <w:tab w:val="right" w:pos="9072"/>
      </w:tabs>
      <w:spacing w:after="0" w:line="240" w:lineRule="auto"/>
    </w:pPr>
  </w:style>
  <w:style w:type="character" w:customStyle="1" w:styleId="ZpatChar">
    <w:name w:val="Zápatí Char"/>
    <w:basedOn w:val="Standardnpsmoodstavce"/>
    <w:link w:val="Zpat"/>
    <w:uiPriority w:val="99"/>
    <w:rsid w:val="00BF5C08"/>
  </w:style>
  <w:style w:type="paragraph" w:styleId="Textbubliny">
    <w:name w:val="Balloon Text"/>
    <w:basedOn w:val="Normln"/>
    <w:link w:val="TextbublinyChar"/>
    <w:uiPriority w:val="99"/>
    <w:semiHidden/>
    <w:unhideWhenUsed/>
    <w:rsid w:val="004342DE"/>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342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6981A7-DA56-4737-BFC9-454F7D8D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7877</Characters>
  <Application>Microsoft Office Word</Application>
  <DocSecurity>0</DocSecurity>
  <Lines>65</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Tatka</dc:creator>
  <cp:lastModifiedBy>Vetterlová Michaela</cp:lastModifiedBy>
  <cp:revision>2</cp:revision>
  <cp:lastPrinted>2017-10-10T11:42:00Z</cp:lastPrinted>
  <dcterms:created xsi:type="dcterms:W3CDTF">2017-12-02T09:03:00Z</dcterms:created>
  <dcterms:modified xsi:type="dcterms:W3CDTF">2017-12-02T09:03:00Z</dcterms:modified>
</cp:coreProperties>
</file>