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180" w:leader="none"/>
          <w:tab w:val="left" w:pos="2775" w:leader="none"/>
        </w:tabs>
        <w:spacing w:before="144" w:after="120"/>
        <w:ind w:right="117" w:hanging="0"/>
        <w:jc w:val="center"/>
        <w:rPr>
          <w:rFonts w:ascii="Arial" w:hAnsi="Arial" w:cs="Arial"/>
          <w:b/>
          <w:b/>
        </w:rPr>
      </w:pPr>
      <w:r>
        <w:rPr>
          <w:rFonts w:cs="Arial" w:ascii="Arial" w:hAnsi="Arial"/>
          <w:b/>
        </w:rPr>
        <w:t>Smlouva o dílo na poskytování pozáručního servisu</w:t>
      </w:r>
    </w:p>
    <w:p>
      <w:pPr>
        <w:pStyle w:val="Normal"/>
        <w:jc w:val="center"/>
        <w:rPr>
          <w:rFonts w:ascii="Arial" w:hAnsi="Arial" w:cs="Arial"/>
          <w:b/>
          <w:b/>
          <w:bCs/>
          <w:iCs/>
          <w:sz w:val="36"/>
          <w:szCs w:val="36"/>
        </w:rPr>
      </w:pPr>
      <w:r>
        <w:rPr>
          <w:rFonts w:cs="Arial" w:ascii="Arial" w:hAnsi="Arial"/>
          <w:b/>
          <w:bCs/>
          <w:iCs/>
          <w:sz w:val="36"/>
          <w:szCs w:val="36"/>
        </w:rPr>
        <w:t>Videolaryngoskop</w:t>
      </w:r>
    </w:p>
    <w:p>
      <w:pPr>
        <w:pStyle w:val="Normal"/>
        <w:jc w:val="center"/>
        <w:rPr>
          <w:rFonts w:ascii="Arial" w:hAnsi="Arial" w:cs="Arial"/>
          <w:sz w:val="32"/>
          <w:szCs w:val="32"/>
        </w:rPr>
      </w:pPr>
      <w:r>
        <w:rPr>
          <w:rFonts w:cs="Arial" w:ascii="Arial" w:hAnsi="Arial"/>
          <w:sz w:val="32"/>
          <w:szCs w:val="32"/>
        </w:rPr>
      </w:r>
    </w:p>
    <w:p>
      <w:pPr>
        <w:pStyle w:val="Normal"/>
        <w:jc w:val="center"/>
        <w:rPr>
          <w:rFonts w:ascii="Arial" w:hAnsi="Arial" w:cs="Arial"/>
          <w:sz w:val="20"/>
          <w:szCs w:val="20"/>
        </w:rPr>
      </w:pPr>
      <w:r>
        <w:rPr>
          <w:rFonts w:cs="Arial" w:ascii="Arial" w:hAnsi="Arial"/>
          <w:sz w:val="20"/>
          <w:szCs w:val="20"/>
        </w:rPr>
        <w:t>podle § 2586 a násl. občanského zákoníku, uzavřená mezi</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PlainText"/>
        <w:ind w:left="708" w:hanging="0"/>
        <w:jc w:val="both"/>
        <w:rPr>
          <w:rFonts w:ascii="Arial" w:hAnsi="Arial" w:cs="Arial"/>
          <w:b/>
          <w:b/>
        </w:rPr>
      </w:pPr>
      <w:r>
        <w:rPr>
          <w:rFonts w:cs="Arial" w:ascii="Arial" w:hAnsi="Arial"/>
          <w:b/>
        </w:rPr>
        <w:t>Objednatel:</w:t>
        <w:tab/>
        <w:t>Nemocnice Milosrdných bratří, příspěvková organizace</w:t>
      </w:r>
    </w:p>
    <w:p>
      <w:pPr>
        <w:pStyle w:val="PlainText"/>
        <w:ind w:left="708" w:hanging="0"/>
        <w:jc w:val="both"/>
        <w:rPr>
          <w:rFonts w:ascii="Arial" w:hAnsi="Arial" w:cs="Arial"/>
        </w:rPr>
      </w:pPr>
      <w:r>
        <w:rPr>
          <w:rFonts w:cs="Arial" w:ascii="Arial" w:hAnsi="Arial"/>
        </w:rPr>
        <w:t xml:space="preserve">Sídlem: </w:t>
        <w:tab/>
        <w:t>Polní 553/3, 639 00 Brno</w:t>
      </w:r>
    </w:p>
    <w:p>
      <w:pPr>
        <w:pStyle w:val="PlainText"/>
        <w:ind w:left="708" w:hanging="0"/>
        <w:jc w:val="both"/>
        <w:rPr>
          <w:rFonts w:ascii="Arial" w:hAnsi="Arial" w:cs="Arial"/>
        </w:rPr>
      </w:pPr>
      <w:r>
        <w:rPr>
          <w:rFonts w:cs="Arial" w:ascii="Arial" w:hAnsi="Arial"/>
        </w:rPr>
        <w:t xml:space="preserve">Zastoupen: </w:t>
        <w:tab/>
        <w:t>MUDr. Josefem Drbalem, ředitelem</w:t>
      </w:r>
    </w:p>
    <w:p>
      <w:pPr>
        <w:pStyle w:val="PlainText"/>
        <w:ind w:firstLine="708"/>
        <w:jc w:val="both"/>
        <w:rPr>
          <w:rFonts w:ascii="Arial" w:hAnsi="Arial" w:cs="Arial"/>
        </w:rPr>
      </w:pPr>
      <w:r>
        <w:rPr>
          <w:rFonts w:cs="Arial" w:ascii="Arial" w:hAnsi="Arial"/>
        </w:rPr>
        <w:t xml:space="preserve">IČO:             </w:t>
        <w:tab/>
        <w:t>48512478</w:t>
      </w:r>
    </w:p>
    <w:p>
      <w:pPr>
        <w:pStyle w:val="PlainText"/>
        <w:ind w:firstLine="708"/>
        <w:jc w:val="both"/>
        <w:rPr>
          <w:rFonts w:ascii="Arial" w:hAnsi="Arial" w:cs="Arial"/>
        </w:rPr>
      </w:pPr>
      <w:r>
        <w:rPr>
          <w:rFonts w:cs="Arial" w:ascii="Arial" w:hAnsi="Arial"/>
        </w:rPr>
        <w:t xml:space="preserve">DIČ:             </w:t>
        <w:tab/>
        <w:t>CZ48512478</w:t>
      </w:r>
    </w:p>
    <w:p>
      <w:pPr>
        <w:pStyle w:val="Normal"/>
        <w:jc w:val="both"/>
        <w:rPr>
          <w:rFonts w:ascii="Arial" w:hAnsi="Arial" w:cs="Arial"/>
          <w:sz w:val="20"/>
          <w:szCs w:val="20"/>
        </w:rPr>
      </w:pPr>
      <w:r>
        <w:rPr>
          <w:rFonts w:cs="Arial" w:ascii="Arial" w:hAnsi="Arial"/>
          <w:sz w:val="20"/>
          <w:szCs w:val="20"/>
        </w:rPr>
      </w:r>
    </w:p>
    <w:p>
      <w:pPr>
        <w:pStyle w:val="Normal"/>
        <w:ind w:left="708" w:firstLine="708"/>
        <w:jc w:val="both"/>
        <w:rPr>
          <w:rFonts w:ascii="Arial" w:hAnsi="Arial" w:cs="Arial"/>
          <w:sz w:val="20"/>
          <w:szCs w:val="20"/>
        </w:rPr>
      </w:pPr>
      <w:r>
        <w:rPr>
          <w:rFonts w:cs="Arial" w:ascii="Arial" w:hAnsi="Arial"/>
          <w:sz w:val="20"/>
          <w:szCs w:val="20"/>
        </w:rPr>
        <w:t>jako objednatelem (dále jen „objednatel“), a</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PlainText"/>
        <w:ind w:left="708" w:hanging="0"/>
        <w:jc w:val="both"/>
        <w:rPr>
          <w:rFonts w:ascii="Arial" w:hAnsi="Arial" w:cs="Arial"/>
          <w:b/>
          <w:b/>
        </w:rPr>
      </w:pPr>
      <w:r>
        <w:rPr>
          <w:rFonts w:cs="Arial" w:ascii="Arial" w:hAnsi="Arial"/>
          <w:b/>
        </w:rPr>
        <w:t>Zhotovitel:</w:t>
        <w:tab/>
      </w:r>
      <w:r>
        <w:rPr>
          <w:rFonts w:cs="Arial" w:ascii="Arial" w:hAnsi="Arial"/>
          <w:b/>
          <w:bCs/>
        </w:rPr>
        <w:t>GPS Praha, spol. s r.o.</w:t>
      </w:r>
    </w:p>
    <w:p>
      <w:pPr>
        <w:pStyle w:val="PlainText"/>
        <w:ind w:left="708" w:hanging="0"/>
        <w:jc w:val="both"/>
        <w:rPr>
          <w:rFonts w:ascii="Arial" w:hAnsi="Arial" w:cs="Arial"/>
        </w:rPr>
      </w:pPr>
      <w:r>
        <w:rPr>
          <w:rFonts w:cs="Arial" w:ascii="Arial" w:hAnsi="Arial"/>
        </w:rPr>
        <w:t xml:space="preserve">Sídlem: </w:t>
        <w:tab/>
      </w:r>
      <w:r>
        <w:rPr>
          <w:rFonts w:cs="Arial" w:ascii="Arial" w:hAnsi="Arial"/>
          <w:bCs/>
        </w:rPr>
        <w:t>Malešická 20, 130 00  Praha 3</w:t>
      </w:r>
    </w:p>
    <w:p>
      <w:pPr>
        <w:pStyle w:val="PlainText"/>
        <w:ind w:left="708" w:hanging="0"/>
        <w:jc w:val="both"/>
        <w:rPr>
          <w:rFonts w:ascii="Arial" w:hAnsi="Arial" w:cs="Arial"/>
        </w:rPr>
      </w:pPr>
      <w:r>
        <w:rPr>
          <w:rFonts w:cs="Arial" w:ascii="Arial" w:hAnsi="Arial"/>
        </w:rPr>
        <w:t xml:space="preserve">Zastoupen: </w:t>
        <w:tab/>
      </w:r>
      <w:r>
        <w:rPr>
          <w:rFonts w:cs="Arial" w:ascii="Arial" w:hAnsi="Arial"/>
          <w:bCs/>
        </w:rPr>
        <w:t>ing. Jiřím Grimmerem, jednatelem</w:t>
      </w:r>
    </w:p>
    <w:p>
      <w:pPr>
        <w:pStyle w:val="PlainText"/>
        <w:ind w:firstLine="708"/>
        <w:jc w:val="both"/>
        <w:rPr>
          <w:rFonts w:ascii="Arial" w:hAnsi="Arial" w:cs="Arial"/>
        </w:rPr>
      </w:pPr>
      <w:r>
        <w:rPr>
          <w:rFonts w:cs="Arial" w:ascii="Arial" w:hAnsi="Arial"/>
        </w:rPr>
        <w:t xml:space="preserve">IČO:             </w:t>
        <w:tab/>
      </w:r>
      <w:r>
        <w:rPr>
          <w:rFonts w:cs="Arial" w:ascii="Arial" w:hAnsi="Arial"/>
          <w:bCs/>
        </w:rPr>
        <w:t>60491256</w:t>
      </w:r>
    </w:p>
    <w:p>
      <w:pPr>
        <w:pStyle w:val="PlainText"/>
        <w:ind w:firstLine="708"/>
        <w:jc w:val="both"/>
        <w:rPr>
          <w:rFonts w:ascii="Arial" w:hAnsi="Arial" w:cs="Arial"/>
        </w:rPr>
      </w:pPr>
      <w:r>
        <w:rPr>
          <w:rFonts w:cs="Arial" w:ascii="Arial" w:hAnsi="Arial"/>
        </w:rPr>
        <w:t xml:space="preserve">DIČ:             </w:t>
        <w:tab/>
      </w:r>
      <w:r>
        <w:rPr>
          <w:rFonts w:cs="Arial" w:ascii="Arial" w:hAnsi="Arial"/>
          <w:bCs/>
        </w:rPr>
        <w:t>CZ60491256</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ind w:left="708" w:firstLine="708"/>
        <w:jc w:val="both"/>
        <w:rPr>
          <w:rFonts w:ascii="Arial" w:hAnsi="Arial" w:cs="Arial"/>
          <w:sz w:val="20"/>
          <w:szCs w:val="20"/>
        </w:rPr>
      </w:pPr>
      <w:r>
        <w:rPr>
          <w:rFonts w:cs="Arial" w:ascii="Arial" w:hAnsi="Arial"/>
          <w:sz w:val="20"/>
          <w:szCs w:val="20"/>
        </w:rPr>
        <w:t>jako zhotovitelem (dále jen „zhotovitel“).</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ind w:left="720" w:hanging="0"/>
        <w:rPr>
          <w:rFonts w:ascii="Arial" w:hAnsi="Arial" w:cs="Arial"/>
          <w:b/>
          <w:b/>
          <w:sz w:val="20"/>
          <w:szCs w:val="20"/>
        </w:rPr>
      </w:pPr>
      <w:r>
        <w:rPr>
          <w:rFonts w:cs="Arial" w:ascii="Arial" w:hAnsi="Arial"/>
          <w:b/>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 xml:space="preserve">Zhotovitel se zavazuje, že pro objednatele bude provádět dílo, spočívající v pozáručním servisu </w:t>
      </w:r>
      <w:r>
        <w:rPr>
          <w:rFonts w:cs="Arial" w:ascii="Arial" w:hAnsi="Arial"/>
          <w:bCs/>
          <w:sz w:val="20"/>
          <w:szCs w:val="20"/>
        </w:rPr>
        <w:t>videolaryngoskopu</w:t>
      </w:r>
      <w:r>
        <w:rPr>
          <w:rFonts w:cs="Arial" w:ascii="Arial" w:hAnsi="Arial"/>
          <w:sz w:val="20"/>
          <w:szCs w:val="20"/>
        </w:rPr>
        <w:t xml:space="preserve"> na základě kupní smlouvy ze dne 16. 11. 2017.</w:t>
      </w:r>
    </w:p>
    <w:p>
      <w:pPr>
        <w:pStyle w:val="Normal"/>
        <w:ind w:left="567" w:hanging="425"/>
        <w:jc w:val="both"/>
        <w:rPr>
          <w:rFonts w:ascii="Arial" w:hAnsi="Arial" w:cs="Arial"/>
          <w:sz w:val="20"/>
          <w:szCs w:val="20"/>
        </w:rPr>
      </w:pPr>
      <w:r>
        <w:rPr>
          <w:rFonts w:cs="Arial" w:ascii="Arial" w:hAnsi="Arial"/>
          <w:sz w:val="20"/>
          <w:szCs w:val="20"/>
        </w:rPr>
      </w:r>
    </w:p>
    <w:p>
      <w:pPr>
        <w:pStyle w:val="Normal"/>
        <w:ind w:left="567" w:hanging="0"/>
        <w:rPr>
          <w:rFonts w:ascii="Arial" w:hAnsi="Arial" w:cs="Arial"/>
          <w:bCs/>
          <w:color w:val="000000"/>
          <w:sz w:val="20"/>
          <w:szCs w:val="20"/>
        </w:rPr>
      </w:pPr>
      <w:r>
        <w:rPr>
          <w:rFonts w:cs="Arial" w:ascii="Arial" w:hAnsi="Arial"/>
          <w:bCs/>
          <w:color w:val="000000"/>
          <w:sz w:val="20"/>
          <w:szCs w:val="20"/>
        </w:rPr>
      </w:r>
    </w:p>
    <w:p>
      <w:pPr>
        <w:pStyle w:val="ListParagraph"/>
        <w:numPr>
          <w:ilvl w:val="0"/>
          <w:numId w:val="1"/>
        </w:numPr>
        <w:ind w:left="567" w:hanging="425"/>
        <w:jc w:val="both"/>
        <w:rPr>
          <w:rFonts w:ascii="Arial" w:hAnsi="Arial" w:cs="Arial"/>
          <w:bCs/>
          <w:color w:val="000000"/>
          <w:sz w:val="20"/>
          <w:szCs w:val="20"/>
        </w:rPr>
      </w:pPr>
      <w:r>
        <w:rPr>
          <w:rFonts w:cs="Arial" w:ascii="Arial" w:hAnsi="Arial"/>
          <w:color w:val="000000"/>
          <w:sz w:val="20"/>
          <w:szCs w:val="20"/>
        </w:rPr>
        <w:t xml:space="preserve">Pozáručním servisem se pro účely této smlouvy rozumí provádění servisu a revize dle hlavy IX zákona </w:t>
      </w:r>
      <w:r>
        <w:rPr>
          <w:rFonts w:cs="Arial" w:ascii="Arial" w:hAnsi="Arial"/>
          <w:bCs/>
          <w:color w:val="000000"/>
          <w:sz w:val="20"/>
          <w:szCs w:val="20"/>
        </w:rPr>
        <w:t xml:space="preserve">č. 268/2014 Sb., o zdravotnických prostředcích, ve znění pozdějších předpisů (dále jen „zákon o ZP“). </w:t>
      </w:r>
    </w:p>
    <w:p>
      <w:pPr>
        <w:pStyle w:val="Normal"/>
        <w:ind w:left="567" w:hanging="425"/>
        <w:jc w:val="both"/>
        <w:rPr>
          <w:rFonts w:ascii="Arial" w:hAnsi="Arial" w:cs="Arial"/>
          <w:color w:val="000000"/>
          <w:sz w:val="20"/>
          <w:szCs w:val="20"/>
        </w:rPr>
      </w:pPr>
      <w:r>
        <w:rPr>
          <w:rFonts w:cs="Arial" w:ascii="Arial" w:hAnsi="Arial"/>
          <w:color w:val="000000"/>
          <w:sz w:val="20"/>
          <w:szCs w:val="20"/>
        </w:rPr>
      </w:r>
    </w:p>
    <w:p>
      <w:pPr>
        <w:pStyle w:val="Normal"/>
        <w:ind w:left="567" w:hanging="0"/>
        <w:rPr>
          <w:rFonts w:ascii="Arial" w:hAnsi="Arial" w:cs="Arial"/>
          <w:bCs/>
          <w:color w:val="000000"/>
          <w:sz w:val="20"/>
          <w:szCs w:val="20"/>
        </w:rPr>
      </w:pPr>
      <w:r>
        <w:rPr>
          <w:rFonts w:cs="Arial" w:ascii="Arial" w:hAnsi="Arial"/>
          <w:bCs/>
          <w:color w:val="000000"/>
          <w:sz w:val="20"/>
          <w:szCs w:val="20"/>
        </w:rPr>
      </w:r>
    </w:p>
    <w:p>
      <w:pPr>
        <w:pStyle w:val="ListParagraph"/>
        <w:numPr>
          <w:ilvl w:val="0"/>
          <w:numId w:val="1"/>
        </w:numPr>
        <w:ind w:left="567" w:hanging="425"/>
        <w:jc w:val="both"/>
        <w:rPr>
          <w:rFonts w:ascii="Arial" w:hAnsi="Arial" w:cs="Arial"/>
          <w:color w:val="000000"/>
          <w:sz w:val="20"/>
          <w:szCs w:val="20"/>
        </w:rPr>
      </w:pPr>
      <w:r>
        <w:rPr>
          <w:rFonts w:cs="Arial" w:ascii="Arial" w:hAnsi="Arial"/>
          <w:color w:val="000000"/>
          <w:sz w:val="20"/>
          <w:szCs w:val="20"/>
        </w:rPr>
        <w:t>Pozáruční servis obsahuje tyto činnosti:</w:t>
      </w:r>
    </w:p>
    <w:p>
      <w:pPr>
        <w:pStyle w:val="Normal"/>
        <w:numPr>
          <w:ilvl w:val="0"/>
          <w:numId w:val="2"/>
        </w:numPr>
        <w:ind w:left="993" w:hanging="426"/>
        <w:jc w:val="both"/>
        <w:rPr>
          <w:rFonts w:ascii="Arial" w:hAnsi="Arial" w:cs="Arial"/>
          <w:b/>
          <w:b/>
          <w:color w:val="000000"/>
          <w:sz w:val="20"/>
          <w:szCs w:val="20"/>
        </w:rPr>
      </w:pPr>
      <w:r>
        <w:rPr>
          <w:rFonts w:cs="Arial" w:ascii="Arial" w:hAnsi="Arial"/>
          <w:b/>
          <w:color w:val="000000"/>
          <w:sz w:val="20"/>
          <w:szCs w:val="20"/>
        </w:rPr>
        <w:t>pravidelné bezpečnostně technické kontroly</w:t>
      </w:r>
      <w:r>
        <w:rPr>
          <w:rFonts w:cs="Arial" w:ascii="Arial" w:hAnsi="Arial"/>
          <w:color w:val="000000"/>
          <w:sz w:val="20"/>
          <w:szCs w:val="20"/>
        </w:rPr>
        <w:t xml:space="preserve"> (dále jen „BTK“) dle § 65 zákona o ZP, a</w:t>
      </w:r>
    </w:p>
    <w:p>
      <w:pPr>
        <w:pStyle w:val="Normal"/>
        <w:numPr>
          <w:ilvl w:val="0"/>
          <w:numId w:val="2"/>
        </w:numPr>
        <w:tabs>
          <w:tab w:val="left" w:pos="993" w:leader="none"/>
        </w:tabs>
        <w:ind w:left="993" w:hanging="426"/>
        <w:jc w:val="both"/>
        <w:rPr>
          <w:rFonts w:ascii="Arial" w:hAnsi="Arial" w:cs="Arial"/>
          <w:b/>
          <w:b/>
          <w:color w:val="000000"/>
          <w:sz w:val="20"/>
          <w:szCs w:val="20"/>
        </w:rPr>
      </w:pPr>
      <w:r>
        <w:rPr>
          <w:rFonts w:cs="Arial" w:ascii="Arial" w:hAnsi="Arial"/>
          <w:b/>
          <w:color w:val="000000"/>
          <w:sz w:val="20"/>
          <w:szCs w:val="20"/>
        </w:rPr>
        <w:t>opravy</w:t>
      </w:r>
      <w:r>
        <w:rPr>
          <w:rFonts w:cs="Arial" w:ascii="Arial" w:hAnsi="Arial"/>
          <w:color w:val="000000"/>
          <w:sz w:val="20"/>
          <w:szCs w:val="20"/>
        </w:rPr>
        <w:t>dle § 66 zákona o ZP.</w:t>
      </w:r>
    </w:p>
    <w:p>
      <w:pPr>
        <w:pStyle w:val="Normal"/>
        <w:tabs>
          <w:tab w:val="left" w:pos="993" w:leader="none"/>
        </w:tabs>
        <w:ind w:left="567" w:hanging="0"/>
        <w:jc w:val="both"/>
        <w:rPr>
          <w:rFonts w:ascii="Arial" w:hAnsi="Arial" w:cs="Arial"/>
          <w:b/>
          <w:b/>
          <w:color w:val="000000"/>
          <w:sz w:val="20"/>
          <w:szCs w:val="20"/>
        </w:rPr>
      </w:pPr>
      <w:r>
        <w:rPr>
          <w:rFonts w:cs="Arial" w:ascii="Arial" w:hAnsi="Arial"/>
          <w:b/>
          <w:color w:val="000000"/>
          <w:sz w:val="20"/>
          <w:szCs w:val="20"/>
        </w:rPr>
      </w:r>
    </w:p>
    <w:p>
      <w:pPr>
        <w:pStyle w:val="Normal"/>
        <w:ind w:left="567" w:hanging="0"/>
        <w:rPr>
          <w:rFonts w:ascii="Arial" w:hAnsi="Arial" w:cs="Arial"/>
          <w:b/>
          <w:b/>
          <w:sz w:val="20"/>
          <w:szCs w:val="20"/>
        </w:rPr>
      </w:pPr>
      <w:r>
        <w:rPr>
          <w:rFonts w:cs="Arial" w:ascii="Arial" w:hAnsi="Arial"/>
          <w:b/>
          <w:sz w:val="20"/>
          <w:szCs w:val="20"/>
        </w:rPr>
      </w:r>
    </w:p>
    <w:p>
      <w:pPr>
        <w:pStyle w:val="ListParagraph"/>
        <w:numPr>
          <w:ilvl w:val="0"/>
          <w:numId w:val="1"/>
        </w:numPr>
        <w:spacing w:before="60" w:after="0"/>
        <w:ind w:left="567" w:hanging="425"/>
        <w:jc w:val="both"/>
        <w:rPr>
          <w:rFonts w:ascii="Arial" w:hAnsi="Arial" w:cs="Arial"/>
          <w:bCs/>
          <w:sz w:val="20"/>
          <w:szCs w:val="20"/>
        </w:rPr>
      </w:pPr>
      <w:r>
        <w:rPr>
          <w:rFonts w:cs="Arial" w:ascii="Arial" w:hAnsi="Arial"/>
          <w:sz w:val="20"/>
          <w:szCs w:val="20"/>
        </w:rPr>
        <w:t xml:space="preserve">BTKbudou prováděny ve lhůtách a kvalitě dle pokynů a návodu výrobce. Opravy bude zhotovitel provádět na základě dílčích objednávek objednatele, a to písemných, nebo zaslaných prostřednictvím emailu nebo poštovní datové zprávy. Opravy budou provedeny </w:t>
      </w:r>
      <w:r>
        <w:rPr>
          <w:rFonts w:cs="Arial" w:ascii="Arial" w:hAnsi="Arial"/>
          <w:bCs/>
          <w:sz w:val="20"/>
          <w:szCs w:val="20"/>
        </w:rPr>
        <w:t xml:space="preserve">vždy nejpozději do 5 pracovních dní od doručení příslušné dílčí objednávky, a v případě odstraňování závady závislé na dodávce náhradních dílů ve lhůtě do 5 pracovních dní od dodání těchto náhradních dílů. Předpokládá se, že odstranění závady není závislé na dodávce náhradních dílů, pokud zhotovitel neprokáže opak. Zhotovitel je přitom povinen objednateli předložit zejména příslušnou objednávku náhradního dílu a jeho dodací list. </w:t>
      </w:r>
      <w:r>
        <w:rPr>
          <w:rFonts w:cs="Arial" w:ascii="Arial" w:hAnsi="Arial"/>
          <w:sz w:val="20"/>
          <w:szCs w:val="20"/>
        </w:rPr>
        <w:t xml:space="preserve">Za odstranění vady v uvedené lhůtě se považuje i zapůjčení náhradního srovnatelného přístroje </w:t>
      </w:r>
      <w:r>
        <w:rPr>
          <w:rFonts w:cs="Arial" w:ascii="Arial" w:hAnsi="Arial"/>
          <w:bCs/>
          <w:sz w:val="20"/>
          <w:szCs w:val="20"/>
        </w:rPr>
        <w:t xml:space="preserve">do 5 pracovních dní </w:t>
      </w:r>
      <w:r>
        <w:rPr>
          <w:rFonts w:cs="Arial" w:ascii="Arial" w:hAnsi="Arial"/>
          <w:sz w:val="20"/>
          <w:szCs w:val="20"/>
        </w:rPr>
        <w:t>od doručení příslušné písemné reklamace kupujícího, a to na dobu nezbytnou k odstranění reklamované vady.</w:t>
      </w:r>
    </w:p>
    <w:p>
      <w:pPr>
        <w:pStyle w:val="Normal"/>
        <w:ind w:left="567" w:hanging="425"/>
        <w:jc w:val="both"/>
        <w:rPr>
          <w:rFonts w:ascii="Arial" w:hAnsi="Arial" w:cs="Arial"/>
          <w:sz w:val="20"/>
          <w:szCs w:val="20"/>
        </w:rPr>
      </w:pPr>
      <w:r>
        <w:rPr>
          <w:rFonts w:cs="Arial" w:ascii="Arial" w:hAnsi="Arial"/>
          <w:sz w:val="20"/>
          <w:szCs w:val="20"/>
        </w:rPr>
      </w:r>
    </w:p>
    <w:p>
      <w:pPr>
        <w:pStyle w:val="Normal"/>
        <w:ind w:left="567" w:hanging="0"/>
        <w:rPr>
          <w:rFonts w:ascii="Arial" w:hAnsi="Arial" w:cs="Arial"/>
          <w:b/>
          <w:b/>
          <w:sz w:val="20"/>
          <w:szCs w:val="20"/>
        </w:rPr>
      </w:pPr>
      <w:r>
        <w:rPr>
          <w:rFonts w:cs="Arial" w:ascii="Arial" w:hAnsi="Arial"/>
          <w:b/>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Zhotovitel se zavazuje postupovat při provádění díla podle čl. 1 této smlouvy dle příslušných právních předpisů, technických norem a dle průběžných pokynů objednatele. Při provádění díla se pak zhotovitel zavazuje postupovat tak, aby nebyl narušen provoz zdravotnického zařízení objednatele.</w:t>
      </w:r>
    </w:p>
    <w:p>
      <w:pPr>
        <w:pStyle w:val="Normal"/>
        <w:ind w:left="567" w:hanging="425"/>
        <w:jc w:val="both"/>
        <w:rPr>
          <w:rFonts w:ascii="Arial" w:hAnsi="Arial" w:cs="Arial"/>
          <w:sz w:val="20"/>
          <w:szCs w:val="20"/>
        </w:rPr>
      </w:pPr>
      <w:r>
        <w:rPr>
          <w:rFonts w:cs="Arial" w:ascii="Arial" w:hAnsi="Arial"/>
          <w:sz w:val="20"/>
          <w:szCs w:val="20"/>
        </w:rPr>
      </w:r>
    </w:p>
    <w:p>
      <w:pPr>
        <w:pStyle w:val="Normal"/>
        <w:ind w:left="567" w:hanging="0"/>
        <w:rPr>
          <w:rFonts w:ascii="Arial" w:hAnsi="Arial" w:cs="Arial"/>
          <w:b/>
          <w:b/>
          <w:sz w:val="20"/>
          <w:szCs w:val="20"/>
        </w:rPr>
      </w:pPr>
      <w:r>
        <w:rPr>
          <w:rFonts w:cs="Arial" w:ascii="Arial" w:hAnsi="Arial"/>
          <w:b/>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 xml:space="preserve">Jednotlivé dílčí závazky zhotovitele se přitom budou považovat za splněné jejich předáním formou písemného protokolu, podepsaného oběma stranami. Místem plnění je objekt zadavatele v Brně, Polní 3.  </w:t>
      </w:r>
    </w:p>
    <w:p>
      <w:pPr>
        <w:pStyle w:val="Normal"/>
        <w:ind w:left="567" w:hanging="425"/>
        <w:jc w:val="both"/>
        <w:rPr>
          <w:rFonts w:ascii="Arial" w:hAnsi="Arial" w:cs="Arial"/>
          <w:sz w:val="20"/>
          <w:szCs w:val="20"/>
        </w:rPr>
      </w:pPr>
      <w:r>
        <w:rPr>
          <w:rFonts w:cs="Arial" w:ascii="Arial" w:hAnsi="Arial"/>
          <w:sz w:val="20"/>
          <w:szCs w:val="20"/>
        </w:rPr>
      </w:r>
    </w:p>
    <w:p>
      <w:pPr>
        <w:pStyle w:val="Normal"/>
        <w:ind w:left="567" w:hanging="425"/>
        <w:rPr>
          <w:rFonts w:ascii="Arial" w:hAnsi="Arial" w:cs="Arial"/>
          <w:b/>
          <w:b/>
          <w:sz w:val="20"/>
          <w:szCs w:val="20"/>
        </w:rPr>
      </w:pPr>
      <w:r>
        <w:rPr>
          <w:rFonts w:cs="Arial" w:ascii="Arial" w:hAnsi="Arial"/>
          <w:b/>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 xml:space="preserve">Pro případ prodlení zhotovitele s plněním jeho závazků podle této smlouvy ve lhůtách podle čl. 4 této smlouvy se zhotovitel zavazuje platit objednateli smluvní pokutu ve výši 1 000,- Kč za každý započatý den prodlení. </w:t>
      </w:r>
    </w:p>
    <w:p>
      <w:pPr>
        <w:pStyle w:val="Normal"/>
        <w:ind w:left="567" w:hanging="0"/>
        <w:jc w:val="center"/>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color w:val="000000"/>
          <w:sz w:val="20"/>
          <w:szCs w:val="20"/>
        </w:rPr>
      </w:pPr>
      <w:r>
        <w:rPr>
          <w:rFonts w:cs="Arial" w:ascii="Arial" w:hAnsi="Arial"/>
          <w:sz w:val="20"/>
          <w:szCs w:val="20"/>
        </w:rPr>
        <w:t xml:space="preserve">Objednatel se </w:t>
      </w:r>
      <w:r>
        <w:rPr>
          <w:rFonts w:cs="Arial" w:ascii="Arial" w:hAnsi="Arial"/>
          <w:color w:val="000000"/>
          <w:sz w:val="20"/>
          <w:szCs w:val="20"/>
        </w:rPr>
        <w:t>zavazuje zaplatit zhotoviteli cenu za:</w:t>
      </w:r>
    </w:p>
    <w:p>
      <w:pPr>
        <w:pStyle w:val="ListParagraph"/>
        <w:numPr>
          <w:ilvl w:val="0"/>
          <w:numId w:val="3"/>
        </w:numPr>
        <w:tabs>
          <w:tab w:val="left" w:pos="709" w:leader="none"/>
          <w:tab w:val="left" w:pos="993" w:leader="none"/>
        </w:tabs>
        <w:ind w:left="709" w:hanging="0"/>
        <w:jc w:val="both"/>
        <w:rPr>
          <w:rFonts w:ascii="Arial" w:hAnsi="Arial" w:cs="Arial"/>
          <w:sz w:val="20"/>
          <w:szCs w:val="20"/>
        </w:rPr>
      </w:pPr>
      <w:r>
        <w:rPr>
          <w:rFonts w:cs="Arial" w:ascii="Arial" w:hAnsi="Arial"/>
          <w:sz w:val="20"/>
          <w:szCs w:val="20"/>
        </w:rPr>
        <w:t>1 provedenou BTK podle čl. 3 písm. a) této smlouvy: 6</w:t>
      </w:r>
      <w:r>
        <w:rPr>
          <w:rFonts w:cs="Arial" w:ascii="Arial" w:hAnsi="Arial"/>
          <w:b/>
          <w:bCs/>
          <w:sz w:val="20"/>
          <w:szCs w:val="20"/>
        </w:rPr>
        <w:t>80</w:t>
      </w:r>
      <w:r>
        <w:rPr>
          <w:rFonts w:cs="Arial" w:ascii="Arial" w:hAnsi="Arial"/>
          <w:sz w:val="20"/>
          <w:szCs w:val="20"/>
        </w:rPr>
        <w:t>,- Kč + 800,- dopravné bez DPH</w:t>
      </w:r>
    </w:p>
    <w:p>
      <w:pPr>
        <w:pStyle w:val="ListParagraph"/>
        <w:numPr>
          <w:ilvl w:val="0"/>
          <w:numId w:val="3"/>
        </w:numPr>
        <w:tabs>
          <w:tab w:val="left" w:pos="993" w:leader="none"/>
        </w:tabs>
        <w:ind w:left="851" w:hanging="142"/>
        <w:jc w:val="both"/>
        <w:rPr>
          <w:rFonts w:ascii="Arial" w:hAnsi="Arial" w:cs="Arial"/>
          <w:sz w:val="20"/>
          <w:szCs w:val="20"/>
        </w:rPr>
      </w:pPr>
      <w:r>
        <w:rPr>
          <w:rFonts w:cs="Arial" w:ascii="Arial" w:hAnsi="Arial"/>
          <w:sz w:val="20"/>
          <w:szCs w:val="20"/>
        </w:rPr>
        <w:t>1 hodinu provádění opravy podle čl. 3 písm. b) této smlouvy: 6</w:t>
      </w:r>
      <w:r>
        <w:rPr>
          <w:rFonts w:cs="Arial" w:ascii="Arial" w:hAnsi="Arial"/>
          <w:b/>
          <w:bCs/>
          <w:sz w:val="20"/>
          <w:szCs w:val="20"/>
        </w:rPr>
        <w:t>80</w:t>
      </w:r>
      <w:r>
        <w:rPr>
          <w:rFonts w:cs="Arial" w:ascii="Arial" w:hAnsi="Arial"/>
          <w:sz w:val="20"/>
          <w:szCs w:val="20"/>
        </w:rPr>
        <w:t>,- Kč + 800,- dopravné bez DPH</w:t>
      </w:r>
    </w:p>
    <w:p>
      <w:pPr>
        <w:pStyle w:val="Normal"/>
        <w:ind w:left="567" w:hanging="425"/>
        <w:jc w:val="both"/>
        <w:rPr>
          <w:rFonts w:ascii="Arial" w:hAnsi="Arial" w:cs="Arial"/>
          <w:color w:val="000000"/>
          <w:sz w:val="20"/>
          <w:szCs w:val="20"/>
        </w:rPr>
      </w:pPr>
      <w:r>
        <w:rPr>
          <w:rFonts w:cs="Arial" w:ascii="Arial" w:hAnsi="Arial"/>
          <w:color w:val="000000"/>
          <w:sz w:val="20"/>
          <w:szCs w:val="20"/>
        </w:rPr>
      </w:r>
    </w:p>
    <w:p>
      <w:pPr>
        <w:pStyle w:val="Normal"/>
        <w:ind w:left="567" w:hanging="425"/>
        <w:jc w:val="both"/>
        <w:rPr>
          <w:rFonts w:ascii="Arial" w:hAnsi="Arial" w:cs="Arial"/>
          <w:color w:val="000000"/>
          <w:sz w:val="20"/>
          <w:szCs w:val="20"/>
        </w:rPr>
      </w:pPr>
      <w:r>
        <w:rPr>
          <w:rFonts w:cs="Arial" w:ascii="Arial" w:hAnsi="Arial"/>
          <w:color w:val="000000"/>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Cena za dílo dle č. 8 písm. b) této smlouvy – za provádění opravy – bude vypočtena součtem ceny práce a pořizovací ceny zapracovaných náhradních dílů. Cena práce za provádění bude stanovena jako součin hodinové sazby v Kč a počtu hodin odpracovaných na příslušném díle.</w:t>
      </w:r>
    </w:p>
    <w:p>
      <w:pPr>
        <w:pStyle w:val="Normal"/>
        <w:ind w:left="567" w:hanging="425"/>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color w:val="000000"/>
          <w:sz w:val="20"/>
          <w:szCs w:val="20"/>
        </w:rPr>
      </w:pPr>
      <w:r>
        <w:rPr>
          <w:rFonts w:cs="Arial" w:ascii="Arial" w:hAnsi="Arial"/>
          <w:sz w:val="20"/>
          <w:szCs w:val="20"/>
        </w:rPr>
        <w:t>Součástí cen podle čl. 8 této smlouvy jsou veškeré ostatní náklady zhotovitele na provedení příslušného díla včetně dopravy a cestovních nákladů. K cenám bude připočtena DPH v aktuální výši.</w:t>
      </w:r>
    </w:p>
    <w:p>
      <w:pPr>
        <w:pStyle w:val="Normal"/>
        <w:ind w:left="567" w:hanging="425"/>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 xml:space="preserve">Ceny za poskytování pozáručního servisu se zavazuje prodávající garantovat po dobu podle čl. 21 této smlouvy. Po dohodě obou smluvních stran lze však cenu upravit o inflaci dle ČSÚ vždy za předešlý rok. První úprava o inflaci je možná v roce 2021 za předešlý rok 2020. </w:t>
      </w:r>
    </w:p>
    <w:p>
      <w:pPr>
        <w:pStyle w:val="Normal"/>
        <w:ind w:left="567" w:hanging="425"/>
        <w:jc w:val="both"/>
        <w:rPr>
          <w:rFonts w:ascii="Arial" w:hAnsi="Arial" w:cs="Arial"/>
          <w:sz w:val="20"/>
          <w:szCs w:val="20"/>
        </w:rPr>
      </w:pPr>
      <w:r>
        <w:rPr>
          <w:rFonts w:cs="Arial" w:ascii="Arial" w:hAnsi="Arial"/>
          <w:sz w:val="20"/>
          <w:szCs w:val="20"/>
        </w:rPr>
      </w:r>
    </w:p>
    <w:p>
      <w:pPr>
        <w:pStyle w:val="Normal"/>
        <w:ind w:left="567" w:hanging="0"/>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pPr>
      <w:r>
        <w:rPr>
          <w:rFonts w:cs="Arial" w:ascii="Arial" w:hAnsi="Arial"/>
          <w:sz w:val="20"/>
          <w:szCs w:val="20"/>
        </w:rPr>
        <w:t>Cena díla je splatná vždy po splnění dílčího závazku zhotovitele k provedení díla ve lhůtě 30 dní od doručení jejího vyúčtování (faktury) objednateli. Pro případ prodlení s úhradou ceny díla se objednatel zavazuje zaplatit zhotoviteli úrok z prodlení ve výši dle zákona. Faktura bude odeslána na email: l…………...……………………………</w:t>
      </w:r>
      <w:r>
        <w:rPr>
          <w:rFonts w:cs="Arial" w:ascii="Arial" w:hAnsi="Arial"/>
          <w:sz w:val="20"/>
          <w:szCs w:val="20"/>
        </w:rPr>
        <w:t>.</w:t>
      </w:r>
      <w:r>
        <w:rPr>
          <w:rFonts w:cs="Arial" w:ascii="Arial" w:hAnsi="Arial"/>
          <w:sz w:val="20"/>
          <w:szCs w:val="20"/>
        </w:rPr>
        <w:t>.</w:t>
      </w:r>
    </w:p>
    <w:p>
      <w:pPr>
        <w:pStyle w:val="Normal"/>
        <w:ind w:left="567" w:hanging="425"/>
        <w:jc w:val="both"/>
        <w:rPr>
          <w:rFonts w:ascii="Arial" w:hAnsi="Arial" w:cs="Arial"/>
          <w:sz w:val="20"/>
          <w:szCs w:val="20"/>
        </w:rPr>
      </w:pPr>
      <w:r>
        <w:rPr>
          <w:rFonts w:cs="Arial" w:ascii="Arial" w:hAnsi="Arial"/>
          <w:sz w:val="20"/>
          <w:szCs w:val="20"/>
        </w:rPr>
      </w:r>
    </w:p>
    <w:p>
      <w:pPr>
        <w:pStyle w:val="Normal"/>
        <w:ind w:left="567" w:hanging="0"/>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color w:val="FF0000"/>
          <w:sz w:val="20"/>
          <w:szCs w:val="20"/>
        </w:rPr>
      </w:pPr>
      <w:r>
        <w:rPr>
          <w:rFonts w:cs="Arial" w:ascii="Arial" w:hAnsi="Arial"/>
          <w:sz w:val="20"/>
          <w:szCs w:val="20"/>
        </w:rPr>
        <w:t>Zhotovitel odpovídá objednateli za to, že dílo podle této smlouvy bude odpovídat tuzemským právním předpisům, technickým, hygienickým a jiným normám, a že bude mít vlastnosti dohodnuté nebo u těchto děl obvyklé, a to dobu záruční lhůty, která činí 6 měsíců ode dne splnění dílčího závazku zhotovitele k provedení díla.</w:t>
      </w:r>
    </w:p>
    <w:p>
      <w:pPr>
        <w:pStyle w:val="Normal"/>
        <w:ind w:left="567" w:hanging="425"/>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Zhotovitel se zavazuje rozhodovat o písemných reklamacích objednatele písemně ve lhůtě do 10 dnů od jejich doručení, a ve stejné lhůtě provést odstranění vad z oprávněných reklamací, nebude-li mezi oběma stranami v jednotlivém případě dohodnuto jinak.</w:t>
      </w:r>
    </w:p>
    <w:p>
      <w:pPr>
        <w:pStyle w:val="Normal"/>
        <w:ind w:left="567" w:hanging="425"/>
        <w:jc w:val="both"/>
        <w:rPr>
          <w:rFonts w:ascii="Arial" w:hAnsi="Arial" w:cs="Arial"/>
          <w:sz w:val="20"/>
          <w:szCs w:val="20"/>
        </w:rPr>
      </w:pPr>
      <w:r>
        <w:rPr>
          <w:rFonts w:cs="Arial" w:ascii="Arial" w:hAnsi="Arial"/>
          <w:sz w:val="20"/>
          <w:szCs w:val="20"/>
        </w:rPr>
      </w:r>
    </w:p>
    <w:p>
      <w:pPr>
        <w:pStyle w:val="Normal"/>
        <w:ind w:left="567" w:hanging="0"/>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Pro případ sporu o oprávněnost reklamace se objednateli vyhrazuje právo nechat vyhotovit k prověření jakosti díla soudně znalecký posudek, jehož výroku se obě strany zavazují podřizovat s tím, že náklady na vyhotovení tohoto posudku se zavazuje nést ten účastník sporu, kterému tento posudek nedal zapravdu.</w:t>
      </w:r>
    </w:p>
    <w:p>
      <w:pPr>
        <w:pStyle w:val="Normal"/>
        <w:ind w:left="567" w:hanging="425"/>
        <w:jc w:val="both"/>
        <w:rPr>
          <w:rFonts w:ascii="Arial" w:hAnsi="Arial" w:cs="Arial"/>
          <w:sz w:val="20"/>
          <w:szCs w:val="20"/>
        </w:rPr>
      </w:pPr>
      <w:r>
        <w:rPr>
          <w:rFonts w:cs="Arial" w:ascii="Arial" w:hAnsi="Arial"/>
          <w:sz w:val="20"/>
          <w:szCs w:val="20"/>
        </w:rPr>
      </w:r>
    </w:p>
    <w:p>
      <w:pPr>
        <w:pStyle w:val="Normal"/>
        <w:ind w:left="567" w:hanging="0"/>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Není-li touto smlouvou ujednáno jinak, řídí se vzájemný právní vztah mezi zhotovitelem a objednatelem § 2586 až 2622 občanského zákoníku.</w:t>
      </w:r>
    </w:p>
    <w:p>
      <w:pPr>
        <w:pStyle w:val="Normal"/>
        <w:ind w:left="567" w:hanging="425"/>
        <w:jc w:val="both"/>
        <w:rPr>
          <w:rFonts w:ascii="Arial" w:hAnsi="Arial" w:cs="Arial"/>
          <w:sz w:val="20"/>
          <w:szCs w:val="20"/>
        </w:rPr>
      </w:pPr>
      <w:r>
        <w:rPr>
          <w:rFonts w:cs="Arial" w:ascii="Arial" w:hAnsi="Arial"/>
          <w:sz w:val="20"/>
          <w:szCs w:val="20"/>
        </w:rPr>
      </w:r>
    </w:p>
    <w:p>
      <w:pPr>
        <w:pStyle w:val="Normal"/>
        <w:ind w:left="567" w:hanging="0"/>
        <w:rPr>
          <w:rFonts w:ascii="Arial" w:hAnsi="Arial" w:cs="Arial"/>
          <w:sz w:val="20"/>
          <w:szCs w:val="20"/>
        </w:rPr>
      </w:pPr>
      <w:r>
        <w:rPr>
          <w:rFonts w:cs="Arial" w:ascii="Arial" w:hAnsi="Arial"/>
          <w:sz w:val="20"/>
          <w:szCs w:val="20"/>
        </w:rPr>
      </w:r>
    </w:p>
    <w:p>
      <w:pPr>
        <w:pStyle w:val="ListParagraph"/>
        <w:numPr>
          <w:ilvl w:val="0"/>
          <w:numId w:val="1"/>
        </w:numPr>
        <w:tabs>
          <w:tab w:val="left" w:pos="567" w:leader="none"/>
        </w:tabs>
        <w:ind w:left="567" w:hanging="425"/>
        <w:jc w:val="both"/>
        <w:rPr>
          <w:rFonts w:ascii="Arial" w:hAnsi="Arial" w:cs="Arial"/>
          <w:sz w:val="20"/>
          <w:szCs w:val="20"/>
        </w:rPr>
      </w:pPr>
      <w:r>
        <w:rPr>
          <w:rFonts w:cs="Arial" w:ascii="Arial" w:hAnsi="Arial"/>
          <w:sz w:val="20"/>
          <w:szCs w:val="20"/>
        </w:rPr>
        <w:t xml:space="preserve">Tuto smlouvu lze změnit nebo zrušit pouze jinou písemnou dohodu obou smluvních stran. Tuto smlouvu lze také vypovědět písemnou výpovědí s tříměsíční výpovědní lhůtou, která počne běžet prvním dnem měsíce následujícího po doručení výpovědi druhé smluvní straně. Ze strany zhotovitele lze tuto smlouvu vypovědět pouze z důvodu prodlení objednatele se zaplacením ceny díla o víc, než 3 měsíce. </w:t>
      </w:r>
    </w:p>
    <w:p>
      <w:pPr>
        <w:pStyle w:val="Normal"/>
        <w:ind w:left="567" w:hanging="425"/>
        <w:jc w:val="both"/>
        <w:rPr>
          <w:rFonts w:ascii="Arial" w:hAnsi="Arial" w:cs="Arial"/>
          <w:sz w:val="20"/>
          <w:szCs w:val="20"/>
        </w:rPr>
      </w:pPr>
      <w:r>
        <w:rPr>
          <w:rFonts w:cs="Arial" w:ascii="Arial" w:hAnsi="Arial"/>
          <w:sz w:val="20"/>
          <w:szCs w:val="20"/>
        </w:rPr>
      </w:r>
    </w:p>
    <w:p>
      <w:pPr>
        <w:pStyle w:val="Normal"/>
        <w:ind w:left="567" w:hanging="0"/>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 xml:space="preserve">Pro případ skončení této smlouvy před uplynutím doby podle čl. 21 této smlouvy odstoupením zhotovitele nebo výpovědí ze strany objednatele pro podstatné porušení této smlouvy ze strany zhotovitele, se zhotovitel zavazuje zaplatit objednateli smluvní pokutu ve výši </w:t>
      </w:r>
      <w:r>
        <w:rPr>
          <w:rFonts w:cs="Arial" w:ascii="Arial" w:hAnsi="Arial"/>
          <w:b/>
          <w:sz w:val="20"/>
          <w:szCs w:val="20"/>
        </w:rPr>
        <w:t>5 000</w:t>
      </w:r>
      <w:r>
        <w:rPr>
          <w:rFonts w:cs="Arial" w:ascii="Arial" w:hAnsi="Arial"/>
          <w:sz w:val="20"/>
          <w:szCs w:val="20"/>
        </w:rPr>
        <w:t xml:space="preserve">,- Kč za každý i započatý rok neposkytování pozáručního servisu zbývajícího do ukončení smlouvy dle čl. 21 této smlouvy. Za podstatné porušení této smlouvy ze strany zhotovitele se přitom považuje zejména prodlení s plněním závazku zhotovitele k provedení díla o víc, než 1 měsíc, výskyt neodstranitelné vady nebo opakovaný výskyt vad, nebo neuznání oprávněné reklamace. </w:t>
      </w:r>
    </w:p>
    <w:p>
      <w:pPr>
        <w:pStyle w:val="Normal"/>
        <w:ind w:left="567" w:hanging="425"/>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 xml:space="preserve">Tato smlouva se uzavírá na základě návrhu na její uzavření ze strany objednatele. Předpokladem uzavření této smlouvy je její písemná forma a dohoda o celém jejím obsahu jak je obsažen v jejích článcích 1 až 22. Objednatel přitom předem vylučuje přijetí tohoto návrhu s dodatkem nebo odchylkou ve smyslu § 1740 odst. 3 občanského zákoníku. </w:t>
      </w:r>
    </w:p>
    <w:p>
      <w:pPr>
        <w:pStyle w:val="ListParagraph"/>
        <w:ind w:left="567" w:hanging="0"/>
        <w:jc w:val="both"/>
        <w:rPr>
          <w:rFonts w:ascii="Arial" w:hAnsi="Arial" w:cs="Arial"/>
          <w:sz w:val="20"/>
          <w:szCs w:val="20"/>
        </w:rPr>
      </w:pPr>
      <w:r>
        <w:rPr>
          <w:rFonts w:cs="Arial" w:ascii="Arial" w:hAnsi="Arial"/>
          <w:sz w:val="20"/>
          <w:szCs w:val="20"/>
        </w:rPr>
      </w:r>
    </w:p>
    <w:p>
      <w:pPr>
        <w:pStyle w:val="ListParagraph"/>
        <w:ind w:left="567" w:hanging="0"/>
        <w:jc w:val="both"/>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Smluvní strany souhlasí se zveřejněním smlouvy v úplném znění, stejně jako s uveřejněním úplného znění případných dohod (dodatků), kterými se smlouva doplňuje, mění, nahrazuje nebo ruší, a to zejména prostřednictvím Registru smluv v souladu se zákonem č. 340/2015 Sb., o registru smluv, ve znění pozdějších předpisů. Smluvní strany se dohodly, že uveřejnění smlouvy zajistí objednatel.</w:t>
      </w:r>
    </w:p>
    <w:p>
      <w:pPr>
        <w:pStyle w:val="Normal"/>
        <w:ind w:left="567" w:hanging="425"/>
        <w:jc w:val="both"/>
        <w:rPr>
          <w:rFonts w:ascii="Arial" w:hAnsi="Arial" w:cs="Arial"/>
          <w:b/>
          <w:b/>
          <w:sz w:val="20"/>
          <w:szCs w:val="20"/>
        </w:rPr>
      </w:pPr>
      <w:r>
        <w:rPr>
          <w:rFonts w:cs="Arial" w:ascii="Arial" w:hAnsi="Arial"/>
          <w:b/>
          <w:sz w:val="20"/>
          <w:szCs w:val="20"/>
        </w:rPr>
      </w:r>
    </w:p>
    <w:p>
      <w:pPr>
        <w:pStyle w:val="Normal"/>
        <w:ind w:left="567" w:hanging="0"/>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 xml:space="preserve">Tato smlouva nabývá účinnosti dnem podpisu poslední ze smluvních stran a uzavírá se na dobu 8 let od skončení záruční lhůty dle kupní smlouvy ze dne 16. 11.  2017. </w:t>
      </w:r>
    </w:p>
    <w:p>
      <w:pPr>
        <w:pStyle w:val="Normal"/>
        <w:ind w:left="567" w:hanging="425"/>
        <w:jc w:val="both"/>
        <w:rPr>
          <w:rFonts w:ascii="Arial" w:hAnsi="Arial" w:cs="Arial"/>
          <w:sz w:val="20"/>
          <w:szCs w:val="20"/>
        </w:rPr>
      </w:pPr>
      <w:r>
        <w:rPr>
          <w:rFonts w:cs="Arial" w:ascii="Arial" w:hAnsi="Arial"/>
          <w:sz w:val="20"/>
          <w:szCs w:val="20"/>
        </w:rPr>
      </w:r>
    </w:p>
    <w:p>
      <w:pPr>
        <w:pStyle w:val="Normal"/>
        <w:ind w:left="567" w:hanging="0"/>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Dáno ve dvou originálních písemných vyhotoveních, z nichž každá ze smluvních stran obdrží po jednom.</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V Brně dne 16. 11.  2017</w:t>
        <w:tab/>
        <w:tab/>
        <w:tab/>
        <w:tab/>
        <w:tab/>
        <w:t xml:space="preserve">V </w:t>
      </w:r>
      <w:r>
        <w:rPr>
          <w:rFonts w:cs="Arial" w:ascii="Arial" w:hAnsi="Arial"/>
          <w:bCs/>
          <w:sz w:val="20"/>
          <w:szCs w:val="20"/>
        </w:rPr>
        <w:t>Praze</w:t>
      </w:r>
      <w:r>
        <w:rPr>
          <w:rFonts w:cs="Arial" w:ascii="Arial" w:hAnsi="Arial"/>
          <w:sz w:val="20"/>
          <w:szCs w:val="20"/>
        </w:rPr>
        <w:t xml:space="preserve"> dne</w:t>
      </w:r>
      <w:bookmarkStart w:id="0" w:name="_GoBack"/>
      <w:bookmarkEnd w:id="0"/>
      <w:r>
        <w:rPr>
          <w:rFonts w:cs="Arial" w:ascii="Arial" w:hAnsi="Arial"/>
          <w:sz w:val="20"/>
          <w:szCs w:val="20"/>
        </w:rPr>
        <w:t xml:space="preserve"> 10.11.17</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Za objednatele:</w:t>
        <w:tab/>
        <w:tab/>
        <w:tab/>
        <w:tab/>
        <w:tab/>
        <w:tab/>
        <w:tab/>
        <w:t>Za zhotovitele:</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tabs>
          <w:tab w:val="left" w:pos="4820" w:leader="none"/>
          <w:tab w:val="left" w:pos="5670" w:leader="none"/>
        </w:tabs>
        <w:jc w:val="both"/>
        <w:rPr>
          <w:rFonts w:ascii="Arial" w:hAnsi="Arial" w:cs="Arial"/>
          <w:sz w:val="20"/>
          <w:szCs w:val="20"/>
        </w:rPr>
      </w:pPr>
      <w:r>
        <w:rPr>
          <w:rFonts w:cs="Arial" w:ascii="Arial" w:hAnsi="Arial"/>
          <w:sz w:val="20"/>
          <w:szCs w:val="20"/>
        </w:rPr>
        <w:t>……………………………</w:t>
      </w:r>
      <w:r>
        <w:rPr>
          <w:rFonts w:cs="Arial" w:ascii="Arial" w:hAnsi="Arial"/>
          <w:sz w:val="20"/>
          <w:szCs w:val="20"/>
        </w:rPr>
        <w:t xml:space="preserve">.                    </w:t>
        <w:tab/>
        <w:tab/>
        <w:t>……………………………</w:t>
      </w:r>
    </w:p>
    <w:p>
      <w:pPr>
        <w:pStyle w:val="Normal"/>
        <w:jc w:val="both"/>
        <w:rPr>
          <w:rFonts w:ascii="Arial" w:hAnsi="Arial" w:cs="Arial"/>
          <w:b/>
          <w:b/>
        </w:rPr>
      </w:pPr>
      <w:r>
        <w:rPr>
          <w:rFonts w:cs="Arial" w:ascii="Arial" w:hAnsi="Arial"/>
          <w:b/>
          <w:sz w:val="20"/>
          <w:szCs w:val="20"/>
        </w:rPr>
        <w:t>MUDr. Josef Drbal</w:t>
        <w:tab/>
      </w:r>
      <w:r>
        <w:rPr>
          <w:rFonts w:cs="Arial" w:ascii="Arial" w:hAnsi="Arial"/>
          <w:sz w:val="20"/>
          <w:szCs w:val="20"/>
        </w:rPr>
        <w:tab/>
        <w:tab/>
        <w:tab/>
        <w:tab/>
        <w:tab/>
      </w:r>
      <w:r>
        <w:rPr>
          <w:rFonts w:cs="Arial" w:ascii="Arial" w:hAnsi="Arial"/>
          <w:b/>
          <w:bCs/>
          <w:sz w:val="20"/>
          <w:szCs w:val="20"/>
        </w:rPr>
        <w:t>Ing. Jiří Grimmer</w:t>
      </w:r>
    </w:p>
    <w:p>
      <w:pPr>
        <w:pStyle w:val="Normal"/>
        <w:jc w:val="both"/>
        <w:rPr>
          <w:rFonts w:ascii="Arial" w:hAnsi="Arial" w:cs="Arial"/>
          <w:b/>
          <w:b/>
        </w:rPr>
      </w:pPr>
      <w:r>
        <w:rPr>
          <w:rFonts w:cs="Arial" w:ascii="Arial" w:hAnsi="Arial"/>
          <w:sz w:val="20"/>
          <w:szCs w:val="20"/>
        </w:rPr>
        <w:t xml:space="preserve"> </w:t>
      </w:r>
      <w:r>
        <w:rPr>
          <w:rFonts w:cs="Arial" w:ascii="Arial" w:hAnsi="Arial"/>
          <w:sz w:val="20"/>
          <w:szCs w:val="20"/>
        </w:rPr>
        <w:t>ředitel nemocnice</w:t>
        <w:tab/>
        <w:tab/>
        <w:tab/>
        <w:tab/>
        <w:tab/>
        <w:tab/>
      </w:r>
      <w:r>
        <w:rPr>
          <w:rFonts w:cs="Arial" w:ascii="Arial" w:hAnsi="Arial"/>
          <w:bCs/>
          <w:sz w:val="20"/>
          <w:szCs w:val="20"/>
        </w:rPr>
        <w:t>GPS Praha</w:t>
      </w:r>
    </w:p>
    <w:p>
      <w:pPr>
        <w:pStyle w:val="Normal"/>
        <w:rPr/>
      </w:pPr>
      <w:r>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onsolas">
    <w:charset w:val="ee"/>
    <w:family w:val="roman"/>
    <w:pitch w:val="variable"/>
  </w:font>
  <w:font w:name="Arial">
    <w:charset w:val="ee"/>
    <w:family w:val="roman"/>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2036498"/>
    </w:sdtPr>
    <w:sdtContent>
      <w:p>
        <w:pPr>
          <w:pStyle w:val="Zpat"/>
          <w:jc w:val="center"/>
          <w:rPr/>
        </w:pPr>
        <w:r>
          <w:rPr/>
          <w:fldChar w:fldCharType="begin"/>
        </w:r>
        <w:r>
          <w:instrText> PAGE </w:instrText>
        </w:r>
        <w:r>
          <w:fldChar w:fldCharType="separate"/>
        </w:r>
        <w:r>
          <w:t>2</w:t>
        </w:r>
        <w:r>
          <w:fldChar w:fldCharType="end"/>
        </w:r>
      </w:p>
    </w:sdtContent>
  </w:sdt>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0"/>
        <w:b/>
        <w:rFonts w:ascii="Arial" w:hAnsi="Aria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lowerLetter"/>
      <w:lvlText w:val="%1)"/>
      <w:lvlJc w:val="left"/>
      <w:pPr>
        <w:ind w:left="720" w:hanging="360"/>
      </w:pPr>
      <w:rPr>
        <w:sz w:val="20"/>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Plain Text"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34c91"/>
    <w:pPr>
      <w:widowControl/>
      <w:bidi w:val="0"/>
      <w:spacing w:lineRule="auto" w:line="240" w:before="0" w:after="0"/>
      <w:jc w:val="left"/>
    </w:pPr>
    <w:rPr>
      <w:rFonts w:ascii="Times New Roman" w:hAnsi="Times New Roman" w:eastAsia="Times New Roman" w:cs="Times New Roman"/>
      <w:color w:val="auto"/>
      <w:sz w:val="24"/>
      <w:szCs w:val="24"/>
      <w:lang w:eastAsia="cs-CZ" w:val="cs-CZ" w:bidi="ar-SA"/>
    </w:rPr>
  </w:style>
  <w:style w:type="character" w:styleId="DefaultParagraphFont" w:default="1">
    <w:name w:val="Default Paragraph Font"/>
    <w:uiPriority w:val="1"/>
    <w:semiHidden/>
    <w:unhideWhenUsed/>
    <w:qFormat/>
    <w:rPr/>
  </w:style>
  <w:style w:type="character" w:styleId="ProsttextChar" w:customStyle="1">
    <w:name w:val="Prostý text Char"/>
    <w:basedOn w:val="DefaultParagraphFont"/>
    <w:link w:val="Prosttext"/>
    <w:qFormat/>
    <w:rsid w:val="00034c91"/>
    <w:rPr>
      <w:rFonts w:ascii="Consolas" w:hAnsi="Consolas" w:eastAsia="Times New Roman" w:cs="Times New Roman"/>
      <w:sz w:val="21"/>
      <w:szCs w:val="21"/>
    </w:rPr>
  </w:style>
  <w:style w:type="character" w:styleId="ZhlavChar" w:customStyle="1">
    <w:name w:val="Záhlaví Char"/>
    <w:basedOn w:val="DefaultParagraphFont"/>
    <w:link w:val="Zhlav"/>
    <w:uiPriority w:val="99"/>
    <w:qFormat/>
    <w:rsid w:val="008c3d93"/>
    <w:rPr>
      <w:rFonts w:ascii="Times New Roman" w:hAnsi="Times New Roman" w:eastAsia="Times New Roman" w:cs="Times New Roman"/>
      <w:sz w:val="24"/>
      <w:szCs w:val="24"/>
      <w:lang w:eastAsia="cs-CZ"/>
    </w:rPr>
  </w:style>
  <w:style w:type="character" w:styleId="ZpatChar" w:customStyle="1">
    <w:name w:val="Zápatí Char"/>
    <w:basedOn w:val="DefaultParagraphFont"/>
    <w:link w:val="Zpat"/>
    <w:uiPriority w:val="99"/>
    <w:qFormat/>
    <w:rsid w:val="008c3d93"/>
    <w:rPr>
      <w:rFonts w:ascii="Times New Roman" w:hAnsi="Times New Roman" w:eastAsia="Times New Roman" w:cs="Times New Roman"/>
      <w:sz w:val="24"/>
      <w:szCs w:val="24"/>
      <w:lang w:eastAsia="cs-CZ"/>
    </w:rPr>
  </w:style>
  <w:style w:type="character" w:styleId="ListLabel1">
    <w:name w:val="ListLabel 1"/>
    <w:qFormat/>
    <w:rPr>
      <w:rFonts w:cs="Times New Roman"/>
      <w:b w:val="false"/>
    </w:rPr>
  </w:style>
  <w:style w:type="character" w:styleId="ListLabel2">
    <w:name w:val="ListLabel 2"/>
    <w:qFormat/>
    <w:rPr>
      <w:rFonts w:eastAsia="Times New Roman" w:cs="Arial"/>
    </w:rPr>
  </w:style>
  <w:style w:type="character" w:styleId="ListLabel3">
    <w:name w:val="ListLabel 3"/>
    <w:qFormat/>
    <w:rPr>
      <w:rFonts w:ascii="Arial" w:hAnsi="Arial"/>
      <w:b/>
      <w:color w:val="00000A"/>
      <w:sz w:val="20"/>
    </w:rPr>
  </w:style>
  <w:style w:type="character" w:styleId="ListLabel4">
    <w:name w:val="ListLabel 4"/>
    <w:qFormat/>
    <w:rPr>
      <w:rFonts w:cs="Times New Roman"/>
      <w:b w:val="false"/>
    </w:rPr>
  </w:style>
  <w:style w:type="character" w:styleId="ListLabel5">
    <w:name w:val="ListLabel 5"/>
    <w:qFormat/>
    <w:rPr>
      <w:rFonts w:eastAsia="Times New Roman" w:cs="Arial"/>
    </w:rPr>
  </w:style>
  <w:style w:type="character" w:styleId="ListLabel6">
    <w:name w:val="ListLabel 6"/>
    <w:qFormat/>
    <w:rPr>
      <w:rFonts w:ascii="Arial" w:hAnsi="Arial"/>
      <w:b/>
      <w:sz w:val="20"/>
    </w:rPr>
  </w:style>
  <w:style w:type="character" w:styleId="ListLabel7">
    <w:name w:val="ListLabel 7"/>
    <w:qFormat/>
    <w:rPr>
      <w:b/>
    </w:rPr>
  </w:style>
  <w:style w:type="paragraph" w:styleId="Nadpis">
    <w:name w:val="Nadpis"/>
    <w:basedOn w:val="Normal"/>
    <w:next w:val="Tlotextu"/>
    <w:qFormat/>
    <w:pPr>
      <w:keepNext/>
      <w:spacing w:before="240" w:after="120"/>
    </w:pPr>
    <w:rPr>
      <w:rFonts w:ascii="Liberation Sans" w:hAnsi="Liberation Sans" w:eastAsia="Microsoft YaHei" w:cs="Ari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PlainText">
    <w:name w:val="Plain Text"/>
    <w:basedOn w:val="Normal"/>
    <w:link w:val="ProsttextChar"/>
    <w:unhideWhenUsed/>
    <w:qFormat/>
    <w:rsid w:val="00034c91"/>
    <w:pPr/>
    <w:rPr>
      <w:rFonts w:ascii="Consolas" w:hAnsi="Consolas"/>
      <w:sz w:val="21"/>
      <w:szCs w:val="21"/>
      <w:lang w:eastAsia="en-US"/>
    </w:rPr>
  </w:style>
  <w:style w:type="paragraph" w:styleId="Zhlav">
    <w:name w:val="Header"/>
    <w:basedOn w:val="Normal"/>
    <w:link w:val="ZhlavChar"/>
    <w:uiPriority w:val="99"/>
    <w:unhideWhenUsed/>
    <w:rsid w:val="008c3d93"/>
    <w:pPr>
      <w:tabs>
        <w:tab w:val="center" w:pos="4536" w:leader="none"/>
        <w:tab w:val="right" w:pos="9072" w:leader="none"/>
      </w:tabs>
    </w:pPr>
    <w:rPr/>
  </w:style>
  <w:style w:type="paragraph" w:styleId="Zpat">
    <w:name w:val="Footer"/>
    <w:basedOn w:val="Normal"/>
    <w:link w:val="ZpatChar"/>
    <w:uiPriority w:val="99"/>
    <w:unhideWhenUsed/>
    <w:rsid w:val="008c3d93"/>
    <w:pPr>
      <w:tabs>
        <w:tab w:val="center" w:pos="4536" w:leader="none"/>
        <w:tab w:val="right" w:pos="9072" w:leader="none"/>
      </w:tabs>
    </w:pPr>
    <w:rPr/>
  </w:style>
  <w:style w:type="paragraph" w:styleId="ListParagraph">
    <w:name w:val="List Paragraph"/>
    <w:basedOn w:val="Normal"/>
    <w:uiPriority w:val="34"/>
    <w:qFormat/>
    <w:rsid w:val="0048001e"/>
    <w:pPr>
      <w:spacing w:before="0" w:after="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LibreOffice/5.3.3.2$Windows_X86_64 LibreOffice_project/3d9a8b4b4e538a85e0782bd6c2d430bafe583448</Application>
  <Pages>3</Pages>
  <Words>1095</Words>
  <Characters>6146</Characters>
  <CharactersWithSpaces>7280</CharactersWithSpaces>
  <Paragraphs>47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2017-11-06T14:52:00Z</dcterms:created>
  <dc:creator>Martina Ferechová</dc:creator>
  <dc:description/>
  <dc:language>cs-CZ</dc:language>
  <cp:lastModifiedBy/>
  <dcterms:modified xsi:type="dcterms:W3CDTF">2017-12-01T14:57:57Z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