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F" w:rsidRDefault="00C3163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69340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45000000000005pt;height:842.pt;z-index:-251658240;mso-position-horizontal-relative:page;mso-position-vertical-relative:page;z-index:-251658752" fillcolor="#F9FAFD" stroked="f"/>
            </w:pict>
          </mc:Fallback>
        </mc:AlternateContent>
      </w:r>
    </w:p>
    <w:p w:rsidR="002B3BFF" w:rsidRDefault="00C31637">
      <w:pPr>
        <w:pStyle w:val="Nadpis10"/>
        <w:keepNext/>
        <w:keepLines/>
        <w:framePr w:w="7762" w:h="336" w:wrap="none" w:vAnchor="text" w:hAnchor="margin" w:x="11" w:y="21"/>
        <w:shd w:val="clear" w:color="auto" w:fill="auto"/>
      </w:pPr>
      <w:bookmarkStart w:id="0" w:name="bookmark0"/>
      <w:r>
        <w:t xml:space="preserve">Příloha </w:t>
      </w:r>
      <w:proofErr w:type="gramStart"/>
      <w:r>
        <w:t>č.3 Tabulka</w:t>
      </w:r>
      <w:proofErr w:type="gramEnd"/>
      <w:r>
        <w:t xml:space="preserve"> více a méně prací</w:t>
      </w:r>
      <w:r w:rsidR="003D15B4">
        <w:t xml:space="preserve"> „</w:t>
      </w:r>
      <w:bookmarkStart w:id="1" w:name="_GoBack"/>
      <w:bookmarkEnd w:id="1"/>
      <w:r>
        <w:t>Výměna oken a dveří na ubytovně NNH</w:t>
      </w:r>
      <w:bookmarkEnd w:id="0"/>
      <w:r w:rsidR="003D15B4">
        <w:t>“</w:t>
      </w:r>
    </w:p>
    <w:p w:rsidR="002B3BFF" w:rsidRDefault="00C31637">
      <w:pPr>
        <w:pStyle w:val="Zkladntext1"/>
        <w:framePr w:w="562" w:h="283" w:wrap="none" w:vAnchor="text" w:hAnchor="margin" w:x="2" w:y="6452"/>
        <w:shd w:val="clear" w:color="auto" w:fill="auto"/>
      </w:pPr>
      <w:r>
        <w:rPr>
          <w:b/>
          <w:bCs/>
          <w:color w:val="000000"/>
        </w:rPr>
        <w:t>Rozdíl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1234"/>
        <w:gridCol w:w="802"/>
      </w:tblGrid>
      <w:tr w:rsidR="002B3BFF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4008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line="276" w:lineRule="auto"/>
            </w:pPr>
            <w:r>
              <w:t xml:space="preserve">vnějších parapetů pozice </w:t>
            </w:r>
            <w:proofErr w:type="gramStart"/>
            <w:r>
              <w:t>č.1,2,5</w:t>
            </w:r>
            <w:proofErr w:type="gramEnd"/>
            <w:r>
              <w:br/>
            </w:r>
            <w:proofErr w:type="spellStart"/>
            <w:r>
              <w:t>lx</w:t>
            </w:r>
            <w:proofErr w:type="spellEnd"/>
            <w:r>
              <w:t xml:space="preserve"> mříž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line="276" w:lineRule="auto"/>
            </w:pPr>
            <w:r>
              <w:t>vnitřních parapetů pozice č. 3, 5</w:t>
            </w:r>
            <w:r>
              <w:br/>
            </w:r>
            <w:proofErr w:type="spellStart"/>
            <w:r>
              <w:t>skloděl</w:t>
            </w:r>
            <w:proofErr w:type="spellEnd"/>
            <w:r>
              <w:t xml:space="preserve"> </w:t>
            </w:r>
            <w:proofErr w:type="spellStart"/>
            <w:r>
              <w:t>ící</w:t>
            </w:r>
            <w:proofErr w:type="spellEnd"/>
            <w:r>
              <w:t xml:space="preserve"> příčka pozice </w:t>
            </w:r>
            <w:proofErr w:type="gramStart"/>
            <w:r>
              <w:t>č.4</w:t>
            </w:r>
            <w:proofErr w:type="gramEnd"/>
          </w:p>
        </w:tc>
        <w:tc>
          <w:tcPr>
            <w:tcW w:w="1234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t>4.842,-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t>4.000,-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t>1.517,-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t>1.456,-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rPr>
                <w:b/>
                <w:bCs/>
              </w:rPr>
              <w:t>11.815,-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rPr>
                <w:b/>
                <w:bCs/>
              </w:rPr>
              <w:t>bez DPH</w:t>
            </w: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přechodové lišty</w:t>
            </w:r>
            <w:r>
              <w:t xml:space="preserve"> pozice </w:t>
            </w:r>
            <w:proofErr w:type="gramStart"/>
            <w:r>
              <w:t>č.1,2,5</w:t>
            </w:r>
            <w:proofErr w:type="gramEnd"/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4.351,-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 xml:space="preserve">4ks oken </w:t>
            </w:r>
            <w:proofErr w:type="spellStart"/>
            <w:r>
              <w:t>poz</w:t>
            </w:r>
            <w:proofErr w:type="spellEnd"/>
            <w:r>
              <w:t xml:space="preserve"> č. 2 </w:t>
            </w:r>
            <w:proofErr w:type="spellStart"/>
            <w:proofErr w:type="gramStart"/>
            <w:r>
              <w:t>vč.příslušenství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18.014,-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 xml:space="preserve">žaluzie 16ks pro 8ks oken </w:t>
            </w:r>
            <w:proofErr w:type="spellStart"/>
            <w:r>
              <w:t>poz.</w:t>
            </w:r>
            <w:proofErr w:type="gramStart"/>
            <w:r>
              <w:t>č.l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14.044,-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vnitřní a vnější parapety pod BD poz.</w:t>
            </w:r>
            <w:proofErr w:type="gramStart"/>
            <w:r>
              <w:t>č.4</w:t>
            </w:r>
            <w:proofErr w:type="gramEnd"/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1.648,-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6ks zamykacích klik poz.</w:t>
            </w:r>
            <w:proofErr w:type="gramStart"/>
            <w:r>
              <w:t>č.4</w:t>
            </w:r>
            <w:proofErr w:type="gramEnd"/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2.870,-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8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vchodové dveře suterén vpravo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19.405,-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008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line="276" w:lineRule="auto"/>
            </w:pPr>
            <w:r>
              <w:t xml:space="preserve">realizační práce 4ks oken a </w:t>
            </w:r>
            <w:proofErr w:type="spellStart"/>
            <w:r>
              <w:t>lks</w:t>
            </w:r>
            <w:proofErr w:type="spellEnd"/>
            <w:r>
              <w:t xml:space="preserve"> VD</w:t>
            </w:r>
            <w:r>
              <w:br/>
              <w:t xml:space="preserve">rozdíl v ceně dovnitř a ven </w:t>
            </w:r>
            <w:proofErr w:type="spellStart"/>
            <w:r>
              <w:t>otvírave</w:t>
            </w:r>
            <w:proofErr w:type="spellEnd"/>
            <w:r>
              <w:t xml:space="preserve"> VD</w:t>
            </w:r>
          </w:p>
        </w:tc>
        <w:tc>
          <w:tcPr>
            <w:tcW w:w="1234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9.482,-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08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</w:pPr>
            <w:r>
              <w:t>pozice č 8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rozdíl v ceně elektrického vrátného s</w:t>
            </w:r>
          </w:p>
        </w:tc>
        <w:tc>
          <w:tcPr>
            <w:tcW w:w="1234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t>3.784,-</w:t>
            </w:r>
          </w:p>
        </w:tc>
        <w:tc>
          <w:tcPr>
            <w:tcW w:w="802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008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t>aretací a bez aretace</w:t>
            </w:r>
          </w:p>
        </w:tc>
        <w:tc>
          <w:tcPr>
            <w:tcW w:w="1234" w:type="dxa"/>
            <w:shd w:val="clear" w:color="auto" w:fill="FFFFFF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spacing w:after="40"/>
              <w:jc w:val="right"/>
            </w:pPr>
            <w:r>
              <w:t>1.550,-</w:t>
            </w:r>
          </w:p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rPr>
                <w:b/>
                <w:bCs/>
              </w:rPr>
              <w:t>75.148,-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rPr>
                <w:b/>
                <w:bCs/>
              </w:rPr>
              <w:t>bez DPH</w:t>
            </w:r>
          </w:p>
        </w:tc>
      </w:tr>
      <w:tr w:rsidR="002B3BF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008" w:type="dxa"/>
            <w:shd w:val="clear" w:color="auto" w:fill="FFFFFF"/>
          </w:tcPr>
          <w:p w:rsidR="002B3BFF" w:rsidRDefault="002B3BFF">
            <w:pPr>
              <w:framePr w:w="6043" w:h="5789" w:hSpace="1190" w:vSpace="29" w:wrap="none" w:vAnchor="text" w:hAnchor="margin" w:x="1192" w:y="947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  <w:jc w:val="right"/>
            </w:pPr>
            <w:r>
              <w:rPr>
                <w:b/>
                <w:bCs/>
              </w:rPr>
              <w:t>63.333,-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2B3BFF" w:rsidRDefault="00C31637">
            <w:pPr>
              <w:pStyle w:val="Jin0"/>
              <w:framePr w:w="6043" w:h="5789" w:hSpace="1190" w:vSpace="29" w:wrap="none" w:vAnchor="text" w:hAnchor="margin" w:x="1192" w:y="947"/>
              <w:shd w:val="clear" w:color="auto" w:fill="auto"/>
            </w:pPr>
            <w:r>
              <w:rPr>
                <w:b/>
                <w:bCs/>
              </w:rPr>
              <w:t>bez DPH</w:t>
            </w:r>
          </w:p>
        </w:tc>
      </w:tr>
    </w:tbl>
    <w:p w:rsidR="002B3BFF" w:rsidRDefault="00C31637">
      <w:pPr>
        <w:pStyle w:val="Titulektabulky0"/>
        <w:framePr w:w="1056" w:h="283" w:wrap="none" w:vAnchor="text" w:hAnchor="margin" w:x="6" w:y="918"/>
        <w:shd w:val="clear" w:color="auto" w:fill="auto"/>
      </w:pPr>
      <w:proofErr w:type="spellStart"/>
      <w:r>
        <w:t>Méněpráce</w:t>
      </w:r>
      <w:proofErr w:type="spellEnd"/>
    </w:p>
    <w:p w:rsidR="002B3BFF" w:rsidRDefault="00C31637">
      <w:pPr>
        <w:pStyle w:val="Titulektabulky0"/>
        <w:framePr w:w="917" w:h="283" w:wrap="none" w:vAnchor="text" w:hAnchor="margin" w:x="2" w:y="2670"/>
        <w:shd w:val="clear" w:color="auto" w:fill="auto"/>
      </w:pPr>
      <w:r>
        <w:t>Vícepráce</w:t>
      </w:r>
    </w:p>
    <w:p w:rsidR="002B3BFF" w:rsidRDefault="002B3BFF" w:rsidP="003D15B4">
      <w:pPr>
        <w:pStyle w:val="Zkladntext20"/>
        <w:framePr w:w="1181" w:h="466" w:wrap="none" w:vAnchor="text" w:hAnchor="margin" w:x="7110" w:y="8199"/>
        <w:shd w:val="clear" w:color="auto" w:fill="auto"/>
        <w:spacing w:line="240" w:lineRule="auto"/>
        <w:ind w:left="180"/>
      </w:pPr>
    </w:p>
    <w:sectPr w:rsidR="002B3BFF">
      <w:type w:val="continuous"/>
      <w:pgSz w:w="11909" w:h="16840"/>
      <w:pgMar w:top="1132" w:right="1046" w:bottom="1132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37" w:rsidRDefault="00C31637">
      <w:r>
        <w:separator/>
      </w:r>
    </w:p>
  </w:endnote>
  <w:endnote w:type="continuationSeparator" w:id="0">
    <w:p w:rsidR="00C31637" w:rsidRDefault="00C3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37" w:rsidRDefault="00C31637"/>
  </w:footnote>
  <w:footnote w:type="continuationSeparator" w:id="0">
    <w:p w:rsidR="00C31637" w:rsidRDefault="00C31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BFF"/>
    <w:rsid w:val="002B3BFF"/>
    <w:rsid w:val="003D15B4"/>
    <w:rsid w:val="00C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EAEB6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AEAEB6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AEAEB6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  <w:ind w:left="90"/>
    </w:pPr>
    <w:rPr>
      <w:rFonts w:ascii="Arial" w:eastAsia="Arial" w:hAnsi="Arial" w:cs="Arial"/>
      <w:b/>
      <w:bCs/>
      <w:color w:val="AEAEB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EAEB6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AEAEB6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AEAEB6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  <w:ind w:left="90"/>
    </w:pPr>
    <w:rPr>
      <w:rFonts w:ascii="Arial" w:eastAsia="Arial" w:hAnsi="Arial" w:cs="Arial"/>
      <w:b/>
      <w:bCs/>
      <w:color w:val="AEAEB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Jetmarová Věra</dc:creator>
  <cp:lastModifiedBy>Mgr. Věra Jetmarová</cp:lastModifiedBy>
  <cp:revision>2</cp:revision>
  <dcterms:created xsi:type="dcterms:W3CDTF">2017-12-01T09:28:00Z</dcterms:created>
  <dcterms:modified xsi:type="dcterms:W3CDTF">2017-12-01T09:28:00Z</dcterms:modified>
</cp:coreProperties>
</file>