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F7" w:rsidRDefault="002546F7" w:rsidP="002546F7">
      <w:pPr>
        <w:keepNext/>
        <w:widowControl w:val="0"/>
        <w:jc w:val="both"/>
        <w:rPr>
          <w:rStyle w:val="Siln"/>
          <w:rFonts w:ascii="Calibri" w:hAnsi="Calibri" w:cs="Arial"/>
          <w:sz w:val="22"/>
          <w:szCs w:val="22"/>
        </w:rPr>
      </w:pPr>
      <w:r w:rsidRPr="004C3164">
        <w:rPr>
          <w:rStyle w:val="Siln"/>
          <w:rFonts w:ascii="Calibri" w:hAnsi="Calibri" w:cs="Arial"/>
          <w:sz w:val="22"/>
          <w:szCs w:val="22"/>
        </w:rPr>
        <w:t xml:space="preserve">Národní památkový ústav </w:t>
      </w:r>
    </w:p>
    <w:p w:rsidR="004A01CC" w:rsidRPr="004A01CC" w:rsidRDefault="004A01CC" w:rsidP="002546F7">
      <w:pPr>
        <w:keepNext/>
        <w:widowControl w:val="0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>s</w:t>
      </w:r>
      <w:r w:rsidRPr="004A01CC">
        <w:rPr>
          <w:rStyle w:val="Siln"/>
          <w:rFonts w:ascii="Calibri" w:hAnsi="Calibri" w:cs="Arial"/>
          <w:b w:val="0"/>
          <w:sz w:val="22"/>
          <w:szCs w:val="22"/>
        </w:rPr>
        <w:t>tátní příspěvková organizace</w:t>
      </w: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Valdštejnské nám. 3, PSČ 118 01 Praha 1 – Malá Strana,</w:t>
      </w: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IČ: 75032333, DIČ: CZ75032333,</w:t>
      </w: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 xml:space="preserve">bankovní spojení: </w:t>
      </w:r>
      <w:r>
        <w:rPr>
          <w:rFonts w:ascii="Calibri" w:hAnsi="Calibri" w:cs="Calibri"/>
          <w:bCs/>
          <w:sz w:val="22"/>
          <w:szCs w:val="22"/>
        </w:rPr>
        <w:t xml:space="preserve">Česká národní banka, č. </w:t>
      </w:r>
      <w:proofErr w:type="spellStart"/>
      <w:r>
        <w:rPr>
          <w:rFonts w:ascii="Calibri" w:hAnsi="Calibri" w:cs="Calibri"/>
          <w:bCs/>
          <w:sz w:val="22"/>
          <w:szCs w:val="22"/>
        </w:rPr>
        <w:t>ú.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: </w:t>
      </w:r>
      <w:r w:rsidRPr="00A7027D">
        <w:rPr>
          <w:rFonts w:ascii="Calibri" w:hAnsi="Calibri" w:cs="Calibri"/>
          <w:bCs/>
          <w:sz w:val="22"/>
          <w:szCs w:val="22"/>
        </w:rPr>
        <w:t>530001-60039011/0710</w:t>
      </w:r>
      <w:r w:rsidRPr="00A7027D">
        <w:rPr>
          <w:rFonts w:ascii="Calibri" w:hAnsi="Calibri" w:cs="Arial"/>
          <w:sz w:val="22"/>
          <w:szCs w:val="22"/>
        </w:rPr>
        <w:t>,</w:t>
      </w: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zastoupený</w:t>
      </w:r>
      <w:r w:rsidR="004A01CC">
        <w:rPr>
          <w:rFonts w:ascii="Calibri" w:hAnsi="Calibri" w:cs="Arial"/>
          <w:sz w:val="22"/>
          <w:szCs w:val="22"/>
        </w:rPr>
        <w:t>:</w:t>
      </w:r>
      <w:r w:rsidRPr="004C3164">
        <w:rPr>
          <w:rFonts w:ascii="Calibri" w:hAnsi="Calibri" w:cs="Calibri"/>
          <w:bCs/>
          <w:sz w:val="22"/>
          <w:szCs w:val="22"/>
        </w:rPr>
        <w:t xml:space="preserve"> </w:t>
      </w:r>
      <w:r w:rsidRPr="00BA0093">
        <w:rPr>
          <w:rFonts w:ascii="Calibri" w:hAnsi="Calibri" w:cs="Calibri"/>
          <w:bCs/>
          <w:sz w:val="22"/>
          <w:szCs w:val="22"/>
        </w:rPr>
        <w:t>Mgr. Miloš Krčmář, ředitel územního</w:t>
      </w:r>
      <w:r>
        <w:rPr>
          <w:rFonts w:ascii="Calibri" w:hAnsi="Calibri" w:cs="Calibri"/>
          <w:bCs/>
          <w:sz w:val="22"/>
          <w:szCs w:val="22"/>
        </w:rPr>
        <w:t xml:space="preserve"> odborného pracoviště v Liberci</w:t>
      </w:r>
      <w:r w:rsidR="00ED34C7" w:rsidRPr="004C3164">
        <w:rPr>
          <w:rFonts w:ascii="Calibri" w:hAnsi="Calibri" w:cs="Arial"/>
          <w:sz w:val="22"/>
          <w:szCs w:val="22"/>
        </w:rPr>
        <w:fldChar w:fldCharType="begin"/>
      </w:r>
      <w:r w:rsidRPr="004C3164">
        <w:rPr>
          <w:rFonts w:ascii="Calibri" w:hAnsi="Calibri" w:cs="Arial"/>
          <w:sz w:val="22"/>
          <w:szCs w:val="22"/>
        </w:rPr>
        <w:instrText xml:space="preserve"> AUTOTEXTLIST  \s 1  \* MERGEFORMAT </w:instrText>
      </w:r>
      <w:r w:rsidR="00ED34C7" w:rsidRPr="004C3164">
        <w:rPr>
          <w:rFonts w:ascii="Calibri" w:hAnsi="Calibri" w:cs="Arial"/>
          <w:sz w:val="22"/>
          <w:szCs w:val="22"/>
        </w:rPr>
        <w:fldChar w:fldCharType="end"/>
      </w:r>
      <w:r w:rsidR="00ED34C7" w:rsidRPr="004C3164">
        <w:rPr>
          <w:rFonts w:ascii="Calibri" w:hAnsi="Calibri" w:cs="Arial"/>
          <w:sz w:val="22"/>
          <w:szCs w:val="22"/>
        </w:rPr>
        <w:fldChar w:fldCharType="begin"/>
      </w:r>
      <w:r w:rsidRPr="004C3164">
        <w:rPr>
          <w:rFonts w:ascii="Calibri" w:hAnsi="Calibri" w:cs="Arial"/>
          <w:sz w:val="22"/>
          <w:szCs w:val="22"/>
        </w:rPr>
        <w:instrText xml:space="preserve"> AUTOTEXTLIST   \* MERGEFORMAT </w:instrText>
      </w:r>
      <w:r w:rsidR="00ED34C7" w:rsidRPr="004C3164">
        <w:rPr>
          <w:rFonts w:ascii="Calibri" w:hAnsi="Calibri" w:cs="Arial"/>
          <w:sz w:val="22"/>
          <w:szCs w:val="22"/>
        </w:rPr>
        <w:fldChar w:fldCharType="end"/>
      </w: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Style w:val="Zvraznn"/>
          <w:rFonts w:ascii="Calibri" w:hAnsi="Calibri" w:cs="Arial"/>
          <w:b/>
          <w:bCs/>
          <w:sz w:val="22"/>
          <w:szCs w:val="22"/>
        </w:rPr>
        <w:t>Doručovací adresa:</w:t>
      </w:r>
    </w:p>
    <w:p w:rsidR="002546F7" w:rsidRPr="004C3164" w:rsidRDefault="002546F7" w:rsidP="002546F7">
      <w:pPr>
        <w:jc w:val="both"/>
        <w:rPr>
          <w:rFonts w:ascii="Calibri" w:hAnsi="Calibri" w:cs="Calibri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 xml:space="preserve">Národní památkový ústav, </w:t>
      </w:r>
      <w:r w:rsidRPr="004C3164">
        <w:rPr>
          <w:rFonts w:ascii="Calibri" w:hAnsi="Calibri" w:cs="Calibri"/>
          <w:sz w:val="22"/>
          <w:szCs w:val="22"/>
        </w:rPr>
        <w:t xml:space="preserve">územní </w:t>
      </w:r>
      <w:r>
        <w:rPr>
          <w:rFonts w:ascii="Calibri" w:hAnsi="Calibri" w:cs="Calibri"/>
          <w:sz w:val="22"/>
          <w:szCs w:val="22"/>
        </w:rPr>
        <w:t>odborné pracoviště v</w:t>
      </w:r>
      <w:r w:rsidRPr="004C316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Liberci</w:t>
      </w: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adresa:</w:t>
      </w:r>
      <w:r w:rsidRPr="004C3164">
        <w:rPr>
          <w:rFonts w:ascii="Calibri" w:hAnsi="Calibri" w:cs="Calibri"/>
          <w:sz w:val="22"/>
          <w:szCs w:val="22"/>
        </w:rPr>
        <w:t xml:space="preserve"> </w:t>
      </w:r>
      <w:r w:rsidRPr="00311E0C">
        <w:rPr>
          <w:rFonts w:ascii="Calibri" w:hAnsi="Calibri" w:cs="Calibri"/>
          <w:sz w:val="22"/>
          <w:szCs w:val="22"/>
        </w:rPr>
        <w:t>Jablonecká 642/23</w:t>
      </w:r>
      <w:r w:rsidR="004A01CC">
        <w:rPr>
          <w:rFonts w:ascii="Calibri" w:hAnsi="Calibri" w:cs="Calibri"/>
          <w:sz w:val="22"/>
          <w:szCs w:val="22"/>
        </w:rPr>
        <w:t>,</w:t>
      </w:r>
      <w:r w:rsidRPr="00311E0C">
        <w:rPr>
          <w:rFonts w:ascii="Calibri" w:hAnsi="Calibri" w:cs="Calibri"/>
          <w:sz w:val="22"/>
          <w:szCs w:val="22"/>
        </w:rPr>
        <w:t xml:space="preserve"> 460 01 Liberec</w:t>
      </w: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(dále jen „</w:t>
      </w:r>
      <w:r w:rsidRPr="004C3164">
        <w:rPr>
          <w:rFonts w:ascii="Calibri" w:hAnsi="Calibri" w:cs="Arial"/>
          <w:b/>
          <w:sz w:val="22"/>
          <w:szCs w:val="22"/>
        </w:rPr>
        <w:t>objednatel</w:t>
      </w:r>
      <w:r w:rsidRPr="004C3164">
        <w:rPr>
          <w:rFonts w:ascii="Calibri" w:hAnsi="Calibri" w:cs="Arial"/>
          <w:sz w:val="22"/>
          <w:szCs w:val="22"/>
        </w:rPr>
        <w:t>“)</w:t>
      </w: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</w:t>
      </w: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:rsidR="002546F7" w:rsidRPr="001D08C9" w:rsidRDefault="002546F7" w:rsidP="002546F7">
      <w:pPr>
        <w:keepNext/>
        <w:widowControl w:val="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čekro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CZ, s. r. o.</w:t>
      </w:r>
    </w:p>
    <w:p w:rsidR="002546F7" w:rsidRPr="001D08C9" w:rsidRDefault="002546F7" w:rsidP="002546F7">
      <w:pPr>
        <w:pStyle w:val="Default"/>
        <w:jc w:val="both"/>
        <w:rPr>
          <w:sz w:val="22"/>
          <w:szCs w:val="22"/>
        </w:rPr>
      </w:pPr>
      <w:r w:rsidRPr="001D08C9">
        <w:rPr>
          <w:sz w:val="22"/>
          <w:szCs w:val="22"/>
        </w:rPr>
        <w:t xml:space="preserve">IČ: </w:t>
      </w:r>
      <w:r>
        <w:rPr>
          <w:sz w:val="22"/>
          <w:szCs w:val="22"/>
        </w:rPr>
        <w:t>28750187</w:t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</w:p>
    <w:p w:rsidR="002546F7" w:rsidRPr="001D08C9" w:rsidRDefault="002546F7" w:rsidP="002546F7">
      <w:pPr>
        <w:pStyle w:val="Default"/>
        <w:jc w:val="both"/>
        <w:rPr>
          <w:sz w:val="22"/>
          <w:szCs w:val="22"/>
        </w:rPr>
      </w:pPr>
      <w:r w:rsidRPr="001D08C9">
        <w:rPr>
          <w:sz w:val="22"/>
          <w:szCs w:val="22"/>
        </w:rPr>
        <w:t>DIČ:</w:t>
      </w:r>
      <w:r>
        <w:rPr>
          <w:sz w:val="22"/>
          <w:szCs w:val="22"/>
        </w:rPr>
        <w:t xml:space="preserve"> CZ28750187</w:t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</w:p>
    <w:p w:rsidR="002546F7" w:rsidRPr="001D08C9" w:rsidRDefault="002546F7" w:rsidP="002546F7">
      <w:pPr>
        <w:pStyle w:val="Default"/>
        <w:jc w:val="both"/>
        <w:rPr>
          <w:sz w:val="22"/>
          <w:szCs w:val="22"/>
        </w:rPr>
      </w:pPr>
      <w:r w:rsidRPr="001D08C9">
        <w:rPr>
          <w:sz w:val="22"/>
          <w:szCs w:val="22"/>
        </w:rPr>
        <w:t xml:space="preserve">zapsaný v OR vedeném: </w:t>
      </w:r>
      <w:r>
        <w:rPr>
          <w:sz w:val="22"/>
          <w:szCs w:val="22"/>
        </w:rPr>
        <w:t>Krajským soudem v Ústí nad Labem C30756</w:t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</w:p>
    <w:p w:rsidR="002546F7" w:rsidRPr="001D08C9" w:rsidRDefault="002546F7" w:rsidP="002546F7">
      <w:pPr>
        <w:pStyle w:val="Default"/>
        <w:jc w:val="both"/>
        <w:rPr>
          <w:sz w:val="22"/>
          <w:szCs w:val="22"/>
        </w:rPr>
      </w:pPr>
      <w:r w:rsidRPr="001D08C9">
        <w:rPr>
          <w:sz w:val="22"/>
          <w:szCs w:val="22"/>
        </w:rPr>
        <w:t xml:space="preserve">se sídlem: </w:t>
      </w:r>
      <w:r>
        <w:rPr>
          <w:sz w:val="22"/>
          <w:szCs w:val="22"/>
        </w:rPr>
        <w:t>Smrková 1085, 460 14, Liberec 14</w:t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</w:p>
    <w:p w:rsidR="002546F7" w:rsidRPr="001D08C9" w:rsidRDefault="002546F7" w:rsidP="002546F7">
      <w:pPr>
        <w:pStyle w:val="Default"/>
        <w:jc w:val="both"/>
        <w:rPr>
          <w:sz w:val="22"/>
          <w:szCs w:val="22"/>
        </w:rPr>
      </w:pPr>
      <w:r w:rsidRPr="001D08C9">
        <w:rPr>
          <w:sz w:val="22"/>
          <w:szCs w:val="22"/>
        </w:rPr>
        <w:t xml:space="preserve">místo podnikání: </w:t>
      </w:r>
      <w:r>
        <w:rPr>
          <w:sz w:val="22"/>
          <w:szCs w:val="22"/>
        </w:rPr>
        <w:t>Na Zvonku 57/10, 460 15, Liberec 15</w:t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</w:p>
    <w:p w:rsidR="002546F7" w:rsidRPr="001D08C9" w:rsidRDefault="002546F7" w:rsidP="002546F7">
      <w:pPr>
        <w:pStyle w:val="Default"/>
        <w:jc w:val="both"/>
        <w:rPr>
          <w:sz w:val="22"/>
          <w:szCs w:val="22"/>
        </w:rPr>
      </w:pPr>
      <w:r w:rsidRPr="001D08C9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>Komerční banka a. s.</w:t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</w:p>
    <w:p w:rsidR="002546F7" w:rsidRPr="001D08C9" w:rsidRDefault="002546F7" w:rsidP="002546F7">
      <w:pPr>
        <w:pStyle w:val="Default"/>
        <w:jc w:val="both"/>
        <w:rPr>
          <w:sz w:val="22"/>
          <w:szCs w:val="22"/>
        </w:rPr>
      </w:pPr>
      <w:r w:rsidRPr="001D08C9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>107-9700810267/0100</w:t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  <w:r w:rsidRPr="001D08C9">
        <w:rPr>
          <w:sz w:val="22"/>
          <w:szCs w:val="22"/>
        </w:rPr>
        <w:tab/>
      </w:r>
    </w:p>
    <w:p w:rsidR="002546F7" w:rsidRPr="00972A22" w:rsidRDefault="002546F7" w:rsidP="002546F7">
      <w:pPr>
        <w:pStyle w:val="Default"/>
        <w:jc w:val="both"/>
        <w:rPr>
          <w:sz w:val="22"/>
          <w:szCs w:val="22"/>
        </w:rPr>
      </w:pPr>
      <w:r w:rsidRPr="001D08C9">
        <w:rPr>
          <w:sz w:val="22"/>
          <w:szCs w:val="22"/>
        </w:rPr>
        <w:t xml:space="preserve">zastoupený: </w:t>
      </w:r>
      <w:r>
        <w:rPr>
          <w:sz w:val="22"/>
          <w:szCs w:val="22"/>
        </w:rPr>
        <w:t>Jiří Dvořáček, jednatel</w:t>
      </w:r>
      <w:r w:rsidRPr="00972A22">
        <w:rPr>
          <w:sz w:val="22"/>
          <w:szCs w:val="22"/>
        </w:rPr>
        <w:tab/>
      </w:r>
      <w:r w:rsidRPr="00972A22">
        <w:rPr>
          <w:sz w:val="22"/>
          <w:szCs w:val="22"/>
        </w:rPr>
        <w:tab/>
      </w: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 xml:space="preserve"> (dále jen „</w:t>
      </w:r>
      <w:r w:rsidRPr="004C3164">
        <w:rPr>
          <w:rFonts w:ascii="Calibri" w:hAnsi="Calibri" w:cs="Arial"/>
          <w:b/>
          <w:sz w:val="22"/>
          <w:szCs w:val="22"/>
        </w:rPr>
        <w:t>zhotovitel</w:t>
      </w:r>
      <w:r w:rsidRPr="004C3164">
        <w:rPr>
          <w:rFonts w:ascii="Calibri" w:hAnsi="Calibri" w:cs="Arial"/>
          <w:sz w:val="22"/>
          <w:szCs w:val="22"/>
        </w:rPr>
        <w:t>“)</w:t>
      </w:r>
    </w:p>
    <w:p w:rsidR="002546F7" w:rsidRPr="004C3164" w:rsidRDefault="002546F7" w:rsidP="002546F7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:rsidR="002546F7" w:rsidRPr="004C3164" w:rsidRDefault="002546F7" w:rsidP="002546F7">
      <w:pPr>
        <w:pStyle w:val="Normln0"/>
        <w:keepNext/>
        <w:jc w:val="center"/>
        <w:rPr>
          <w:rFonts w:ascii="Calibri" w:hAnsi="Calibri"/>
          <w:szCs w:val="22"/>
        </w:rPr>
      </w:pPr>
      <w:r w:rsidRPr="004C3164">
        <w:rPr>
          <w:rFonts w:ascii="Calibri" w:hAnsi="Calibri"/>
          <w:szCs w:val="22"/>
        </w:rPr>
        <w:t xml:space="preserve">jako smluvní strany uzavřely v souladu se zákonem č. 89/2012 Sb., občanský zákoník, ve znění pozdějších předpisů, níže uvedeného dne, měsíce a roku </w:t>
      </w:r>
      <w:r w:rsidR="0045666D">
        <w:rPr>
          <w:rFonts w:ascii="Calibri" w:hAnsi="Calibri"/>
          <w:szCs w:val="22"/>
        </w:rPr>
        <w:t>tento</w:t>
      </w:r>
    </w:p>
    <w:p w:rsidR="002546F7" w:rsidRDefault="0045666D" w:rsidP="002546F7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Dodatek č. 1 ke </w:t>
      </w:r>
      <w:r w:rsidR="002546F7" w:rsidRPr="00474362">
        <w:rPr>
          <w:rFonts w:ascii="Calibri" w:hAnsi="Calibri"/>
          <w:b/>
          <w:sz w:val="36"/>
          <w:szCs w:val="36"/>
        </w:rPr>
        <w:t>smlouv</w:t>
      </w:r>
      <w:r>
        <w:rPr>
          <w:rFonts w:ascii="Calibri" w:hAnsi="Calibri"/>
          <w:b/>
          <w:sz w:val="36"/>
          <w:szCs w:val="36"/>
        </w:rPr>
        <w:t>ě</w:t>
      </w:r>
      <w:r w:rsidR="002546F7" w:rsidRPr="00474362">
        <w:rPr>
          <w:rFonts w:ascii="Calibri" w:hAnsi="Calibri"/>
          <w:b/>
          <w:sz w:val="36"/>
          <w:szCs w:val="36"/>
        </w:rPr>
        <w:t xml:space="preserve"> o dílo</w:t>
      </w:r>
      <w:r>
        <w:rPr>
          <w:rFonts w:ascii="Calibri" w:hAnsi="Calibri"/>
          <w:b/>
          <w:sz w:val="36"/>
          <w:szCs w:val="36"/>
        </w:rPr>
        <w:t xml:space="preserve"> ze dne </w:t>
      </w:r>
      <w:r w:rsidR="00993126">
        <w:rPr>
          <w:rFonts w:ascii="Calibri" w:hAnsi="Calibri"/>
          <w:b/>
          <w:sz w:val="36"/>
          <w:szCs w:val="36"/>
        </w:rPr>
        <w:t>26. 6. 2017</w:t>
      </w:r>
    </w:p>
    <w:p w:rsidR="0045666D" w:rsidRPr="00474362" w:rsidRDefault="0045666D" w:rsidP="002546F7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(dále jen „Dodatek“)</w:t>
      </w:r>
    </w:p>
    <w:p w:rsidR="002546F7" w:rsidRPr="00993126" w:rsidRDefault="002546F7" w:rsidP="002546F7">
      <w:pPr>
        <w:pStyle w:val="Nzev"/>
        <w:keepNext/>
        <w:widowControl w:val="0"/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:rsidR="002546F7" w:rsidRPr="00993126" w:rsidRDefault="002546F7" w:rsidP="002546F7">
      <w:pPr>
        <w:pStyle w:val="Podtitul"/>
        <w:keepNext/>
        <w:rPr>
          <w:rFonts w:asciiTheme="minorHAnsi" w:hAnsiTheme="minorHAnsi"/>
          <w:sz w:val="22"/>
          <w:szCs w:val="22"/>
          <w:u w:val="none"/>
        </w:rPr>
      </w:pPr>
      <w:r w:rsidRPr="00993126">
        <w:rPr>
          <w:rFonts w:asciiTheme="minorHAnsi" w:hAnsiTheme="minorHAnsi"/>
          <w:sz w:val="22"/>
          <w:szCs w:val="22"/>
          <w:u w:val="none"/>
        </w:rPr>
        <w:t>Článek I.</w:t>
      </w:r>
    </w:p>
    <w:p w:rsidR="002546F7" w:rsidRPr="00993126" w:rsidRDefault="002546F7" w:rsidP="002546F7">
      <w:pPr>
        <w:pStyle w:val="Podtitul"/>
        <w:keepNext/>
        <w:rPr>
          <w:rFonts w:asciiTheme="minorHAnsi" w:hAnsiTheme="minorHAnsi"/>
          <w:sz w:val="22"/>
          <w:szCs w:val="22"/>
          <w:u w:val="none"/>
        </w:rPr>
      </w:pPr>
      <w:r w:rsidRPr="00993126">
        <w:rPr>
          <w:rFonts w:asciiTheme="minorHAnsi" w:hAnsiTheme="minorHAnsi"/>
          <w:sz w:val="22"/>
          <w:szCs w:val="22"/>
          <w:u w:val="none"/>
        </w:rPr>
        <w:t>Ú</w:t>
      </w:r>
      <w:r w:rsidRPr="00993126">
        <w:rPr>
          <w:rFonts w:asciiTheme="minorHAnsi" w:hAnsiTheme="minorHAnsi"/>
          <w:sz w:val="22"/>
          <w:szCs w:val="22"/>
          <w:u w:val="none"/>
          <w:lang w:val="cs-CZ"/>
        </w:rPr>
        <w:t>vodní ustanovení</w:t>
      </w:r>
    </w:p>
    <w:p w:rsidR="006364C1" w:rsidRPr="00993126" w:rsidRDefault="0045666D" w:rsidP="00F60B7C">
      <w:pPr>
        <w:pStyle w:val="Odstavecseseznamem"/>
        <w:numPr>
          <w:ilvl w:val="1"/>
          <w:numId w:val="3"/>
        </w:numPr>
        <w:tabs>
          <w:tab w:val="left" w:pos="567"/>
        </w:tabs>
        <w:spacing w:before="40"/>
        <w:ind w:left="567" w:hanging="567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993126">
        <w:rPr>
          <w:rFonts w:asciiTheme="minorHAnsi" w:hAnsiTheme="minorHAnsi" w:cs="Calibri"/>
          <w:snapToGrid w:val="0"/>
          <w:sz w:val="22"/>
          <w:szCs w:val="22"/>
        </w:rPr>
        <w:t xml:space="preserve">Smluvní strany uzavřely dne </w:t>
      </w:r>
      <w:r w:rsidR="00993126">
        <w:rPr>
          <w:rFonts w:asciiTheme="minorHAnsi" w:hAnsiTheme="minorHAnsi" w:cs="Calibri"/>
          <w:snapToGrid w:val="0"/>
          <w:sz w:val="22"/>
          <w:szCs w:val="22"/>
          <w:lang w:val="cs-CZ"/>
        </w:rPr>
        <w:t>26. 6</w:t>
      </w:r>
      <w:r w:rsidRPr="00993126">
        <w:rPr>
          <w:rFonts w:asciiTheme="minorHAnsi" w:hAnsiTheme="minorHAnsi" w:cs="Calibri"/>
          <w:snapToGrid w:val="0"/>
          <w:sz w:val="22"/>
          <w:szCs w:val="22"/>
        </w:rPr>
        <w:t>. 2017 smlouvu o dílo, jejímž předmětem je zhotovení stavby s názvem: „Výměna oken objektu NPÚ, ÚOP V Liberci, Jablonecká 942/23</w:t>
      </w:r>
      <w:r w:rsidRPr="00993126">
        <w:rPr>
          <w:rFonts w:asciiTheme="minorHAnsi" w:hAnsiTheme="minorHAnsi" w:cs="Calibri"/>
          <w:snapToGrid w:val="0"/>
          <w:sz w:val="22"/>
          <w:szCs w:val="22"/>
          <w:lang w:val="cs-CZ"/>
        </w:rPr>
        <w:t>“</w:t>
      </w:r>
      <w:r w:rsidRPr="00993126">
        <w:rPr>
          <w:rFonts w:asciiTheme="minorHAnsi" w:hAnsiTheme="minorHAnsi" w:cs="Calibri"/>
          <w:snapToGrid w:val="0"/>
          <w:sz w:val="22"/>
          <w:szCs w:val="22"/>
        </w:rPr>
        <w:t xml:space="preserve"> (dále jen „Smlouva“).  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</w:rPr>
        <w:t xml:space="preserve">Podkladem pro uzavření této 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  <w:lang w:val="cs-CZ"/>
        </w:rPr>
        <w:t>Smlouvy byla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</w:rPr>
        <w:t xml:space="preserve"> nabídka, kterou zhotovitel podal 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  <w:lang w:val="cs-CZ"/>
        </w:rPr>
        <w:t xml:space="preserve">  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</w:rPr>
        <w:t xml:space="preserve">prostřednictvím elektronického tržiště TENDERMARKET do řízení o zadání veřejné zakázky malého rozsahu, mimo režim zákona VZ – 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  <w:lang w:val="cs-CZ"/>
        </w:rPr>
        <w:t>otevřená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</w:rPr>
        <w:t xml:space="preserve"> výzva na zhotovitele stavby – „Výměna oken objektu NPÚ, ÚOP V Liberci, Jablonecká 942/23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  <w:lang w:val="cs-CZ"/>
        </w:rPr>
        <w:t>“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</w:rPr>
        <w:t xml:space="preserve">  (ID veřejné zakázky 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  <w:lang w:val="cs-CZ"/>
        </w:rPr>
        <w:t>T004/17V/00019095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</w:rPr>
        <w:t>) (dále jen „veřejná zakázka“).</w:t>
      </w:r>
    </w:p>
    <w:p w:rsidR="006364C1" w:rsidRPr="00993126" w:rsidRDefault="0045666D" w:rsidP="006364C1">
      <w:pPr>
        <w:numPr>
          <w:ilvl w:val="1"/>
          <w:numId w:val="3"/>
        </w:numPr>
        <w:tabs>
          <w:tab w:val="left" w:pos="567"/>
        </w:tabs>
        <w:spacing w:before="40"/>
        <w:ind w:left="567" w:hanging="567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993126">
        <w:rPr>
          <w:rFonts w:asciiTheme="minorHAnsi" w:hAnsiTheme="minorHAnsi" w:cs="Calibri"/>
          <w:snapToGrid w:val="0"/>
          <w:sz w:val="22"/>
          <w:szCs w:val="22"/>
        </w:rPr>
        <w:t xml:space="preserve">Smluvní strany se dohodly na posunutí termínu plnění, a to z důvodu prodlení na straně objednatele. Toto prodlení bylo způsobeno 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</w:rPr>
        <w:t xml:space="preserve">tím, že objednatel </w:t>
      </w:r>
      <w:r w:rsidR="00993126">
        <w:rPr>
          <w:rFonts w:asciiTheme="minorHAnsi" w:hAnsiTheme="minorHAnsi" w:cs="Calibri"/>
          <w:snapToGrid w:val="0"/>
          <w:sz w:val="22"/>
          <w:szCs w:val="22"/>
        </w:rPr>
        <w:t xml:space="preserve">byl nucen 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</w:rPr>
        <w:t xml:space="preserve">oproti předpokladu </w:t>
      </w:r>
      <w:r w:rsidR="00F60B7C" w:rsidRPr="00993126">
        <w:rPr>
          <w:rFonts w:asciiTheme="minorHAnsi" w:hAnsiTheme="minorHAnsi" w:cs="Calibri"/>
          <w:snapToGrid w:val="0"/>
          <w:sz w:val="22"/>
          <w:szCs w:val="22"/>
        </w:rPr>
        <w:t>z</w:t>
      </w:r>
      <w:r w:rsidR="004A01CC">
        <w:rPr>
          <w:rFonts w:asciiTheme="minorHAnsi" w:hAnsiTheme="minorHAnsi" w:cs="Calibri"/>
          <w:snapToGrid w:val="0"/>
          <w:sz w:val="22"/>
          <w:szCs w:val="22"/>
        </w:rPr>
        <w:t> 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</w:rPr>
        <w:t>objektivních důvodů uzavř</w:t>
      </w:r>
      <w:r w:rsidR="00993126">
        <w:rPr>
          <w:rFonts w:asciiTheme="minorHAnsi" w:hAnsiTheme="minorHAnsi" w:cs="Calibri"/>
          <w:snapToGrid w:val="0"/>
          <w:sz w:val="22"/>
          <w:szCs w:val="22"/>
        </w:rPr>
        <w:t>ít</w:t>
      </w:r>
      <w:r w:rsidR="006364C1" w:rsidRPr="00993126">
        <w:rPr>
          <w:rFonts w:asciiTheme="minorHAnsi" w:hAnsiTheme="minorHAnsi" w:cs="Calibri"/>
          <w:snapToGrid w:val="0"/>
          <w:sz w:val="22"/>
          <w:szCs w:val="22"/>
        </w:rPr>
        <w:t xml:space="preserve"> smlouvu s technickým dozorem investora až od 1. 8. 2017. Bez zajištění technického dozoru investora nebylo možné stavbu započít. Dle zadávacích podmínek k veřejné zakázce měla stavba započít od července 2017, došlo tudíž k měsíčnímu zpoždění.</w:t>
      </w:r>
    </w:p>
    <w:p w:rsidR="0045666D" w:rsidRPr="00993126" w:rsidRDefault="0045666D" w:rsidP="006364C1">
      <w:pPr>
        <w:keepNext/>
        <w:keepLines/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364C1" w:rsidRPr="00993126" w:rsidRDefault="006364C1" w:rsidP="006364C1">
      <w:pPr>
        <w:pStyle w:val="Nadpis41"/>
        <w:keepNext/>
        <w:keepLines/>
        <w:spacing w:line="276" w:lineRule="auto"/>
        <w:rPr>
          <w:rFonts w:asciiTheme="minorHAnsi" w:hAnsiTheme="minorHAnsi"/>
          <w:szCs w:val="22"/>
        </w:rPr>
      </w:pPr>
      <w:r w:rsidRPr="00993126">
        <w:rPr>
          <w:rFonts w:asciiTheme="minorHAnsi" w:hAnsiTheme="minorHAnsi"/>
          <w:szCs w:val="22"/>
        </w:rPr>
        <w:t>Článek II.</w:t>
      </w:r>
    </w:p>
    <w:p w:rsidR="006364C1" w:rsidRPr="00993126" w:rsidRDefault="006364C1" w:rsidP="006364C1">
      <w:pPr>
        <w:pStyle w:val="Nadpis41"/>
        <w:keepNext/>
        <w:keepLines/>
        <w:spacing w:line="276" w:lineRule="auto"/>
        <w:rPr>
          <w:rFonts w:asciiTheme="minorHAnsi" w:hAnsiTheme="minorHAnsi"/>
          <w:szCs w:val="22"/>
        </w:rPr>
      </w:pPr>
      <w:r w:rsidRPr="00993126">
        <w:rPr>
          <w:rFonts w:asciiTheme="minorHAnsi" w:hAnsiTheme="minorHAnsi"/>
          <w:szCs w:val="22"/>
        </w:rPr>
        <w:t>Předmět Dodatku</w:t>
      </w:r>
    </w:p>
    <w:p w:rsidR="006364C1" w:rsidRPr="00993126" w:rsidRDefault="006364C1" w:rsidP="00F60B7C">
      <w:pPr>
        <w:numPr>
          <w:ilvl w:val="1"/>
          <w:numId w:val="10"/>
        </w:numPr>
        <w:tabs>
          <w:tab w:val="left" w:pos="567"/>
        </w:tabs>
        <w:spacing w:before="40"/>
        <w:ind w:left="567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>Smluvní strany se v návaznosti na skutečnosti uvedené v článku I.</w:t>
      </w:r>
      <w:r w:rsidR="00993126">
        <w:rPr>
          <w:rFonts w:asciiTheme="minorHAnsi" w:hAnsiTheme="minorHAnsi"/>
          <w:sz w:val="22"/>
          <w:szCs w:val="22"/>
        </w:rPr>
        <w:t xml:space="preserve"> odst. 2</w:t>
      </w:r>
      <w:r w:rsidRPr="00993126">
        <w:rPr>
          <w:rFonts w:asciiTheme="minorHAnsi" w:hAnsiTheme="minorHAnsi"/>
          <w:sz w:val="22"/>
          <w:szCs w:val="22"/>
        </w:rPr>
        <w:t xml:space="preserve"> </w:t>
      </w:r>
      <w:r w:rsidR="00F60B7C" w:rsidRPr="00993126">
        <w:rPr>
          <w:rFonts w:asciiTheme="minorHAnsi" w:hAnsiTheme="minorHAnsi"/>
          <w:sz w:val="22"/>
          <w:szCs w:val="22"/>
        </w:rPr>
        <w:t xml:space="preserve">Dodatku </w:t>
      </w:r>
      <w:r w:rsidRPr="00993126">
        <w:rPr>
          <w:rFonts w:asciiTheme="minorHAnsi" w:hAnsiTheme="minorHAnsi"/>
          <w:sz w:val="22"/>
          <w:szCs w:val="22"/>
        </w:rPr>
        <w:t xml:space="preserve">dohodly na novém termínu plnění a to tak, že </w:t>
      </w:r>
      <w:r w:rsidR="00F60B7C" w:rsidRPr="00993126">
        <w:rPr>
          <w:rFonts w:asciiTheme="minorHAnsi" w:hAnsiTheme="minorHAnsi"/>
          <w:sz w:val="22"/>
          <w:szCs w:val="22"/>
        </w:rPr>
        <w:t xml:space="preserve">článek III. </w:t>
      </w:r>
      <w:r w:rsidRPr="00993126">
        <w:rPr>
          <w:rFonts w:asciiTheme="minorHAnsi" w:hAnsiTheme="minorHAnsi"/>
          <w:sz w:val="22"/>
          <w:szCs w:val="22"/>
        </w:rPr>
        <w:t xml:space="preserve">odst. </w:t>
      </w:r>
      <w:r w:rsidR="00F60B7C" w:rsidRPr="00993126">
        <w:rPr>
          <w:rFonts w:asciiTheme="minorHAnsi" w:hAnsiTheme="minorHAnsi"/>
          <w:sz w:val="22"/>
          <w:szCs w:val="22"/>
        </w:rPr>
        <w:t xml:space="preserve">3.1 </w:t>
      </w:r>
      <w:r w:rsidRPr="00993126">
        <w:rPr>
          <w:rFonts w:asciiTheme="minorHAnsi" w:hAnsiTheme="minorHAnsi"/>
          <w:sz w:val="22"/>
          <w:szCs w:val="22"/>
        </w:rPr>
        <w:t>Smlouvy nově zní:</w:t>
      </w:r>
    </w:p>
    <w:p w:rsidR="00993126" w:rsidRPr="00993126" w:rsidRDefault="00993126" w:rsidP="00993126">
      <w:pPr>
        <w:pStyle w:val="Odstavecseseznamem"/>
        <w:numPr>
          <w:ilvl w:val="1"/>
          <w:numId w:val="11"/>
        </w:numPr>
        <w:tabs>
          <w:tab w:val="left" w:pos="709"/>
        </w:tabs>
        <w:ind w:left="993"/>
        <w:rPr>
          <w:rFonts w:asciiTheme="minorHAnsi" w:hAnsiTheme="minorHAnsi" w:cs="Arial"/>
          <w:bCs/>
          <w:i/>
          <w:snapToGrid w:val="0"/>
          <w:sz w:val="22"/>
          <w:szCs w:val="22"/>
        </w:rPr>
      </w:pPr>
      <w:r w:rsidRPr="00993126">
        <w:rPr>
          <w:rFonts w:asciiTheme="minorHAnsi" w:hAnsiTheme="minorHAnsi" w:cs="Arial"/>
          <w:i/>
          <w:snapToGrid w:val="0"/>
          <w:sz w:val="22"/>
          <w:szCs w:val="22"/>
        </w:rPr>
        <w:lastRenderedPageBreak/>
        <w:t>Smluvní strany se dohodly na provedení díla v následujících termínech:</w:t>
      </w:r>
      <w:r w:rsidRPr="00993126">
        <w:rPr>
          <w:rFonts w:asciiTheme="minorHAnsi" w:hAnsiTheme="minorHAnsi" w:cs="Arial"/>
          <w:i/>
          <w:snapToGrid w:val="0"/>
          <w:sz w:val="22"/>
          <w:szCs w:val="22"/>
        </w:rPr>
        <w:br/>
      </w:r>
      <w:r w:rsidRPr="00993126">
        <w:rPr>
          <w:rFonts w:asciiTheme="minorHAnsi" w:hAnsiTheme="minorHAnsi" w:cs="Arial"/>
          <w:b/>
          <w:i/>
          <w:snapToGrid w:val="0"/>
          <w:sz w:val="22"/>
          <w:szCs w:val="22"/>
        </w:rPr>
        <w:t>a)</w:t>
      </w:r>
      <w:r w:rsidRPr="00993126">
        <w:rPr>
          <w:rFonts w:asciiTheme="minorHAnsi" w:hAnsiTheme="minorHAnsi" w:cs="Arial"/>
          <w:i/>
          <w:snapToGrid w:val="0"/>
          <w:sz w:val="22"/>
          <w:szCs w:val="22"/>
        </w:rPr>
        <w:t xml:space="preserve"> </w:t>
      </w:r>
      <w:r w:rsidRPr="00993126">
        <w:rPr>
          <w:rFonts w:asciiTheme="minorHAnsi" w:hAnsiTheme="minorHAnsi" w:cs="Arial"/>
          <w:b/>
          <w:bCs/>
          <w:i/>
          <w:snapToGrid w:val="0"/>
          <w:sz w:val="22"/>
          <w:szCs w:val="22"/>
        </w:rPr>
        <w:t xml:space="preserve">Zahájení prací: uzavřením smlouvy a </w:t>
      </w:r>
      <w:r w:rsidRPr="00993126">
        <w:rPr>
          <w:rFonts w:asciiTheme="minorHAnsi" w:hAnsiTheme="minorHAnsi" w:cs="Arial"/>
          <w:bCs/>
          <w:i/>
          <w:snapToGrid w:val="0"/>
          <w:sz w:val="22"/>
          <w:szCs w:val="22"/>
        </w:rPr>
        <w:t>další etapy podle klimatických podmínek, nejpozději 1. června daného roku.</w:t>
      </w:r>
    </w:p>
    <w:p w:rsidR="00993126" w:rsidRPr="00993126" w:rsidRDefault="00993126" w:rsidP="00993126">
      <w:pPr>
        <w:pStyle w:val="Odstavecseseznamem"/>
        <w:ind w:left="993"/>
        <w:rPr>
          <w:rFonts w:asciiTheme="minorHAnsi" w:hAnsiTheme="minorHAnsi" w:cs="Arial"/>
          <w:i/>
          <w:snapToGrid w:val="0"/>
          <w:sz w:val="22"/>
          <w:szCs w:val="22"/>
        </w:rPr>
      </w:pPr>
      <w:r w:rsidRPr="00993126">
        <w:rPr>
          <w:rFonts w:asciiTheme="minorHAnsi" w:hAnsiTheme="minorHAnsi" w:cs="Arial"/>
          <w:b/>
          <w:bCs/>
          <w:i/>
          <w:snapToGrid w:val="0"/>
          <w:sz w:val="22"/>
          <w:szCs w:val="22"/>
        </w:rPr>
        <w:t xml:space="preserve">b) </w:t>
      </w:r>
      <w:r w:rsidRPr="00993126">
        <w:rPr>
          <w:rFonts w:asciiTheme="minorHAnsi" w:hAnsiTheme="minorHAnsi" w:cs="Arial"/>
          <w:b/>
          <w:i/>
          <w:snapToGrid w:val="0"/>
          <w:sz w:val="22"/>
          <w:szCs w:val="22"/>
        </w:rPr>
        <w:t>Dokončení a předání díla:</w:t>
      </w:r>
      <w:r w:rsidRPr="00993126">
        <w:rPr>
          <w:rFonts w:asciiTheme="minorHAnsi" w:hAnsiTheme="minorHAnsi" w:cs="Arial"/>
          <w:b/>
          <w:i/>
          <w:snapToGrid w:val="0"/>
          <w:sz w:val="22"/>
          <w:szCs w:val="22"/>
        </w:rPr>
        <w:br/>
        <w:t xml:space="preserve">1. etapa </w:t>
      </w:r>
      <w:r w:rsidRPr="00993126">
        <w:rPr>
          <w:rFonts w:asciiTheme="minorHAnsi" w:hAnsiTheme="minorHAnsi" w:cs="Arial"/>
          <w:i/>
          <w:snapToGrid w:val="0"/>
          <w:sz w:val="22"/>
          <w:szCs w:val="22"/>
        </w:rPr>
        <w:t xml:space="preserve">do </w:t>
      </w:r>
      <w:r w:rsidRPr="00993126">
        <w:rPr>
          <w:rFonts w:asciiTheme="minorHAnsi" w:hAnsiTheme="minorHAnsi" w:cs="Arial"/>
          <w:i/>
          <w:snapToGrid w:val="0"/>
          <w:sz w:val="22"/>
          <w:szCs w:val="22"/>
          <w:u w:val="single"/>
        </w:rPr>
        <w:t>30.1</w:t>
      </w:r>
      <w:r w:rsidRPr="00993126">
        <w:rPr>
          <w:rFonts w:asciiTheme="minorHAnsi" w:hAnsiTheme="minorHAnsi" w:cs="Arial"/>
          <w:i/>
          <w:snapToGrid w:val="0"/>
          <w:sz w:val="22"/>
          <w:szCs w:val="22"/>
          <w:u w:val="single"/>
          <w:lang w:val="cs-CZ"/>
        </w:rPr>
        <w:t>2</w:t>
      </w:r>
      <w:r w:rsidRPr="00993126">
        <w:rPr>
          <w:rFonts w:asciiTheme="minorHAnsi" w:hAnsiTheme="minorHAnsi" w:cs="Arial"/>
          <w:i/>
          <w:snapToGrid w:val="0"/>
          <w:sz w:val="22"/>
          <w:szCs w:val="22"/>
          <w:u w:val="single"/>
        </w:rPr>
        <w:t>.2017</w:t>
      </w:r>
      <w:r w:rsidRPr="00993126">
        <w:rPr>
          <w:rFonts w:asciiTheme="minorHAnsi" w:hAnsiTheme="minorHAnsi" w:cs="Arial"/>
          <w:i/>
          <w:snapToGrid w:val="0"/>
          <w:sz w:val="22"/>
          <w:szCs w:val="22"/>
        </w:rPr>
        <w:br/>
      </w:r>
      <w:r w:rsidRPr="00993126">
        <w:rPr>
          <w:rFonts w:asciiTheme="minorHAnsi" w:hAnsiTheme="minorHAnsi" w:cs="Arial"/>
          <w:b/>
          <w:i/>
          <w:snapToGrid w:val="0"/>
          <w:sz w:val="22"/>
          <w:szCs w:val="22"/>
        </w:rPr>
        <w:t>2. etapa</w:t>
      </w:r>
      <w:r w:rsidRPr="00993126">
        <w:rPr>
          <w:rFonts w:asciiTheme="minorHAnsi" w:hAnsiTheme="minorHAnsi" w:cs="Arial"/>
          <w:i/>
          <w:snapToGrid w:val="0"/>
          <w:sz w:val="22"/>
          <w:szCs w:val="22"/>
        </w:rPr>
        <w:t xml:space="preserve"> do 30.10.2018</w:t>
      </w:r>
      <w:r w:rsidRPr="00993126">
        <w:rPr>
          <w:rFonts w:asciiTheme="minorHAnsi" w:hAnsiTheme="minorHAnsi" w:cs="Arial"/>
          <w:i/>
          <w:snapToGrid w:val="0"/>
          <w:sz w:val="22"/>
          <w:szCs w:val="22"/>
        </w:rPr>
        <w:br/>
      </w:r>
      <w:r w:rsidR="004A01CC">
        <w:rPr>
          <w:rFonts w:asciiTheme="minorHAnsi" w:hAnsiTheme="minorHAnsi" w:cs="Arial"/>
          <w:b/>
          <w:i/>
          <w:snapToGrid w:val="0"/>
          <w:sz w:val="22"/>
          <w:szCs w:val="22"/>
        </w:rPr>
        <w:t>3.</w:t>
      </w:r>
      <w:r w:rsidRPr="00993126">
        <w:rPr>
          <w:rFonts w:asciiTheme="minorHAnsi" w:hAnsiTheme="minorHAnsi" w:cs="Arial"/>
          <w:b/>
          <w:i/>
          <w:snapToGrid w:val="0"/>
          <w:sz w:val="22"/>
          <w:szCs w:val="22"/>
        </w:rPr>
        <w:t xml:space="preserve"> závěrečná etapa</w:t>
      </w:r>
      <w:r w:rsidRPr="00993126">
        <w:rPr>
          <w:rFonts w:asciiTheme="minorHAnsi" w:hAnsiTheme="minorHAnsi" w:cs="Arial"/>
          <w:i/>
          <w:snapToGrid w:val="0"/>
          <w:sz w:val="22"/>
          <w:szCs w:val="22"/>
        </w:rPr>
        <w:t xml:space="preserve"> do 30.10.2019</w:t>
      </w:r>
    </w:p>
    <w:p w:rsidR="00993126" w:rsidRPr="00993126" w:rsidRDefault="00993126" w:rsidP="00993126">
      <w:pPr>
        <w:numPr>
          <w:ilvl w:val="1"/>
          <w:numId w:val="10"/>
        </w:numPr>
        <w:tabs>
          <w:tab w:val="num" w:pos="360"/>
          <w:tab w:val="left" w:pos="567"/>
        </w:tabs>
        <w:spacing w:before="40"/>
        <w:ind w:left="567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>Smluvní strany s výše uvedenými změnami Smlouvy souhlasí.</w:t>
      </w:r>
    </w:p>
    <w:p w:rsidR="00993126" w:rsidRPr="00993126" w:rsidRDefault="00993126" w:rsidP="00993126">
      <w:pPr>
        <w:numPr>
          <w:ilvl w:val="1"/>
          <w:numId w:val="10"/>
        </w:numPr>
        <w:tabs>
          <w:tab w:val="num" w:pos="360"/>
          <w:tab w:val="left" w:pos="567"/>
        </w:tabs>
        <w:spacing w:before="40"/>
        <w:ind w:left="567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>Ostatní ustanovení Smlouvy zůstávají beze změn.</w:t>
      </w:r>
    </w:p>
    <w:p w:rsidR="00993126" w:rsidRPr="00993126" w:rsidRDefault="00993126" w:rsidP="00993126">
      <w:pPr>
        <w:tabs>
          <w:tab w:val="left" w:pos="567"/>
        </w:tabs>
        <w:spacing w:before="40"/>
        <w:ind w:left="567"/>
        <w:jc w:val="both"/>
        <w:rPr>
          <w:rFonts w:asciiTheme="minorHAnsi" w:hAnsiTheme="minorHAnsi"/>
          <w:sz w:val="22"/>
          <w:szCs w:val="22"/>
        </w:rPr>
      </w:pPr>
    </w:p>
    <w:p w:rsidR="00F60B7C" w:rsidRPr="00993126" w:rsidRDefault="00F60B7C" w:rsidP="00F60B7C">
      <w:pPr>
        <w:pStyle w:val="Nadpis41"/>
        <w:keepNext/>
        <w:keepLines/>
        <w:spacing w:line="276" w:lineRule="auto"/>
        <w:rPr>
          <w:rFonts w:asciiTheme="minorHAnsi" w:hAnsiTheme="minorHAnsi"/>
          <w:szCs w:val="22"/>
        </w:rPr>
      </w:pPr>
    </w:p>
    <w:p w:rsidR="00F60B7C" w:rsidRPr="00993126" w:rsidRDefault="00F60B7C" w:rsidP="00F60B7C">
      <w:pPr>
        <w:pStyle w:val="Nadpis41"/>
        <w:keepNext/>
        <w:keepLines/>
        <w:spacing w:line="276" w:lineRule="auto"/>
        <w:rPr>
          <w:rFonts w:asciiTheme="minorHAnsi" w:hAnsiTheme="minorHAnsi"/>
          <w:szCs w:val="22"/>
        </w:rPr>
      </w:pPr>
    </w:p>
    <w:p w:rsidR="00F60B7C" w:rsidRPr="00993126" w:rsidRDefault="00F60B7C" w:rsidP="00F60B7C">
      <w:pPr>
        <w:pStyle w:val="Nadpis41"/>
        <w:keepNext/>
        <w:keepLines/>
        <w:spacing w:line="276" w:lineRule="auto"/>
        <w:rPr>
          <w:rFonts w:asciiTheme="minorHAnsi" w:hAnsiTheme="minorHAnsi"/>
          <w:szCs w:val="22"/>
        </w:rPr>
      </w:pPr>
      <w:r w:rsidRPr="00993126">
        <w:rPr>
          <w:rFonts w:asciiTheme="minorHAnsi" w:hAnsiTheme="minorHAnsi"/>
          <w:szCs w:val="22"/>
        </w:rPr>
        <w:t xml:space="preserve">Článek III. </w:t>
      </w:r>
    </w:p>
    <w:p w:rsidR="00F60B7C" w:rsidRPr="00993126" w:rsidRDefault="00F60B7C" w:rsidP="00F60B7C">
      <w:pPr>
        <w:pStyle w:val="Nadpis41"/>
        <w:keepNext/>
        <w:keepLines/>
        <w:spacing w:line="276" w:lineRule="auto"/>
        <w:rPr>
          <w:rFonts w:asciiTheme="minorHAnsi" w:hAnsiTheme="minorHAnsi"/>
          <w:szCs w:val="22"/>
        </w:rPr>
      </w:pPr>
      <w:r w:rsidRPr="00993126">
        <w:rPr>
          <w:rFonts w:asciiTheme="minorHAnsi" w:hAnsiTheme="minorHAnsi"/>
          <w:szCs w:val="22"/>
        </w:rPr>
        <w:t>Závěrečná ustanovení</w:t>
      </w:r>
    </w:p>
    <w:p w:rsidR="00F60B7C" w:rsidRPr="00993126" w:rsidRDefault="00F60B7C" w:rsidP="00F60B7C">
      <w:pPr>
        <w:keepNext/>
        <w:keepLines/>
        <w:widowControl w:val="0"/>
        <w:numPr>
          <w:ilvl w:val="0"/>
          <w:numId w:val="9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993126">
        <w:rPr>
          <w:rFonts w:asciiTheme="minorHAnsi" w:hAnsiTheme="minorHAnsi"/>
          <w:color w:val="000000"/>
          <w:sz w:val="22"/>
          <w:szCs w:val="22"/>
        </w:rPr>
        <w:t>Tento Dodatek je vyhotoven ve 2 stejnopisech, z nichž každý bude považován za prvopis. Každá smluvní strana obdrží jeden stejnopis.</w:t>
      </w:r>
    </w:p>
    <w:p w:rsidR="00F60B7C" w:rsidRPr="00993126" w:rsidRDefault="00F60B7C" w:rsidP="00F60B7C">
      <w:pPr>
        <w:keepNext/>
        <w:keepLines/>
        <w:widowControl w:val="0"/>
        <w:numPr>
          <w:ilvl w:val="0"/>
          <w:numId w:val="9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993126">
        <w:rPr>
          <w:rFonts w:asciiTheme="minorHAnsi" w:hAnsiTheme="minorHAnsi"/>
          <w:color w:val="000000"/>
          <w:sz w:val="22"/>
          <w:szCs w:val="22"/>
        </w:rPr>
        <w:t xml:space="preserve">Tento Dodatek podléhá povinnosti </w:t>
      </w:r>
      <w:r w:rsidRPr="00993126">
        <w:rPr>
          <w:rFonts w:asciiTheme="minorHAnsi" w:hAnsiTheme="minorHAnsi"/>
          <w:bCs/>
          <w:iCs/>
          <w:sz w:val="22"/>
          <w:szCs w:val="22"/>
        </w:rPr>
        <w:t>uveřejnění dle zákona č. 340/2015 Sb., o zvláštních podmínkách účinnosti některých smluv, uveřejňování těchto smluv a o registru smluv (zákon o registru smluv). Smluvní strany se dohodly, že tento Dodatek je povinen v souladu s citovaným zákonem uveřejnit objednatel.</w:t>
      </w:r>
    </w:p>
    <w:p w:rsidR="00F60B7C" w:rsidRPr="00993126" w:rsidRDefault="00F60B7C" w:rsidP="00F60B7C">
      <w:pPr>
        <w:keepNext/>
        <w:keepLines/>
        <w:widowControl w:val="0"/>
        <w:numPr>
          <w:ilvl w:val="0"/>
          <w:numId w:val="9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993126">
        <w:rPr>
          <w:rFonts w:asciiTheme="minorHAnsi" w:hAnsiTheme="minorHAnsi"/>
          <w:color w:val="000000"/>
          <w:sz w:val="22"/>
          <w:szCs w:val="22"/>
        </w:rPr>
        <w:t>Tento Dodatek nabývá platnosti dnem podpisu oběma smluvními stranami a účinnosti dnem uveřejnění dle předchozího odstavce.</w:t>
      </w:r>
    </w:p>
    <w:p w:rsidR="00F60B7C" w:rsidRPr="00993126" w:rsidRDefault="00F60B7C" w:rsidP="00F60B7C">
      <w:pPr>
        <w:keepNext/>
        <w:keepLines/>
        <w:widowControl w:val="0"/>
        <w:numPr>
          <w:ilvl w:val="0"/>
          <w:numId w:val="9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>Smluvní strany prohlašují, že si Dodatek pečlivě přečetly, jeho obsahu porozuměly a nemají k němu žádné výhrady. Dále prohlašují, že tento Dodatek neuzavřely v tísni za nápadně nevýhodných podmínek a že tento Dodatek je projevem jejich svobodné vůle a na důkaz tohoto strany připojují své podpisy.</w:t>
      </w:r>
    </w:p>
    <w:p w:rsidR="00F60B7C" w:rsidRDefault="00F60B7C" w:rsidP="00F60B7C">
      <w:pPr>
        <w:keepNext/>
        <w:keepLines/>
        <w:widowControl w:val="0"/>
        <w:jc w:val="both"/>
      </w:pPr>
    </w:p>
    <w:p w:rsidR="002546F7" w:rsidRPr="00246701" w:rsidRDefault="002546F7" w:rsidP="002546F7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546F7" w:rsidRPr="009744D0" w:rsidTr="00C75B47">
        <w:trPr>
          <w:trHeight w:val="2302"/>
          <w:jc w:val="center"/>
        </w:trPr>
        <w:tc>
          <w:tcPr>
            <w:tcW w:w="4606" w:type="dxa"/>
          </w:tcPr>
          <w:p w:rsidR="002546F7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Liberec</w:t>
            </w:r>
            <w:r w:rsidRPr="009744D0">
              <w:rPr>
                <w:rFonts w:ascii="Calibri" w:hAnsi="Calibri"/>
                <w:sz w:val="21"/>
                <w:szCs w:val="21"/>
              </w:rPr>
              <w:t xml:space="preserve"> dne </w:t>
            </w:r>
            <w:r w:rsidR="004A01CC">
              <w:rPr>
                <w:rFonts w:ascii="Calibri" w:hAnsi="Calibri"/>
                <w:sz w:val="21"/>
                <w:szCs w:val="21"/>
              </w:rPr>
              <w:t>30. 11. 2017</w:t>
            </w:r>
          </w:p>
          <w:p w:rsidR="002546F7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2546F7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2546F7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2546F7" w:rsidRPr="009744D0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2546F7" w:rsidRPr="009744D0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  <w:r w:rsidRPr="009744D0">
              <w:rPr>
                <w:rFonts w:ascii="Calibri" w:hAnsi="Calibri"/>
                <w:sz w:val="21"/>
                <w:szCs w:val="21"/>
              </w:rPr>
              <w:t>…………………………………………..</w:t>
            </w:r>
          </w:p>
          <w:p w:rsidR="002546F7" w:rsidRPr="009744D0" w:rsidRDefault="002546F7" w:rsidP="00C75B47">
            <w:pPr>
              <w:tabs>
                <w:tab w:val="left" w:pos="993"/>
                <w:tab w:val="left" w:pos="6521"/>
              </w:tabs>
              <w:rPr>
                <w:rFonts w:ascii="Calibri" w:hAnsi="Calibri"/>
                <w:sz w:val="21"/>
                <w:szCs w:val="21"/>
              </w:rPr>
            </w:pPr>
            <w:r w:rsidRPr="009744D0">
              <w:rPr>
                <w:rFonts w:ascii="Calibri" w:hAnsi="Calibri"/>
                <w:sz w:val="21"/>
                <w:szCs w:val="21"/>
              </w:rPr>
              <w:t xml:space="preserve">                             </w:t>
            </w:r>
            <w:r>
              <w:rPr>
                <w:rFonts w:ascii="Calibri" w:hAnsi="Calibri"/>
                <w:sz w:val="21"/>
                <w:szCs w:val="21"/>
              </w:rPr>
              <w:t>Mgr.</w:t>
            </w:r>
            <w:r w:rsidRPr="009744D0">
              <w:rPr>
                <w:rFonts w:ascii="Calibri" w:hAnsi="Calibri"/>
                <w:sz w:val="21"/>
                <w:szCs w:val="21"/>
              </w:rPr>
              <w:t xml:space="preserve"> Miloš </w:t>
            </w:r>
            <w:r>
              <w:rPr>
                <w:rFonts w:ascii="Calibri" w:hAnsi="Calibri"/>
                <w:sz w:val="21"/>
                <w:szCs w:val="21"/>
              </w:rPr>
              <w:t>Krčmář</w:t>
            </w:r>
          </w:p>
          <w:p w:rsidR="002546F7" w:rsidRDefault="002546F7" w:rsidP="00C75B47">
            <w:pPr>
              <w:tabs>
                <w:tab w:val="left" w:pos="567"/>
                <w:tab w:val="left" w:pos="6663"/>
                <w:tab w:val="right" w:pos="9072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ab/>
              <w:t xml:space="preserve">                ředitel</w:t>
            </w:r>
            <w:r w:rsidRPr="009744D0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 xml:space="preserve">ÚOP v Liberci </w:t>
            </w:r>
          </w:p>
          <w:p w:rsidR="002546F7" w:rsidRPr="004D61A0" w:rsidRDefault="002546F7" w:rsidP="00C75B47">
            <w:pPr>
              <w:tabs>
                <w:tab w:val="left" w:pos="567"/>
                <w:tab w:val="left" w:pos="6663"/>
                <w:tab w:val="right" w:pos="9072"/>
              </w:tabs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                  </w:t>
            </w:r>
            <w:r w:rsidRPr="009744D0">
              <w:rPr>
                <w:rFonts w:ascii="Calibri" w:hAnsi="Calibri"/>
                <w:i/>
                <w:sz w:val="21"/>
                <w:szCs w:val="21"/>
              </w:rPr>
              <w:t>za objednatele</w:t>
            </w:r>
          </w:p>
        </w:tc>
        <w:tc>
          <w:tcPr>
            <w:tcW w:w="4606" w:type="dxa"/>
          </w:tcPr>
          <w:p w:rsidR="002546F7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  <w:r w:rsidRPr="002221E1">
              <w:rPr>
                <w:rFonts w:ascii="Calibri" w:hAnsi="Calibri"/>
                <w:sz w:val="21"/>
                <w:szCs w:val="21"/>
              </w:rPr>
              <w:t>V</w:t>
            </w:r>
            <w:r>
              <w:rPr>
                <w:rFonts w:ascii="Calibri" w:hAnsi="Calibri"/>
                <w:sz w:val="21"/>
                <w:szCs w:val="21"/>
              </w:rPr>
              <w:t xml:space="preserve"> Liberci</w:t>
            </w:r>
            <w:r w:rsidRPr="002221E1">
              <w:rPr>
                <w:rFonts w:ascii="Calibri" w:hAnsi="Calibri"/>
                <w:sz w:val="21"/>
                <w:szCs w:val="21"/>
              </w:rPr>
              <w:t xml:space="preserve"> dne </w:t>
            </w:r>
            <w:r w:rsidR="004A01CC">
              <w:rPr>
                <w:rFonts w:ascii="Calibri" w:hAnsi="Calibri"/>
                <w:sz w:val="21"/>
                <w:szCs w:val="21"/>
              </w:rPr>
              <w:t>30. 11. 2017</w:t>
            </w:r>
          </w:p>
          <w:p w:rsidR="002546F7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2546F7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2546F7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2546F7" w:rsidRPr="009744D0" w:rsidRDefault="002546F7" w:rsidP="002546F7">
            <w:pPr>
              <w:widowControl w:val="0"/>
              <w:rPr>
                <w:rFonts w:ascii="Calibri" w:hAnsi="Calibri"/>
                <w:sz w:val="21"/>
                <w:szCs w:val="21"/>
              </w:rPr>
            </w:pPr>
          </w:p>
          <w:p w:rsidR="002546F7" w:rsidRPr="009744D0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  <w:r w:rsidRPr="002221E1">
              <w:rPr>
                <w:rFonts w:ascii="Calibri" w:hAnsi="Calibri"/>
                <w:sz w:val="21"/>
                <w:szCs w:val="21"/>
              </w:rPr>
              <w:t>…………………………………………..</w:t>
            </w:r>
          </w:p>
          <w:p w:rsidR="002546F7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Jiří Dvořáček</w:t>
            </w:r>
            <w:r w:rsidRPr="009744D0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:rsidR="002546F7" w:rsidRDefault="002546F7" w:rsidP="00C75B47">
            <w:pPr>
              <w:widowControl w:val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jednatel</w:t>
            </w:r>
          </w:p>
          <w:p w:rsidR="002546F7" w:rsidRDefault="002546F7" w:rsidP="00C75B47">
            <w:pPr>
              <w:widowControl w:val="0"/>
              <w:jc w:val="center"/>
              <w:rPr>
                <w:rFonts w:ascii="Calibri" w:hAnsi="Calibri"/>
                <w:i/>
                <w:sz w:val="21"/>
                <w:szCs w:val="21"/>
              </w:rPr>
            </w:pPr>
            <w:r w:rsidRPr="009744D0">
              <w:rPr>
                <w:rFonts w:ascii="Calibri" w:hAnsi="Calibri"/>
                <w:i/>
                <w:sz w:val="21"/>
                <w:szCs w:val="21"/>
              </w:rPr>
              <w:t>za zhotovitele</w:t>
            </w:r>
          </w:p>
          <w:p w:rsidR="002546F7" w:rsidRPr="009744D0" w:rsidRDefault="002546F7" w:rsidP="002546F7">
            <w:pPr>
              <w:widowControl w:val="0"/>
              <w:jc w:val="center"/>
              <w:rPr>
                <w:rFonts w:ascii="Calibri" w:hAnsi="Calibri"/>
                <w:i/>
                <w:sz w:val="21"/>
                <w:szCs w:val="21"/>
              </w:rPr>
            </w:pPr>
          </w:p>
        </w:tc>
      </w:tr>
    </w:tbl>
    <w:p w:rsidR="002546F7" w:rsidRDefault="002546F7" w:rsidP="002546F7">
      <w:pPr>
        <w:pStyle w:val="Zkladntext"/>
        <w:keepNext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</w:t>
      </w:r>
    </w:p>
    <w:p w:rsidR="004D1D0D" w:rsidRDefault="004D1D0D" w:rsidP="002546F7">
      <w:bookmarkStart w:id="0" w:name="_GoBack"/>
      <w:bookmarkEnd w:id="0"/>
    </w:p>
    <w:sectPr w:rsidR="004D1D0D" w:rsidSect="00ED34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00" w:rsidRDefault="00781600" w:rsidP="002546F7">
      <w:r>
        <w:separator/>
      </w:r>
    </w:p>
  </w:endnote>
  <w:endnote w:type="continuationSeparator" w:id="0">
    <w:p w:rsidR="00781600" w:rsidRDefault="00781600" w:rsidP="0025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00" w:rsidRDefault="00781600" w:rsidP="002546F7">
      <w:r>
        <w:separator/>
      </w:r>
    </w:p>
  </w:footnote>
  <w:footnote w:type="continuationSeparator" w:id="0">
    <w:p w:rsidR="00781600" w:rsidRDefault="00781600" w:rsidP="0025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F7" w:rsidRDefault="002546F7">
    <w:pPr>
      <w:pStyle w:val="Zhlav"/>
    </w:pPr>
    <w:r>
      <w:t>Čj.: NPU-353/</w:t>
    </w:r>
    <w:r w:rsidR="00A86CC0">
      <w:t>94019</w:t>
    </w:r>
    <w:r>
      <w:t>/2017</w:t>
    </w:r>
    <w:r>
      <w:tab/>
    </w:r>
    <w:r>
      <w:tab/>
      <w:t>NPÚ-LI-</w:t>
    </w:r>
    <w:r w:rsidR="00A86CC0">
      <w:t>43</w:t>
    </w:r>
    <w: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E7425"/>
    <w:multiLevelType w:val="hybridMultilevel"/>
    <w:tmpl w:val="F4CE3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5F7D"/>
    <w:multiLevelType w:val="hybridMultilevel"/>
    <w:tmpl w:val="1FAA1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6353"/>
    <w:multiLevelType w:val="hybridMultilevel"/>
    <w:tmpl w:val="726AC080"/>
    <w:lvl w:ilvl="0" w:tplc="1EF03B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64B4B"/>
    <w:multiLevelType w:val="multilevel"/>
    <w:tmpl w:val="DCAE9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7120B"/>
    <w:multiLevelType w:val="hybridMultilevel"/>
    <w:tmpl w:val="16844E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C63CE"/>
    <w:multiLevelType w:val="multilevel"/>
    <w:tmpl w:val="DCAE9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9F228E0"/>
    <w:multiLevelType w:val="multilevel"/>
    <w:tmpl w:val="A7B8E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0C867C3"/>
    <w:multiLevelType w:val="hybridMultilevel"/>
    <w:tmpl w:val="F5F8DBC6"/>
    <w:lvl w:ilvl="0" w:tplc="2700796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0756D"/>
    <w:multiLevelType w:val="hybridMultilevel"/>
    <w:tmpl w:val="8B7A5774"/>
    <w:lvl w:ilvl="0" w:tplc="93ACA2C2">
      <w:start w:val="1"/>
      <w:numFmt w:val="low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42B51"/>
    <w:multiLevelType w:val="hybridMultilevel"/>
    <w:tmpl w:val="BEF4321E"/>
    <w:lvl w:ilvl="0" w:tplc="F88E1D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F7"/>
    <w:rsid w:val="002546F7"/>
    <w:rsid w:val="003605CC"/>
    <w:rsid w:val="003E580B"/>
    <w:rsid w:val="0045666D"/>
    <w:rsid w:val="004A01CC"/>
    <w:rsid w:val="004D1D0D"/>
    <w:rsid w:val="006364C1"/>
    <w:rsid w:val="00746942"/>
    <w:rsid w:val="00781600"/>
    <w:rsid w:val="00993126"/>
    <w:rsid w:val="00A86CC0"/>
    <w:rsid w:val="00D43B24"/>
    <w:rsid w:val="00E304FE"/>
    <w:rsid w:val="00ED34C7"/>
    <w:rsid w:val="00F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546F7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2546F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uiPriority w:val="99"/>
    <w:rsid w:val="002546F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546F7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546F7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Podtitul">
    <w:name w:val="Subtitle"/>
    <w:basedOn w:val="Normln"/>
    <w:link w:val="PodtitulChar"/>
    <w:qFormat/>
    <w:rsid w:val="002546F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2546F7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qFormat/>
    <w:rsid w:val="002546F7"/>
    <w:rPr>
      <w:b/>
      <w:bCs/>
    </w:rPr>
  </w:style>
  <w:style w:type="character" w:styleId="Zvraznn">
    <w:name w:val="Emphasis"/>
    <w:qFormat/>
    <w:rsid w:val="002546F7"/>
    <w:rPr>
      <w:i/>
      <w:iCs/>
    </w:rPr>
  </w:style>
  <w:style w:type="paragraph" w:customStyle="1" w:styleId="Normln0">
    <w:name w:val="Normální~"/>
    <w:basedOn w:val="Normln"/>
    <w:rsid w:val="002546F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546F7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2546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25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546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46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46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6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41">
    <w:name w:val="Nadpis 41"/>
    <w:basedOn w:val="Normln"/>
    <w:next w:val="Normln"/>
    <w:rsid w:val="006364C1"/>
    <w:pPr>
      <w:widowControl w:val="0"/>
      <w:jc w:val="center"/>
    </w:pPr>
    <w:rPr>
      <w:rFonts w:ascii="Arial" w:hAnsi="Arial" w:cs="Arial"/>
      <w:b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93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1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1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1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1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12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546F7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2546F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uiPriority w:val="99"/>
    <w:rsid w:val="002546F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546F7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546F7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Podtitul">
    <w:name w:val="Subtitle"/>
    <w:basedOn w:val="Normln"/>
    <w:link w:val="PodtitulChar"/>
    <w:qFormat/>
    <w:rsid w:val="002546F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2546F7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qFormat/>
    <w:rsid w:val="002546F7"/>
    <w:rPr>
      <w:b/>
      <w:bCs/>
    </w:rPr>
  </w:style>
  <w:style w:type="character" w:styleId="Zvraznn">
    <w:name w:val="Emphasis"/>
    <w:qFormat/>
    <w:rsid w:val="002546F7"/>
    <w:rPr>
      <w:i/>
      <w:iCs/>
    </w:rPr>
  </w:style>
  <w:style w:type="paragraph" w:customStyle="1" w:styleId="Normln0">
    <w:name w:val="Normální~"/>
    <w:basedOn w:val="Normln"/>
    <w:rsid w:val="002546F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546F7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2546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25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546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46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46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6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41">
    <w:name w:val="Nadpis 41"/>
    <w:basedOn w:val="Normln"/>
    <w:next w:val="Normln"/>
    <w:rsid w:val="006364C1"/>
    <w:pPr>
      <w:widowControl w:val="0"/>
      <w:jc w:val="center"/>
    </w:pPr>
    <w:rPr>
      <w:rFonts w:ascii="Arial" w:hAnsi="Arial" w:cs="Arial"/>
      <w:b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93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1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1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1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1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12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Liberec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Hanzlíková</dc:creator>
  <cp:lastModifiedBy>Lucie Hanzlíková</cp:lastModifiedBy>
  <cp:revision>4</cp:revision>
  <cp:lastPrinted>2017-06-26T07:13:00Z</cp:lastPrinted>
  <dcterms:created xsi:type="dcterms:W3CDTF">2017-11-29T15:49:00Z</dcterms:created>
  <dcterms:modified xsi:type="dcterms:W3CDTF">2017-11-30T07:00:00Z</dcterms:modified>
</cp:coreProperties>
</file>