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35" w:rsidRDefault="00403A18" w:rsidP="00403A18">
      <w:pPr>
        <w:spacing w:after="472" w:line="259" w:lineRule="auto"/>
        <w:ind w:left="-1339" w:right="0" w:firstLine="0"/>
        <w:jc w:val="center"/>
      </w:pPr>
      <w:r>
        <w:rPr>
          <w:noProof/>
        </w:rPr>
        <w:t xml:space="preserve">                   </w:t>
      </w:r>
      <w:r>
        <w:rPr>
          <w:sz w:val="28"/>
        </w:rPr>
        <w:t>ŘEDITELSTVÍ SILNIC A DÁLNIC ČR</w:t>
      </w:r>
    </w:p>
    <w:p w:rsidR="00AB6135" w:rsidRDefault="00403A18">
      <w:pPr>
        <w:spacing w:after="14" w:line="259" w:lineRule="auto"/>
        <w:ind w:left="58" w:right="48" w:hanging="10"/>
        <w:jc w:val="center"/>
      </w:pPr>
      <w:r>
        <w:rPr>
          <w:sz w:val="24"/>
        </w:rPr>
        <w:t>DODATEK č.</w:t>
      </w:r>
      <w:r>
        <w:rPr>
          <w:sz w:val="24"/>
        </w:rPr>
        <w:t xml:space="preserve"> 1</w:t>
      </w:r>
    </w:p>
    <w:p w:rsidR="00AB6135" w:rsidRDefault="00403A18">
      <w:pPr>
        <w:spacing w:after="6" w:line="253" w:lineRule="auto"/>
        <w:ind w:left="14" w:right="0" w:firstLine="0"/>
      </w:pPr>
      <w:r>
        <w:rPr>
          <w:sz w:val="24"/>
        </w:rPr>
        <w:t>OBJEDNÁVKA - SMLOUVA O POSKYTOVÁNÍ SLUŽEB</w:t>
      </w:r>
    </w:p>
    <w:p w:rsidR="00AB6135" w:rsidRPr="00403A18" w:rsidRDefault="00403A18">
      <w:pPr>
        <w:spacing w:after="188" w:line="259" w:lineRule="auto"/>
        <w:ind w:left="279" w:right="293" w:hanging="10"/>
        <w:jc w:val="center"/>
        <w:rPr>
          <w:b/>
          <w:u w:val="single"/>
        </w:rPr>
      </w:pPr>
      <w:r w:rsidRPr="00403A18">
        <w:rPr>
          <w:b/>
          <w:noProof/>
          <w:u w:val="single"/>
        </w:rPr>
        <w:drawing>
          <wp:inline distT="0" distB="0" distL="0" distR="0">
            <wp:extent cx="6097" cy="3049"/>
            <wp:effectExtent l="0" t="0" r="0" b="0"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A18">
        <w:rPr>
          <w:b/>
          <w:sz w:val="24"/>
          <w:u w:val="single"/>
        </w:rPr>
        <w:t>„I/20 Bezvěrov - Nová Hospo</w:t>
      </w:r>
      <w:r w:rsidRPr="00403A18">
        <w:rPr>
          <w:b/>
          <w:sz w:val="24"/>
          <w:u w:val="single"/>
        </w:rPr>
        <w:t>da ČOP</w:t>
      </w:r>
      <w:r w:rsidRPr="00403A18">
        <w:rPr>
          <w:b/>
          <w:sz w:val="24"/>
          <w:u w:val="single"/>
        </w:rPr>
        <w:t>”</w:t>
      </w:r>
    </w:p>
    <w:p w:rsidR="00AB6135" w:rsidRDefault="00AB6135">
      <w:pPr>
        <w:sectPr w:rsidR="00AB6135">
          <w:pgSz w:w="11906" w:h="16838"/>
          <w:pgMar w:top="811" w:right="3159" w:bottom="1786" w:left="2780" w:header="708" w:footer="708" w:gutter="0"/>
          <w:cols w:space="708"/>
        </w:sectPr>
      </w:pPr>
    </w:p>
    <w:p w:rsidR="00AB6135" w:rsidRDefault="00403A18">
      <w:pPr>
        <w:spacing w:after="82" w:line="253" w:lineRule="auto"/>
        <w:ind w:left="14" w:right="0" w:firstLine="0"/>
      </w:pPr>
      <w:r>
        <w:rPr>
          <w:sz w:val="24"/>
        </w:rPr>
        <w:t>č. objednatele: 06EU-003368</w:t>
      </w:r>
    </w:p>
    <w:p w:rsidR="00AB6135" w:rsidRPr="00403A18" w:rsidRDefault="00403A18">
      <w:pPr>
        <w:spacing w:after="202" w:line="253" w:lineRule="auto"/>
        <w:ind w:left="14" w:right="0" w:firstLine="0"/>
        <w:rPr>
          <w:highlight w:val="black"/>
        </w:rPr>
      </w:pPr>
      <w:r>
        <w:rPr>
          <w:sz w:val="24"/>
        </w:rPr>
        <w:t xml:space="preserve">č. poskytovatele: </w:t>
      </w:r>
      <w:r w:rsidRPr="00403A18">
        <w:rPr>
          <w:sz w:val="24"/>
          <w:highlight w:val="black"/>
        </w:rPr>
        <w:t>17,0551-06</w:t>
      </w:r>
    </w:p>
    <w:p w:rsidR="00AB6135" w:rsidRDefault="00403A18" w:rsidP="00403A18">
      <w:pPr>
        <w:spacing w:after="346" w:line="253" w:lineRule="auto"/>
        <w:ind w:left="14" w:right="-367" w:firstLine="0"/>
      </w:pPr>
      <w:r>
        <w:rPr>
          <w:sz w:val="24"/>
        </w:rPr>
        <w:t xml:space="preserve">ISPROFIN: </w:t>
      </w:r>
      <w:r w:rsidRPr="00403A18">
        <w:rPr>
          <w:sz w:val="24"/>
          <w:highlight w:val="black"/>
        </w:rPr>
        <w:t xml:space="preserve">3271110901 NIV </w:t>
      </w:r>
      <w:proofErr w:type="spellStart"/>
      <w:r w:rsidRPr="00403A18">
        <w:rPr>
          <w:sz w:val="24"/>
          <w:highlight w:val="black"/>
        </w:rPr>
        <w:t>protihluky</w:t>
      </w:r>
      <w:proofErr w:type="spellEnd"/>
    </w:p>
    <w:p w:rsidR="00AB6135" w:rsidRDefault="00403A18">
      <w:pPr>
        <w:spacing w:after="202" w:line="253" w:lineRule="auto"/>
        <w:ind w:left="163" w:right="0" w:firstLine="0"/>
      </w:pPr>
      <w:r>
        <w:rPr>
          <w:sz w:val="24"/>
        </w:rPr>
        <w:t>OBJEDNATEL:</w:t>
      </w:r>
    </w:p>
    <w:p w:rsidR="00AB6135" w:rsidRDefault="00403A18" w:rsidP="00403A18">
      <w:pPr>
        <w:spacing w:after="18" w:line="426" w:lineRule="auto"/>
        <w:ind w:left="101" w:right="0" w:firstLine="0"/>
        <w:jc w:val="left"/>
      </w:pPr>
      <w:r>
        <w:rPr>
          <w:sz w:val="24"/>
        </w:rPr>
        <w:t>Ředitelství silnic a dálnic Č</w:t>
      </w:r>
      <w:r>
        <w:rPr>
          <w:sz w:val="24"/>
        </w:rPr>
        <w:t xml:space="preserve">R                                     </w:t>
      </w:r>
      <w:r>
        <w:rPr>
          <w:sz w:val="24"/>
        </w:rPr>
        <w:t xml:space="preserve"> se sídlem Na Pankráci 56, 140 00 Praha 4</w:t>
      </w:r>
    </w:p>
    <w:p w:rsidR="00AB6135" w:rsidRDefault="00403A18">
      <w:pPr>
        <w:spacing w:after="489" w:line="433" w:lineRule="auto"/>
        <w:ind w:left="91" w:right="1839" w:firstLine="0"/>
      </w:pPr>
      <w:r>
        <w:rPr>
          <w:sz w:val="24"/>
        </w:rPr>
        <w:t>IČO: 65993390 DIČ: CZ</w:t>
      </w:r>
      <w:r>
        <w:rPr>
          <w:sz w:val="24"/>
        </w:rPr>
        <w:t>65993390</w:t>
      </w:r>
    </w:p>
    <w:p w:rsidR="00AB6135" w:rsidRDefault="00403A18">
      <w:pPr>
        <w:spacing w:after="202" w:line="253" w:lineRule="auto"/>
        <w:ind w:left="86" w:right="0" w:firstLine="0"/>
      </w:pPr>
      <w:r>
        <w:rPr>
          <w:sz w:val="24"/>
        </w:rPr>
        <w:t>zastoupený ve věcech:</w:t>
      </w:r>
    </w:p>
    <w:p w:rsidR="00AB6135" w:rsidRPr="00403A18" w:rsidRDefault="00403A18">
      <w:pPr>
        <w:spacing w:after="544" w:line="386" w:lineRule="auto"/>
        <w:rPr>
          <w:highlight w:val="black"/>
        </w:rPr>
      </w:pPr>
      <w:r>
        <w:t xml:space="preserve">smluvních: </w:t>
      </w:r>
      <w:r w:rsidRPr="00403A18">
        <w:rPr>
          <w:highlight w:val="black"/>
        </w:rPr>
        <w:t>Ing. Zdeněk Kuťák, pověřený řízením</w:t>
      </w:r>
      <w:r>
        <w:t xml:space="preserve"> Správy Plzeň technických: </w:t>
      </w:r>
      <w:r w:rsidRPr="00403A18">
        <w:rPr>
          <w:highlight w:val="black"/>
        </w:rPr>
        <w:t>Michal Syřínek</w:t>
      </w:r>
      <w:r w:rsidRPr="00403A18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18" w:rsidRPr="00403A18" w:rsidRDefault="00403A18">
      <w:pPr>
        <w:spacing w:after="202" w:line="415" w:lineRule="auto"/>
        <w:ind w:right="0" w:firstLine="0"/>
        <w:rPr>
          <w:sz w:val="24"/>
          <w:highlight w:val="black"/>
        </w:rPr>
      </w:pPr>
      <w:r>
        <w:rPr>
          <w:sz w:val="24"/>
        </w:rPr>
        <w:t xml:space="preserve">Bankovní spojení: </w:t>
      </w:r>
      <w:proofErr w:type="spellStart"/>
      <w:r w:rsidRPr="00403A18">
        <w:rPr>
          <w:sz w:val="24"/>
          <w:highlight w:val="black"/>
        </w:rPr>
        <w:t>Ceská</w:t>
      </w:r>
      <w:proofErr w:type="spellEnd"/>
      <w:r w:rsidRPr="00403A18">
        <w:rPr>
          <w:sz w:val="24"/>
          <w:highlight w:val="black"/>
        </w:rPr>
        <w:t xml:space="preserve"> národní banka </w:t>
      </w:r>
      <w:r>
        <w:rPr>
          <w:sz w:val="24"/>
        </w:rPr>
        <w:t>Č</w:t>
      </w:r>
      <w:r>
        <w:rPr>
          <w:sz w:val="24"/>
        </w:rPr>
        <w:t xml:space="preserve">íslo účtu: </w:t>
      </w:r>
      <w:r w:rsidRPr="00403A18">
        <w:rPr>
          <w:sz w:val="24"/>
          <w:highlight w:val="black"/>
        </w:rPr>
        <w:t xml:space="preserve">20001-15937031/0710 </w:t>
      </w:r>
    </w:p>
    <w:p w:rsidR="00403A18" w:rsidRDefault="00403A18">
      <w:pPr>
        <w:spacing w:after="202" w:line="415" w:lineRule="auto"/>
        <w:ind w:right="0" w:firstLine="0"/>
        <w:rPr>
          <w:sz w:val="24"/>
        </w:rPr>
      </w:pPr>
    </w:p>
    <w:p w:rsidR="00403A18" w:rsidRDefault="00403A18">
      <w:pPr>
        <w:spacing w:after="202" w:line="415" w:lineRule="auto"/>
        <w:ind w:right="0" w:firstLine="0"/>
        <w:rPr>
          <w:sz w:val="24"/>
        </w:rPr>
      </w:pPr>
    </w:p>
    <w:p w:rsidR="00403A18" w:rsidRDefault="00403A18">
      <w:pPr>
        <w:spacing w:after="202" w:line="415" w:lineRule="auto"/>
        <w:ind w:right="0" w:firstLine="0"/>
        <w:rPr>
          <w:sz w:val="24"/>
        </w:rPr>
      </w:pPr>
    </w:p>
    <w:p w:rsidR="00AB6135" w:rsidRDefault="00403A18">
      <w:pPr>
        <w:spacing w:after="202" w:line="415" w:lineRule="auto"/>
        <w:ind w:right="0" w:firstLine="0"/>
      </w:pPr>
      <w:r>
        <w:rPr>
          <w:sz w:val="24"/>
        </w:rPr>
        <w:t>POSKYTOVATEL:</w:t>
      </w:r>
    </w:p>
    <w:p w:rsidR="00AB6135" w:rsidRDefault="00403A18">
      <w:pPr>
        <w:ind w:left="14" w:right="0"/>
      </w:pPr>
      <w:r>
        <w:t xml:space="preserve">Název: EKOLA group, </w:t>
      </w:r>
      <w:proofErr w:type="gramStart"/>
      <w:r>
        <w:t xml:space="preserve">spol. s </w:t>
      </w:r>
      <w:proofErr w:type="spellStart"/>
      <w:r>
        <w:t>r,o</w:t>
      </w:r>
      <w:proofErr w:type="spellEnd"/>
      <w:r>
        <w:t>.</w:t>
      </w:r>
      <w:proofErr w:type="gramEnd"/>
    </w:p>
    <w:p w:rsidR="00AB6135" w:rsidRDefault="00403A18">
      <w:pPr>
        <w:spacing w:after="204"/>
        <w:ind w:left="14" w:right="0"/>
      </w:pPr>
      <w:r>
        <w:t>se sídlem: Mistrovská 108 00 Praha 10</w:t>
      </w:r>
    </w:p>
    <w:p w:rsidR="00AB6135" w:rsidRDefault="00403A18">
      <w:pPr>
        <w:spacing w:after="496" w:line="469" w:lineRule="auto"/>
        <w:ind w:left="14" w:right="1939"/>
      </w:pPr>
      <w:r>
        <w:t xml:space="preserve">IČO: 63981378                 </w:t>
      </w:r>
      <w:r>
        <w:t>DIČ: CZ63981378</w:t>
      </w:r>
    </w:p>
    <w:p w:rsidR="00AB6135" w:rsidRDefault="00403A18">
      <w:pPr>
        <w:spacing w:after="223" w:line="253" w:lineRule="auto"/>
        <w:ind w:left="14" w:right="0" w:firstLine="0"/>
      </w:pPr>
      <w:r>
        <w:rPr>
          <w:sz w:val="24"/>
        </w:rPr>
        <w:t>zastoupený ve věcech:</w:t>
      </w:r>
    </w:p>
    <w:p w:rsidR="00AB6135" w:rsidRPr="00403A18" w:rsidRDefault="00403A18">
      <w:pPr>
        <w:spacing w:after="575" w:line="378" w:lineRule="auto"/>
        <w:ind w:left="14" w:right="288"/>
        <w:rPr>
          <w:highlight w:val="black"/>
        </w:rPr>
      </w:pPr>
      <w:r>
        <w:t xml:space="preserve">smluvních: </w:t>
      </w:r>
      <w:r w:rsidRPr="00403A18">
        <w:rPr>
          <w:highlight w:val="black"/>
        </w:rPr>
        <w:t xml:space="preserve">Ing. Věra </w:t>
      </w:r>
      <w:proofErr w:type="spellStart"/>
      <w:r w:rsidRPr="00403A18">
        <w:rPr>
          <w:highlight w:val="black"/>
        </w:rPr>
        <w:t>Ládyšová</w:t>
      </w:r>
      <w:proofErr w:type="spellEnd"/>
      <w:r w:rsidRPr="00403A18">
        <w:rPr>
          <w:highlight w:val="black"/>
        </w:rPr>
        <w:t xml:space="preserve"> jednatelka společnosti</w:t>
      </w:r>
      <w:r>
        <w:t xml:space="preserve">                  </w:t>
      </w:r>
      <w:r>
        <w:t xml:space="preserve">technických: </w:t>
      </w:r>
      <w:r w:rsidRPr="00403A18">
        <w:rPr>
          <w:highlight w:val="black"/>
        </w:rPr>
        <w:t>RNDr. Libuše Bartošová</w:t>
      </w:r>
    </w:p>
    <w:p w:rsidR="00AB6135" w:rsidRPr="00403A18" w:rsidRDefault="00403A18">
      <w:pPr>
        <w:spacing w:line="404" w:lineRule="auto"/>
        <w:ind w:left="14" w:right="903"/>
        <w:rPr>
          <w:highlight w:val="black"/>
        </w:rPr>
      </w:pPr>
      <w:r>
        <w:t xml:space="preserve">Bankovní spojení: </w:t>
      </w:r>
      <w:r w:rsidRPr="00403A18">
        <w:rPr>
          <w:highlight w:val="black"/>
        </w:rPr>
        <w:t xml:space="preserve">ČSOB </w:t>
      </w:r>
      <w:r>
        <w:t xml:space="preserve">                   </w:t>
      </w:r>
      <w:r>
        <w:t xml:space="preserve">číslo účtu: </w:t>
      </w:r>
      <w:r w:rsidRPr="00403A18">
        <w:rPr>
          <w:highlight w:val="black"/>
        </w:rPr>
        <w:t>473366133/0300</w:t>
      </w:r>
    </w:p>
    <w:p w:rsidR="00AB6135" w:rsidRDefault="00AB6135">
      <w:pPr>
        <w:sectPr w:rsidR="00AB6135">
          <w:type w:val="continuous"/>
          <w:pgSz w:w="11906" w:h="16838"/>
          <w:pgMar w:top="1440" w:right="2242" w:bottom="1440" w:left="1407" w:header="708" w:footer="708" w:gutter="0"/>
          <w:cols w:num="2" w:space="485"/>
        </w:sectPr>
      </w:pPr>
    </w:p>
    <w:p w:rsidR="00AB6135" w:rsidRDefault="00403A18">
      <w:pPr>
        <w:spacing w:after="2506" w:line="253" w:lineRule="auto"/>
        <w:ind w:left="14" w:right="0" w:firstLine="0"/>
        <w:rPr>
          <w:sz w:val="24"/>
        </w:rPr>
      </w:pPr>
      <w:r>
        <w:rPr>
          <w:sz w:val="24"/>
        </w:rPr>
        <w:t>(Objednatel a Poskytovatel dále společně jako „Smluvní strany”)</w:t>
      </w:r>
    </w:p>
    <w:p w:rsidR="00403A18" w:rsidRDefault="00403A18">
      <w:pPr>
        <w:spacing w:after="2506" w:line="253" w:lineRule="auto"/>
        <w:ind w:left="14" w:right="0" w:firstLine="0"/>
      </w:pPr>
    </w:p>
    <w:p w:rsidR="00AB6135" w:rsidRDefault="00AB6135">
      <w:pPr>
        <w:spacing w:after="0" w:line="259" w:lineRule="auto"/>
        <w:ind w:left="96" w:right="0" w:firstLine="0"/>
        <w:jc w:val="center"/>
      </w:pPr>
    </w:p>
    <w:p w:rsidR="00AB6135" w:rsidRPr="00403A18" w:rsidRDefault="00403A18">
      <w:pPr>
        <w:spacing w:after="188" w:line="259" w:lineRule="auto"/>
        <w:ind w:left="279" w:right="0" w:hanging="10"/>
        <w:jc w:val="center"/>
        <w:rPr>
          <w:b/>
          <w:u w:val="single"/>
        </w:rPr>
      </w:pPr>
      <w:r w:rsidRPr="00403A18">
        <w:rPr>
          <w:b/>
          <w:sz w:val="26"/>
          <w:u w:val="single"/>
        </w:rPr>
        <w:t>I.</w:t>
      </w:r>
      <w:r w:rsidRPr="00403A18">
        <w:rPr>
          <w:b/>
          <w:sz w:val="26"/>
          <w:u w:val="single"/>
        </w:rPr>
        <w:t xml:space="preserve"> P</w:t>
      </w:r>
      <w:r w:rsidRPr="00403A18">
        <w:rPr>
          <w:b/>
          <w:sz w:val="26"/>
          <w:u w:val="single"/>
        </w:rPr>
        <w:t>ředmět Dodatku</w:t>
      </w:r>
    </w:p>
    <w:p w:rsidR="00AB6135" w:rsidRDefault="00403A18">
      <w:pPr>
        <w:ind w:left="14" w:right="0"/>
      </w:pPr>
      <w:r>
        <w:t>Smluvní strany se dohodly na posunu doby plnění a změně platebních podmínek z důvodu, kdy nedokončení stavby v úseku I/20 Bezvěrov neumožnilo zajištění měření hluku z dopravy za vhodných meteorologických podmínek v souladu s normativními postupy,</w:t>
      </w:r>
    </w:p>
    <w:p w:rsidR="00AB6135" w:rsidRPr="00403A18" w:rsidRDefault="00403A18">
      <w:pPr>
        <w:spacing w:after="188" w:line="259" w:lineRule="auto"/>
        <w:ind w:left="279" w:right="86" w:hanging="10"/>
        <w:jc w:val="center"/>
        <w:rPr>
          <w:b/>
          <w:u w:val="single"/>
        </w:rPr>
      </w:pPr>
      <w:r w:rsidRPr="00403A18">
        <w:rPr>
          <w:b/>
          <w:sz w:val="24"/>
          <w:u w:val="single"/>
        </w:rPr>
        <w:t>II.</w:t>
      </w:r>
      <w:r w:rsidRPr="00403A18">
        <w:rPr>
          <w:b/>
          <w:sz w:val="24"/>
          <w:u w:val="single"/>
        </w:rPr>
        <w:t xml:space="preserve"> Z</w:t>
      </w:r>
      <w:r w:rsidRPr="00403A18">
        <w:rPr>
          <w:b/>
          <w:sz w:val="24"/>
          <w:u w:val="single"/>
        </w:rPr>
        <w:t xml:space="preserve">měna </w:t>
      </w:r>
      <w:r w:rsidRPr="00403A18">
        <w:rPr>
          <w:b/>
          <w:sz w:val="24"/>
          <w:u w:val="single"/>
        </w:rPr>
        <w:t xml:space="preserve">čl. III. </w:t>
      </w:r>
      <w:proofErr w:type="gramStart"/>
      <w:r w:rsidRPr="00403A18">
        <w:rPr>
          <w:b/>
          <w:sz w:val="24"/>
          <w:u w:val="single"/>
        </w:rPr>
        <w:t>Doba</w:t>
      </w:r>
      <w:proofErr w:type="gramEnd"/>
      <w:r w:rsidRPr="00403A18">
        <w:rPr>
          <w:b/>
          <w:sz w:val="24"/>
          <w:u w:val="single"/>
        </w:rPr>
        <w:t xml:space="preserve"> p</w:t>
      </w:r>
      <w:r w:rsidRPr="00403A18">
        <w:rPr>
          <w:b/>
          <w:sz w:val="24"/>
          <w:u w:val="single"/>
        </w:rPr>
        <w:t>lnění,</w:t>
      </w:r>
      <w:r w:rsidRPr="00403A1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proofErr w:type="gramStart"/>
      <w:r w:rsidRPr="00403A18">
        <w:rPr>
          <w:b/>
          <w:sz w:val="24"/>
          <w:u w:val="single"/>
        </w:rPr>
        <w:t>který</w:t>
      </w:r>
      <w:proofErr w:type="gramEnd"/>
      <w:r w:rsidRPr="00403A18">
        <w:rPr>
          <w:b/>
          <w:sz w:val="24"/>
          <w:u w:val="single"/>
        </w:rPr>
        <w:t xml:space="preserve"> nově zní:</w:t>
      </w:r>
      <w:r w:rsidRPr="00403A18">
        <w:rPr>
          <w:b/>
          <w:noProof/>
          <w:u w:val="single"/>
        </w:rPr>
        <w:drawing>
          <wp:inline distT="0" distB="0" distL="0" distR="0">
            <wp:extent cx="3048" cy="3049"/>
            <wp:effectExtent l="0" t="0" r="0" b="0"/>
            <wp:docPr id="2608" name="Picture 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" name="Picture 2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35" w:rsidRDefault="00403A18">
      <w:pPr>
        <w:spacing w:after="184" w:line="259" w:lineRule="auto"/>
        <w:ind w:left="58" w:right="0" w:hanging="10"/>
        <w:jc w:val="center"/>
      </w:pPr>
      <w:r>
        <w:rPr>
          <w:noProof/>
        </w:rPr>
        <w:t xml:space="preserve">III. </w:t>
      </w:r>
      <w:r>
        <w:rPr>
          <w:sz w:val="24"/>
        </w:rPr>
        <w:t>Doba plnění</w:t>
      </w:r>
    </w:p>
    <w:p w:rsidR="00AB6135" w:rsidRDefault="00403A18">
      <w:pPr>
        <w:spacing w:after="113"/>
        <w:ind w:left="417" w:right="0" w:hanging="326"/>
      </w:pPr>
      <w:proofErr w:type="gramStart"/>
      <w:r>
        <w:t>l . Zhotovitel</w:t>
      </w:r>
      <w:proofErr w:type="gramEnd"/>
      <w:r>
        <w:t xml:space="preserve"> je povinen zahájit provádění Díla nejdříve v den uveřejnění smlouvy v Registru smluv.</w:t>
      </w:r>
    </w:p>
    <w:p w:rsidR="00AB6135" w:rsidRPr="00403A18" w:rsidRDefault="00403A18">
      <w:pPr>
        <w:ind w:left="418" w:right="0"/>
        <w:rPr>
          <w:b/>
        </w:rPr>
      </w:pPr>
      <w:r>
        <w:t xml:space="preserve">Poskytovatel je povinen poskytnout Služby Objednateli </w:t>
      </w:r>
      <w:r w:rsidRPr="00403A18">
        <w:rPr>
          <w:b/>
          <w:u w:val="single" w:color="000000"/>
        </w:rPr>
        <w:t>do 31. 5. 2018</w:t>
      </w:r>
      <w:r w:rsidRPr="00403A18">
        <w:rPr>
          <w:b/>
        </w:rPr>
        <w:t>.</w:t>
      </w:r>
    </w:p>
    <w:p w:rsidR="00AB6135" w:rsidRPr="00403A18" w:rsidRDefault="00403A18">
      <w:pPr>
        <w:spacing w:after="188" w:line="259" w:lineRule="auto"/>
        <w:ind w:left="279" w:right="226" w:hanging="10"/>
        <w:jc w:val="center"/>
        <w:rPr>
          <w:b/>
          <w:u w:val="single"/>
        </w:rPr>
      </w:pPr>
      <w:r w:rsidRPr="00403A18">
        <w:rPr>
          <w:b/>
          <w:sz w:val="24"/>
          <w:u w:val="single"/>
        </w:rPr>
        <w:t>III.</w:t>
      </w:r>
      <w:r w:rsidRPr="00403A18">
        <w:rPr>
          <w:b/>
          <w:sz w:val="24"/>
          <w:u w:val="single"/>
        </w:rPr>
        <w:t xml:space="preserve"> </w:t>
      </w:r>
      <w:r w:rsidRPr="00403A18">
        <w:rPr>
          <w:b/>
          <w:sz w:val="24"/>
          <w:u w:val="single"/>
        </w:rPr>
        <w:t xml:space="preserve">Změna čl. V. </w:t>
      </w:r>
      <w:r w:rsidRPr="00403A18">
        <w:rPr>
          <w:b/>
          <w:sz w:val="24"/>
          <w:u w:val="single"/>
        </w:rPr>
        <w:t>Pl</w:t>
      </w:r>
      <w:r w:rsidRPr="00403A18">
        <w:rPr>
          <w:b/>
          <w:sz w:val="24"/>
          <w:u w:val="single"/>
        </w:rPr>
        <w:t>ateb</w:t>
      </w:r>
      <w:r w:rsidRPr="00403A18">
        <w:rPr>
          <w:b/>
          <w:sz w:val="24"/>
          <w:u w:val="single"/>
        </w:rPr>
        <w:t>ní</w:t>
      </w:r>
      <w:r>
        <w:rPr>
          <w:b/>
          <w:sz w:val="24"/>
          <w:u w:val="single"/>
        </w:rPr>
        <w:t xml:space="preserve"> podmínky, který</w:t>
      </w:r>
      <w:r w:rsidRPr="00403A18">
        <w:rPr>
          <w:b/>
          <w:sz w:val="24"/>
          <w:u w:val="single"/>
        </w:rPr>
        <w:t xml:space="preserve"> nově zní:</w:t>
      </w:r>
    </w:p>
    <w:p w:rsidR="00AB6135" w:rsidRDefault="00403A18">
      <w:pPr>
        <w:spacing w:after="78" w:line="259" w:lineRule="auto"/>
        <w:ind w:left="58" w:right="29" w:hanging="10"/>
        <w:jc w:val="center"/>
      </w:pPr>
      <w:r>
        <w:rPr>
          <w:sz w:val="24"/>
        </w:rPr>
        <w:t>V. Platební podmínky</w:t>
      </w:r>
    </w:p>
    <w:p w:rsidR="00AB6135" w:rsidRDefault="00403A18">
      <w:pPr>
        <w:spacing w:after="147"/>
        <w:ind w:left="336" w:right="0" w:hanging="322"/>
      </w:pPr>
      <w:proofErr w:type="gramStart"/>
      <w:r>
        <w:t>l . Objednatel</w:t>
      </w:r>
      <w:proofErr w:type="gramEnd"/>
      <w:r>
        <w:t xml:space="preserve"> se zavazuje uhradit Cenu bankovním převodem na účet Poskytovatele uvedený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této Smlouvě,</w:t>
      </w:r>
      <w:r>
        <w:t xml:space="preserve"> a to na základě daňového dokladu dílčích faktur vystavených Poskytovatelem s termínem splatnosti 30 dnů o</w:t>
      </w:r>
      <w:r>
        <w:t>de dne odeslání (předání) dílčí faktury</w:t>
      </w:r>
      <w:r>
        <w:t xml:space="preserve"> Objednateli. Konečnou fakturu lze předložit Objednateli nejdříve po protokolárním převzetí Služeb Objednatelem bez vad, resp. po odstranění všech vad poskytnutých Služeb Posky</w:t>
      </w:r>
      <w:r>
        <w:t>tovatelem.</w:t>
      </w:r>
    </w:p>
    <w:p w:rsidR="00AB6135" w:rsidRDefault="00403A18">
      <w:pPr>
        <w:spacing w:after="168"/>
        <w:ind w:left="14" w:right="0"/>
      </w:pPr>
      <w:r>
        <w:t>2.</w:t>
      </w:r>
      <w:bookmarkStart w:id="0" w:name="_GoBack"/>
      <w:bookmarkEnd w:id="0"/>
      <w:r>
        <w:t xml:space="preserve"> Celková fa</w:t>
      </w:r>
      <w:r>
        <w:t>kturovaná Cena mu</w:t>
      </w:r>
      <w:r>
        <w:t>sí odpovídat Ceně uvedené ve čl. IV. této Smlouvy.</w:t>
      </w:r>
    </w:p>
    <w:p w:rsidR="00AB6135" w:rsidRDefault="00403A18">
      <w:pPr>
        <w:numPr>
          <w:ilvl w:val="0"/>
          <w:numId w:val="1"/>
        </w:numPr>
        <w:spacing w:after="155"/>
        <w:ind w:right="0" w:hanging="360"/>
      </w:pPr>
      <w:r>
        <w:t xml:space="preserve">Faktura musí obsahovat veškeré náležitosti stanovené právním řádem, zejména ust. § </w:t>
      </w:r>
      <w:r>
        <w:t xml:space="preserve">28 a </w:t>
      </w:r>
      <w:r>
        <w:rPr>
          <w:noProof/>
        </w:rPr>
        <w:t xml:space="preserve">§ </w:t>
      </w:r>
      <w:r>
        <w:t>29 zákona č. 235/2004 Sb. a ust. 435 Občanského zákoníku.</w:t>
      </w:r>
    </w:p>
    <w:p w:rsidR="00AB6135" w:rsidRDefault="00403A18">
      <w:pPr>
        <w:numPr>
          <w:ilvl w:val="0"/>
          <w:numId w:val="1"/>
        </w:numPr>
        <w:ind w:right="0" w:hanging="360"/>
      </w:pPr>
      <w:r>
        <w:t>Objednatel neposkytuje žádné zálohy na Cenu.</w:t>
      </w:r>
    </w:p>
    <w:p w:rsidR="00AB6135" w:rsidRPr="00403A18" w:rsidRDefault="00403A18">
      <w:pPr>
        <w:spacing w:after="188" w:line="259" w:lineRule="auto"/>
        <w:ind w:left="279" w:right="283" w:hanging="10"/>
        <w:jc w:val="center"/>
        <w:rPr>
          <w:b/>
          <w:u w:val="single"/>
        </w:rPr>
      </w:pPr>
      <w:r w:rsidRPr="00403A18">
        <w:rPr>
          <w:b/>
          <w:sz w:val="24"/>
          <w:u w:val="single"/>
        </w:rPr>
        <w:t xml:space="preserve">IV. </w:t>
      </w:r>
      <w:r w:rsidRPr="00403A18">
        <w:rPr>
          <w:b/>
          <w:sz w:val="24"/>
          <w:u w:val="single"/>
        </w:rPr>
        <w:t>Závěrečná u</w:t>
      </w:r>
      <w:r w:rsidRPr="00403A18">
        <w:rPr>
          <w:b/>
          <w:sz w:val="24"/>
          <w:u w:val="single"/>
        </w:rPr>
        <w:t>stanovení Dodatku:</w:t>
      </w:r>
    </w:p>
    <w:p w:rsidR="00AB6135" w:rsidRDefault="00403A18">
      <w:pPr>
        <w:ind w:left="14" w:right="0"/>
      </w:pPr>
      <w:r>
        <w:t>Ostatní ustanovení smlouvy zůstávají v platnosti beze změn.</w:t>
      </w:r>
    </w:p>
    <w:p w:rsidR="00AB6135" w:rsidRDefault="00403A18">
      <w:pPr>
        <w:ind w:left="14" w:right="0"/>
      </w:pPr>
      <w:r>
        <w:t>Oboustranně podepsaný Dodatek č.</w:t>
      </w:r>
      <w:r>
        <w:t xml:space="preserve"> 1 nabývá účinnosti dnem zveřejnění v registru smluv.</w:t>
      </w:r>
    </w:p>
    <w:p w:rsidR="00AB6135" w:rsidRDefault="00403A18">
      <w:pPr>
        <w:spacing w:after="570" w:line="253" w:lineRule="auto"/>
        <w:ind w:left="14" w:right="0" w:firstLine="0"/>
      </w:pPr>
      <w:r>
        <w:rPr>
          <w:sz w:val="24"/>
        </w:rPr>
        <w:t>Dodatek č. 1</w:t>
      </w:r>
      <w:r>
        <w:rPr>
          <w:sz w:val="24"/>
        </w:rPr>
        <w:t xml:space="preserve"> je ve 4 vyhotoveních, každé z nich je originálem smlouvy. Obě smluvní strany o</w:t>
      </w:r>
      <w:r>
        <w:rPr>
          <w:sz w:val="24"/>
        </w:rPr>
        <w:t>bdrží 2 vyhotovení.</w:t>
      </w:r>
    </w:p>
    <w:p w:rsidR="00AB6135" w:rsidRDefault="00403A18" w:rsidP="00403A18">
      <w:pPr>
        <w:spacing w:after="1140" w:line="380" w:lineRule="auto"/>
        <w:ind w:left="86" w:right="1205" w:firstLine="0"/>
      </w:pPr>
      <w:r>
        <w:rPr>
          <w:sz w:val="24"/>
        </w:rPr>
        <w:t xml:space="preserve">V Plzni dne </w:t>
      </w:r>
      <w:r>
        <w:rPr>
          <w:noProof/>
        </w:rPr>
        <w:t xml:space="preserve"> 30-11-2017</w:t>
      </w:r>
      <w:r>
        <w:rPr>
          <w:sz w:val="24"/>
        </w:rPr>
        <w:t xml:space="preserve">                                        V Praze dne 28. 11</w:t>
      </w:r>
      <w:r>
        <w:rPr>
          <w:sz w:val="24"/>
        </w:rPr>
        <w:t xml:space="preserve">.2017 </w:t>
      </w:r>
    </w:p>
    <w:p w:rsidR="00AB6135" w:rsidRDefault="00403A18">
      <w:pPr>
        <w:tabs>
          <w:tab w:val="center" w:pos="1801"/>
          <w:tab w:val="center" w:pos="4313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ab/>
      </w:r>
    </w:p>
    <w:sectPr w:rsidR="00AB6135">
      <w:type w:val="continuous"/>
      <w:pgSz w:w="11906" w:h="16838"/>
      <w:pgMar w:top="1281" w:right="1819" w:bottom="85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B79"/>
    <w:multiLevelType w:val="hybridMultilevel"/>
    <w:tmpl w:val="81249F02"/>
    <w:lvl w:ilvl="0" w:tplc="A3CC764A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6236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8EF6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6640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09FE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34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2D3A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8B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6D13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5"/>
    <w:rsid w:val="00403A18"/>
    <w:rsid w:val="00A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B3A"/>
  <w15:docId w15:val="{5828719B-3C01-4852-99F9-5B201BB5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7" w:line="257" w:lineRule="auto"/>
      <w:ind w:left="82" w:right="941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2255</Characters>
  <Application>Microsoft Office Word</Application>
  <DocSecurity>0</DocSecurity>
  <Lines>18</Lines>
  <Paragraphs>5</Paragraphs>
  <ScaleCrop>false</ScaleCrop>
  <Company>RSD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2017-11-30T08:59:00Z</dcterms:created>
  <dcterms:modified xsi:type="dcterms:W3CDTF">2017-11-30T08:59:00Z</dcterms:modified>
</cp:coreProperties>
</file>