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9F" w:rsidRDefault="00717D9F">
      <w:pPr>
        <w:rPr>
          <w:sz w:val="2"/>
          <w:szCs w:val="2"/>
        </w:rPr>
      </w:pPr>
      <w:r w:rsidRPr="00717D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54.4pt;margin-top:589.6pt;width:121.9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717D9F">
        <w:pict>
          <v:shape id="_x0000_s1028" type="#_x0000_t32" style="position:absolute;margin-left:454.4pt;margin-top:589.6pt;width:0;height:23.0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717D9F">
        <w:pict>
          <v:shape id="_x0000_s1027" type="#_x0000_t32" style="position:absolute;margin-left:454.4pt;margin-top:612.65pt;width:121.9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717D9F">
        <w:pict>
          <v:shape id="_x0000_s1026" type="#_x0000_t32" style="position:absolute;margin-left:576.35pt;margin-top:589.6pt;width:0;height:23.0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717D9F" w:rsidRDefault="00764AFC">
      <w:pPr>
        <w:pStyle w:val="Heading20"/>
        <w:framePr w:w="7402" w:h="9284" w:hRule="exact" w:wrap="none" w:vAnchor="page" w:hAnchor="page" w:x="1232" w:y="2755"/>
        <w:shd w:val="clear" w:color="auto" w:fill="auto"/>
      </w:pPr>
      <w:bookmarkStart w:id="0" w:name="bookmark0"/>
      <w:r>
        <w:t xml:space="preserve">Hudební divadlo v </w:t>
      </w:r>
      <w:proofErr w:type="spellStart"/>
      <w:r>
        <w:t>Karl</w:t>
      </w:r>
      <w:r w:rsidR="001F0808">
        <w:t>í</w:t>
      </w:r>
      <w:r>
        <w:t>ně</w:t>
      </w:r>
      <w:bookmarkEnd w:id="0"/>
      <w:proofErr w:type="spellEnd"/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ind w:firstLine="0"/>
      </w:pPr>
      <w:r>
        <w:t xml:space="preserve">se sídlem Praha 8, Křižíkova 10, PSČ: 186 </w:t>
      </w:r>
      <w:r w:rsidR="001F0808">
        <w:t xml:space="preserve">00                                                                                          </w:t>
      </w:r>
      <w:r>
        <w:t>IČ: 00064335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ind w:firstLine="0"/>
      </w:pPr>
      <w:r>
        <w:t>zastoupená ředitelem Bc. Egonem Kulhánkem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29"/>
        <w:ind w:firstLine="0"/>
      </w:pPr>
      <w:r>
        <w:t xml:space="preserve">(dále </w:t>
      </w:r>
      <w:proofErr w:type="gramStart"/>
      <w:r>
        <w:t>jen ,,HDK</w:t>
      </w:r>
      <w:proofErr w:type="gramEnd"/>
      <w:r>
        <w:t>“)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11" w:line="210" w:lineRule="exact"/>
        <w:ind w:firstLine="0"/>
      </w:pPr>
      <w:r>
        <w:t>a</w:t>
      </w:r>
    </w:p>
    <w:p w:rsidR="00717D9F" w:rsidRDefault="00764AFC">
      <w:pPr>
        <w:pStyle w:val="Heading20"/>
        <w:framePr w:w="7402" w:h="9284" w:hRule="exact" w:wrap="none" w:vAnchor="page" w:hAnchor="page" w:x="1232" w:y="2755"/>
        <w:shd w:val="clear" w:color="auto" w:fill="auto"/>
      </w:pPr>
      <w:bookmarkStart w:id="1" w:name="bookmark1"/>
      <w:r>
        <w:t>Národní divadlo</w:t>
      </w:r>
      <w:bookmarkEnd w:id="1"/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ind w:firstLine="0"/>
      </w:pPr>
      <w:r>
        <w:t>se sídlem Praha 1, Ostrovní 1, PSČ: 112 30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ind w:firstLine="0"/>
      </w:pPr>
      <w:r>
        <w:t>IČ: 00023337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ind w:firstLine="0"/>
      </w:pPr>
      <w:r>
        <w:t>zastoupené ředitelem</w:t>
      </w:r>
      <w:r w:rsidR="001F0808">
        <w:t xml:space="preserve">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proofErr w:type="spellStart"/>
      <w:r>
        <w:t>MgA</w:t>
      </w:r>
      <w:proofErr w:type="spellEnd"/>
      <w:r>
        <w:t>. Janem Burianem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29"/>
        <w:ind w:firstLine="0"/>
      </w:pPr>
      <w:r>
        <w:t>(dále jen „Národní divadlo</w:t>
      </w:r>
      <w:r w:rsidR="001F0808">
        <w:t>“</w:t>
      </w:r>
      <w:r>
        <w:t>)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02" w:line="210" w:lineRule="exact"/>
        <w:ind w:firstLine="0"/>
      </w:pPr>
      <w:r>
        <w:t xml:space="preserve">uzavírají níže uvedeného dne, měsíce a </w:t>
      </w:r>
      <w:proofErr w:type="gramStart"/>
      <w:r>
        <w:t>roku</w:t>
      </w:r>
      <w:r w:rsidR="001F0808">
        <w:t xml:space="preserve"> </w:t>
      </w:r>
      <w:r>
        <w:t xml:space="preserve"> tento</w:t>
      </w:r>
      <w:proofErr w:type="gramEnd"/>
    </w:p>
    <w:p w:rsidR="00717D9F" w:rsidRDefault="00764AFC">
      <w:pPr>
        <w:pStyle w:val="Heading10"/>
        <w:framePr w:w="7402" w:h="9284" w:hRule="exact" w:wrap="none" w:vAnchor="page" w:hAnchor="page" w:x="1232" w:y="2755"/>
        <w:shd w:val="clear" w:color="auto" w:fill="auto"/>
        <w:spacing w:before="0"/>
        <w:ind w:left="20"/>
      </w:pPr>
      <w:bookmarkStart w:id="2" w:name="bookmark2"/>
      <w:r>
        <w:t>DODATEK č. 2</w:t>
      </w:r>
      <w:bookmarkEnd w:id="2"/>
    </w:p>
    <w:p w:rsidR="00717D9F" w:rsidRDefault="00764AFC">
      <w:pPr>
        <w:pStyle w:val="Heading10"/>
        <w:framePr w:w="7402" w:h="9284" w:hRule="exact" w:wrap="none" w:vAnchor="page" w:hAnchor="page" w:x="1232" w:y="2755"/>
        <w:shd w:val="clear" w:color="auto" w:fill="auto"/>
        <w:spacing w:before="0" w:after="229"/>
        <w:ind w:left="20"/>
      </w:pPr>
      <w:bookmarkStart w:id="3" w:name="bookmark3"/>
      <w:r>
        <w:t>ke smlouvě o společném pořádání děl:</w:t>
      </w:r>
      <w:bookmarkEnd w:id="3"/>
    </w:p>
    <w:p w:rsidR="00717D9F" w:rsidRDefault="00764AFC">
      <w:pPr>
        <w:pStyle w:val="Bodytext30"/>
        <w:framePr w:w="7402" w:h="9284" w:hRule="exact" w:wrap="none" w:vAnchor="page" w:hAnchor="page" w:x="1232" w:y="2755"/>
        <w:shd w:val="clear" w:color="auto" w:fill="auto"/>
        <w:spacing w:before="0"/>
        <w:ind w:left="20"/>
      </w:pPr>
      <w:r>
        <w:t>ČI. 1</w:t>
      </w:r>
    </w:p>
    <w:p w:rsidR="00717D9F" w:rsidRDefault="00764AFC">
      <w:pPr>
        <w:pStyle w:val="Bodytext40"/>
        <w:framePr w:w="7402" w:h="9284" w:hRule="exact" w:wrap="none" w:vAnchor="page" w:hAnchor="page" w:x="1232" w:y="2755"/>
        <w:shd w:val="clear" w:color="auto" w:fill="auto"/>
        <w:ind w:left="20"/>
      </w:pPr>
      <w:r>
        <w:t>Úvodní ustanovení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20"/>
        <w:ind w:left="600"/>
        <w:jc w:val="both"/>
      </w:pPr>
      <w:r>
        <w:t xml:space="preserve">1. Smluvní strany HDK a Národní divadlo uzavřely dne 16. 5. 2016 smlouvu o </w:t>
      </w:r>
      <w:r>
        <w:t xml:space="preserve">společném pořádání děl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4000/2016, kterou se stanoví práva a povinnosti smluvních stran při společném pořádání představení/děl z repertoáru Národního divadla - Státní opery v prostorách, které užívá HDK (dále „Smlouva</w:t>
      </w:r>
      <w:r>
        <w:rPr>
          <w:vertAlign w:val="superscript"/>
        </w:rPr>
        <w:t>44</w:t>
      </w:r>
      <w:r>
        <w:t>). Smlouva byla dne 20. 6. 2016 d</w:t>
      </w:r>
      <w:r>
        <w:t>oplněna jedním dodatkem.</w:t>
      </w:r>
    </w:p>
    <w:p w:rsidR="00717D9F" w:rsidRDefault="00764AFC">
      <w:pPr>
        <w:pStyle w:val="Bodytext30"/>
        <w:framePr w:w="7402" w:h="9284" w:hRule="exact" w:wrap="none" w:vAnchor="page" w:hAnchor="page" w:x="1232" w:y="2755"/>
        <w:shd w:val="clear" w:color="auto" w:fill="auto"/>
        <w:spacing w:before="0"/>
        <w:ind w:left="20"/>
      </w:pPr>
      <w:r>
        <w:t>ČI. 2</w:t>
      </w:r>
    </w:p>
    <w:p w:rsidR="00717D9F" w:rsidRDefault="00764AFC">
      <w:pPr>
        <w:pStyle w:val="Bodytext40"/>
        <w:framePr w:w="7402" w:h="9284" w:hRule="exact" w:wrap="none" w:vAnchor="page" w:hAnchor="page" w:x="1232" w:y="2755"/>
        <w:shd w:val="clear" w:color="auto" w:fill="auto"/>
        <w:ind w:left="20"/>
      </w:pPr>
      <w:r>
        <w:t>Předmět dodatku</w:t>
      </w:r>
    </w:p>
    <w:p w:rsidR="00717D9F" w:rsidRDefault="00764AFC">
      <w:pPr>
        <w:pStyle w:val="Bodytext20"/>
        <w:framePr w:w="7402" w:h="9284" w:hRule="exact" w:wrap="none" w:vAnchor="page" w:hAnchor="page" w:x="1232" w:y="2755"/>
        <w:shd w:val="clear" w:color="auto" w:fill="auto"/>
        <w:spacing w:after="220"/>
        <w:ind w:left="600"/>
        <w:jc w:val="both"/>
      </w:pPr>
      <w:r>
        <w:t>1. Smluvní strany se shodly, že Národní divadlo je povinno, ihned po zveřejnění vlastního hracího plánu, včetně jeho aktuálních dílčích změn, tento/tyto bez prodlení elektronicky zaslat a oznámit HDK.</w:t>
      </w:r>
    </w:p>
    <w:p w:rsidR="00717D9F" w:rsidRDefault="00764AFC">
      <w:pPr>
        <w:pStyle w:val="Bodytext30"/>
        <w:framePr w:w="7402" w:h="9284" w:hRule="exact" w:wrap="none" w:vAnchor="page" w:hAnchor="page" w:x="1232" w:y="2755"/>
        <w:shd w:val="clear" w:color="auto" w:fill="auto"/>
        <w:spacing w:before="0"/>
        <w:ind w:left="20"/>
      </w:pPr>
      <w:r>
        <w:t>ČI. 3</w:t>
      </w:r>
    </w:p>
    <w:p w:rsidR="00717D9F" w:rsidRDefault="00764AFC">
      <w:pPr>
        <w:pStyle w:val="Bodytext40"/>
        <w:framePr w:w="7402" w:h="9284" w:hRule="exact" w:wrap="none" w:vAnchor="page" w:hAnchor="page" w:x="1232" w:y="2755"/>
        <w:shd w:val="clear" w:color="auto" w:fill="auto"/>
        <w:ind w:left="20"/>
      </w:pPr>
      <w:r>
        <w:t>Zá</w:t>
      </w:r>
      <w:r>
        <w:t>věrečná ujednání</w:t>
      </w:r>
    </w:p>
    <w:p w:rsidR="00717D9F" w:rsidRDefault="00764AFC">
      <w:pPr>
        <w:pStyle w:val="Bodytext20"/>
        <w:framePr w:w="7402" w:h="9284" w:hRule="exact" w:wrap="none" w:vAnchor="page" w:hAnchor="page" w:x="1232" w:y="2755"/>
        <w:numPr>
          <w:ilvl w:val="0"/>
          <w:numId w:val="1"/>
        </w:numPr>
        <w:shd w:val="clear" w:color="auto" w:fill="auto"/>
        <w:tabs>
          <w:tab w:val="left" w:pos="645"/>
        </w:tabs>
        <w:ind w:left="600"/>
        <w:jc w:val="both"/>
      </w:pPr>
      <w:r>
        <w:t>Ostatní ustanovení Smlouvy zůstávají beze změny.</w:t>
      </w:r>
    </w:p>
    <w:p w:rsidR="00717D9F" w:rsidRDefault="00764AFC">
      <w:pPr>
        <w:pStyle w:val="Bodytext20"/>
        <w:framePr w:w="7402" w:h="9284" w:hRule="exact" w:wrap="none" w:vAnchor="page" w:hAnchor="page" w:x="1232" w:y="2755"/>
        <w:numPr>
          <w:ilvl w:val="0"/>
          <w:numId w:val="1"/>
        </w:numPr>
        <w:shd w:val="clear" w:color="auto" w:fill="auto"/>
        <w:tabs>
          <w:tab w:val="left" w:pos="654"/>
        </w:tabs>
        <w:ind w:left="600"/>
        <w:jc w:val="both"/>
      </w:pPr>
      <w:r>
        <w:t xml:space="preserve">Tento dodatek č. 2 se vyhotovuje ve dvou stejnopisech, přičemž každá ze stran obdrží po jednom vyhotovení. Tento dodatek č. 2 nabývá platnosti </w:t>
      </w:r>
      <w:r>
        <w:rPr>
          <w:rStyle w:val="Bodytext24"/>
        </w:rPr>
        <w:t>a účinno</w:t>
      </w:r>
      <w:r>
        <w:rPr>
          <w:rStyle w:val="Bodytext23"/>
        </w:rPr>
        <w:t>s</w:t>
      </w:r>
      <w:r>
        <w:rPr>
          <w:rStyle w:val="Bodytext24"/>
        </w:rPr>
        <w:t>ti</w:t>
      </w:r>
      <w:r>
        <w:rPr>
          <w:rStyle w:val="Bodytext23"/>
        </w:rPr>
        <w:t xml:space="preserve"> </w:t>
      </w:r>
      <w:r>
        <w:t xml:space="preserve">dnem jeho podpisu oběma smluvními stranami </w:t>
      </w:r>
      <w:r>
        <w:rPr>
          <w:rStyle w:val="Bodytext23"/>
        </w:rPr>
        <w:t xml:space="preserve">a </w:t>
      </w:r>
      <w:r>
        <w:rPr>
          <w:rStyle w:val="Bodytext22"/>
        </w:rPr>
        <w:t xml:space="preserve">účinnosti dnem jeho zveřejnění v registru smluv v souladu se zákonem č. 340/2015 </w:t>
      </w:r>
      <w:proofErr w:type="spellStart"/>
      <w:r>
        <w:rPr>
          <w:rStyle w:val="Bodytext22"/>
        </w:rPr>
        <w:t>Sb</w:t>
      </w:r>
      <w:proofErr w:type="spellEnd"/>
      <w:r>
        <w:rPr>
          <w:rStyle w:val="Bodytext22"/>
        </w:rPr>
        <w:t>„ které zajistí ND,</w:t>
      </w:r>
    </w:p>
    <w:p w:rsidR="00717D9F" w:rsidRDefault="00717D9F">
      <w:pPr>
        <w:pStyle w:val="Bodytext50"/>
        <w:framePr w:w="7402" w:h="9284" w:hRule="exact" w:wrap="none" w:vAnchor="page" w:hAnchor="page" w:x="1232" w:y="2755"/>
        <w:shd w:val="clear" w:color="auto" w:fill="auto"/>
        <w:ind w:left="600"/>
      </w:pPr>
    </w:p>
    <w:p w:rsidR="00717D9F" w:rsidRDefault="00764AFC">
      <w:pPr>
        <w:pStyle w:val="Bodytext60"/>
        <w:framePr w:w="2270" w:h="446" w:hRule="exact" w:wrap="none" w:vAnchor="page" w:hAnchor="page" w:x="9147" w:y="11804"/>
        <w:shd w:val="clear" w:color="auto" w:fill="auto"/>
      </w:pPr>
      <w:r>
        <w:rPr>
          <w:rStyle w:val="Bodytext6Bold"/>
        </w:rPr>
        <w:t xml:space="preserve">Naformátováno: </w:t>
      </w:r>
      <w:r>
        <w:t>Odsazení: Vlevo: 1,27 cm, Bez odrážek a číslování</w:t>
      </w:r>
    </w:p>
    <w:p w:rsidR="00717D9F" w:rsidRDefault="00764AFC">
      <w:pPr>
        <w:pStyle w:val="Headerorfooter0"/>
        <w:framePr w:wrap="none" w:vAnchor="page" w:hAnchor="page" w:x="1213" w:y="12662"/>
        <w:shd w:val="clear" w:color="auto" w:fill="auto"/>
      </w:pPr>
      <w:r>
        <w:t xml:space="preserve">V Praze, dne: </w:t>
      </w:r>
      <w:proofErr w:type="gramStart"/>
      <w:r>
        <w:t>31.10.2017</w:t>
      </w:r>
      <w:proofErr w:type="gramEnd"/>
    </w:p>
    <w:p w:rsidR="00717D9F" w:rsidRDefault="00764AFC">
      <w:pPr>
        <w:pStyle w:val="Headerorfooter0"/>
        <w:framePr w:wrap="none" w:vAnchor="page" w:hAnchor="page" w:x="5806" w:y="12657"/>
        <w:shd w:val="clear" w:color="auto" w:fill="auto"/>
      </w:pPr>
      <w:r>
        <w:t>V Praze, dne:</w:t>
      </w:r>
    </w:p>
    <w:p w:rsidR="001F0808" w:rsidRPr="001F0808" w:rsidRDefault="001F0808" w:rsidP="001F0808">
      <w:pPr>
        <w:pStyle w:val="Bodytext20"/>
        <w:framePr w:wrap="none" w:vAnchor="page" w:hAnchor="page" w:x="1186" w:y="14791"/>
        <w:shd w:val="clear" w:color="auto" w:fill="auto"/>
        <w:spacing w:line="210" w:lineRule="exact"/>
        <w:ind w:firstLine="0"/>
      </w:pPr>
      <w:proofErr w:type="spellStart"/>
      <w:proofErr w:type="gramStart"/>
      <w:r w:rsidRPr="001F0808">
        <w:rPr>
          <w:lang w:val="en-US" w:eastAsia="en-US" w:bidi="en-US"/>
        </w:rPr>
        <w:t>Bc</w:t>
      </w:r>
      <w:proofErr w:type="spellEnd"/>
      <w:r w:rsidRPr="001F0808">
        <w:rPr>
          <w:lang w:val="en-US" w:eastAsia="en-US" w:bidi="en-US"/>
        </w:rPr>
        <w:t xml:space="preserve">. Egon </w:t>
      </w:r>
      <w:proofErr w:type="spellStart"/>
      <w:r w:rsidRPr="001F0808">
        <w:rPr>
          <w:lang w:val="en-US" w:eastAsia="en-US" w:bidi="en-US"/>
        </w:rPr>
        <w:t>Kulhánek</w:t>
      </w:r>
      <w:proofErr w:type="spellEnd"/>
      <w:r w:rsidRPr="001F0808">
        <w:rPr>
          <w:lang w:val="en-US" w:eastAsia="en-US" w:bidi="en-US"/>
        </w:rPr>
        <w:t xml:space="preserve">                                                                   </w:t>
      </w:r>
      <w:proofErr w:type="spellStart"/>
      <w:r w:rsidRPr="001F0808">
        <w:rPr>
          <w:lang w:val="en-US" w:eastAsia="en-US" w:bidi="en-US"/>
        </w:rPr>
        <w:t>prof</w:t>
      </w:r>
      <w:proofErr w:type="spellEnd"/>
      <w:r w:rsidRPr="001F0808">
        <w:rPr>
          <w:lang w:val="en-US" w:eastAsia="en-US" w:bidi="en-US"/>
        </w:rPr>
        <w:t xml:space="preserve">. </w:t>
      </w:r>
      <w:proofErr w:type="spellStart"/>
      <w:r w:rsidRPr="001F0808">
        <w:t>MgA</w:t>
      </w:r>
      <w:proofErr w:type="spellEnd"/>
      <w:r w:rsidRPr="001F0808">
        <w:t>.</w:t>
      </w:r>
      <w:proofErr w:type="gramEnd"/>
      <w:r w:rsidRPr="001F0808">
        <w:t xml:space="preserve"> Jan Burian</w:t>
      </w:r>
    </w:p>
    <w:p w:rsidR="00717D9F" w:rsidRPr="001F0808" w:rsidRDefault="00717D9F">
      <w:pPr>
        <w:rPr>
          <w:sz w:val="2"/>
          <w:szCs w:val="2"/>
        </w:rPr>
        <w:sectPr w:rsidR="00717D9F" w:rsidRPr="001F08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7D9F" w:rsidRDefault="00717D9F" w:rsidP="001F0808">
      <w:pPr>
        <w:rPr>
          <w:sz w:val="2"/>
          <w:szCs w:val="2"/>
        </w:rPr>
      </w:pPr>
    </w:p>
    <w:sectPr w:rsidR="00717D9F" w:rsidSect="00717D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FC" w:rsidRDefault="00764AFC" w:rsidP="00717D9F">
      <w:r>
        <w:separator/>
      </w:r>
    </w:p>
  </w:endnote>
  <w:endnote w:type="continuationSeparator" w:id="0">
    <w:p w:rsidR="00764AFC" w:rsidRDefault="00764AFC" w:rsidP="0071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FC" w:rsidRDefault="00764AFC"/>
  </w:footnote>
  <w:footnote w:type="continuationSeparator" w:id="0">
    <w:p w:rsidR="00764AFC" w:rsidRDefault="00764A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2A5D"/>
    <w:multiLevelType w:val="multilevel"/>
    <w:tmpl w:val="F5127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76C6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17D9F"/>
    <w:rsid w:val="001F0808"/>
    <w:rsid w:val="00717D9F"/>
    <w:rsid w:val="0076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7D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717D9F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sid w:val="00717D9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717D9F"/>
    <w:rPr>
      <w:rFonts w:ascii="Times New Roman" w:eastAsia="Times New Roman" w:hAnsi="Times New Roman" w:cs="Times New Roman"/>
      <w:color w:val="E76172"/>
      <w:spacing w:val="0"/>
      <w:w w:val="100"/>
      <w:position w:val="0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717D9F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717D9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sid w:val="00717D9F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 (2)"/>
    <w:basedOn w:val="Bodytext2"/>
    <w:rsid w:val="00717D9F"/>
    <w:rPr>
      <w:rFonts w:ascii="Times New Roman" w:eastAsia="Times New Roman" w:hAnsi="Times New Roman" w:cs="Times New Roman"/>
      <w:color w:val="1C76C6"/>
      <w:spacing w:val="0"/>
      <w:w w:val="100"/>
      <w:position w:val="0"/>
      <w:u w:val="single"/>
      <w:lang w:val="cs-CZ" w:eastAsia="cs-CZ" w:bidi="cs-CZ"/>
    </w:rPr>
  </w:style>
  <w:style w:type="character" w:customStyle="1" w:styleId="Bodytext23">
    <w:name w:val="Body text (2)"/>
    <w:basedOn w:val="Bodytext2"/>
    <w:rsid w:val="00717D9F"/>
    <w:rPr>
      <w:rFonts w:ascii="Times New Roman" w:eastAsia="Times New Roman" w:hAnsi="Times New Roman" w:cs="Times New Roman"/>
      <w:color w:val="1C76C6"/>
      <w:spacing w:val="0"/>
      <w:w w:val="100"/>
      <w:position w:val="0"/>
      <w:lang w:val="cs-CZ" w:eastAsia="cs-CZ" w:bidi="cs-CZ"/>
    </w:rPr>
  </w:style>
  <w:style w:type="character" w:customStyle="1" w:styleId="Bodytext24">
    <w:name w:val="Body text (2)"/>
    <w:basedOn w:val="Bodytext2"/>
    <w:rsid w:val="00717D9F"/>
    <w:rPr>
      <w:rFonts w:ascii="Times New Roman" w:eastAsia="Times New Roman" w:hAnsi="Times New Roman" w:cs="Times New Roman"/>
      <w:strike/>
      <w:color w:val="1C76C6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717D9F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sid w:val="00717D9F"/>
    <w:rPr>
      <w:color w:val="1C76C6"/>
      <w:spacing w:val="0"/>
      <w:w w:val="100"/>
      <w:position w:val="0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717D9F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Bold">
    <w:name w:val="Body text (6) + Bold"/>
    <w:basedOn w:val="Bodytext6"/>
    <w:rsid w:val="00717D9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717D9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0">
    <w:name w:val="Heading #2"/>
    <w:basedOn w:val="Normln"/>
    <w:link w:val="Heading2"/>
    <w:rsid w:val="00717D9F"/>
    <w:pPr>
      <w:shd w:val="clear" w:color="auto" w:fill="FFFFFF"/>
      <w:spacing w:line="221" w:lineRule="exact"/>
      <w:outlineLvl w:val="1"/>
    </w:pPr>
    <w:rPr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rsid w:val="00717D9F"/>
    <w:pPr>
      <w:shd w:val="clear" w:color="auto" w:fill="FFFFFF"/>
      <w:spacing w:line="221" w:lineRule="exact"/>
      <w:ind w:hanging="280"/>
    </w:pPr>
    <w:rPr>
      <w:sz w:val="19"/>
      <w:szCs w:val="19"/>
    </w:rPr>
  </w:style>
  <w:style w:type="paragraph" w:customStyle="1" w:styleId="Heading10">
    <w:name w:val="Heading #1"/>
    <w:basedOn w:val="Normln"/>
    <w:link w:val="Heading1"/>
    <w:rsid w:val="00717D9F"/>
    <w:pPr>
      <w:shd w:val="clear" w:color="auto" w:fill="FFFFFF"/>
      <w:spacing w:before="22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rsid w:val="00717D9F"/>
    <w:pPr>
      <w:shd w:val="clear" w:color="auto" w:fill="FFFFFF"/>
      <w:spacing w:before="220" w:line="221" w:lineRule="exact"/>
      <w:jc w:val="center"/>
    </w:pPr>
    <w:rPr>
      <w:sz w:val="19"/>
      <w:szCs w:val="19"/>
    </w:rPr>
  </w:style>
  <w:style w:type="paragraph" w:customStyle="1" w:styleId="Bodytext40">
    <w:name w:val="Body text (4)"/>
    <w:basedOn w:val="Normln"/>
    <w:link w:val="Bodytext4"/>
    <w:rsid w:val="00717D9F"/>
    <w:pPr>
      <w:shd w:val="clear" w:color="auto" w:fill="FFFFFF"/>
      <w:spacing w:line="221" w:lineRule="exact"/>
      <w:jc w:val="center"/>
    </w:pPr>
    <w:rPr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rsid w:val="00717D9F"/>
    <w:pPr>
      <w:shd w:val="clear" w:color="auto" w:fill="FFFFFF"/>
      <w:spacing w:line="221" w:lineRule="exact"/>
    </w:pPr>
    <w:rPr>
      <w:rFonts w:ascii="Microsoft YaHei" w:eastAsia="Microsoft YaHei" w:hAnsi="Microsoft YaHei" w:cs="Microsoft YaHei"/>
      <w:i/>
      <w:iCs/>
      <w:sz w:val="16"/>
      <w:szCs w:val="16"/>
    </w:rPr>
  </w:style>
  <w:style w:type="paragraph" w:customStyle="1" w:styleId="Bodytext60">
    <w:name w:val="Body text (6)"/>
    <w:basedOn w:val="Normln"/>
    <w:link w:val="Bodytext6"/>
    <w:rsid w:val="00717D9F"/>
    <w:pPr>
      <w:shd w:val="clear" w:color="auto" w:fill="FFFFFF"/>
      <w:spacing w:line="197" w:lineRule="exact"/>
      <w:jc w:val="both"/>
    </w:pPr>
    <w:rPr>
      <w:rFonts w:ascii="Microsoft YaHei" w:eastAsia="Microsoft YaHei" w:hAnsi="Microsoft YaHei" w:cs="Microsoft YaHei"/>
      <w:sz w:val="13"/>
      <w:szCs w:val="13"/>
    </w:rPr>
  </w:style>
  <w:style w:type="paragraph" w:customStyle="1" w:styleId="Headerorfooter0">
    <w:name w:val="Header or footer"/>
    <w:basedOn w:val="Normln"/>
    <w:link w:val="Headerorfooter"/>
    <w:rsid w:val="00717D9F"/>
    <w:pPr>
      <w:shd w:val="clear" w:color="auto" w:fill="FFFFFF"/>
      <w:spacing w:line="210" w:lineRule="exac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1439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2017-11-15T10:59:00Z</dcterms:created>
  <dcterms:modified xsi:type="dcterms:W3CDTF">2017-11-15T11:04:00Z</dcterms:modified>
</cp:coreProperties>
</file>