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74" w:rsidRPr="00A01BA8" w:rsidRDefault="00E06274" w:rsidP="00E06274">
      <w:pPr>
        <w:pStyle w:val="Nadpis4"/>
        <w:ind w:left="0"/>
        <w:jc w:val="both"/>
        <w:rPr>
          <w:rFonts w:cs="Arial"/>
          <w:sz w:val="16"/>
          <w:szCs w:val="16"/>
        </w:rPr>
      </w:pPr>
      <w:r w:rsidRPr="00A01BA8">
        <w:rPr>
          <w:rFonts w:cs="Arial"/>
          <w:sz w:val="16"/>
          <w:szCs w:val="16"/>
        </w:rPr>
        <w:t>Všeobecné obchodní podmínky společnosti Linde Gas a.s. pro dodávky kapalných plynů, plynů v lahvích, paletách, pevných svazcích, kontejnerech a trajlerech a ostatních produktů a služeb</w:t>
      </w:r>
    </w:p>
    <w:p w:rsidR="00E06274" w:rsidRPr="00B4553F" w:rsidRDefault="00E06274" w:rsidP="00E06274">
      <w:pPr>
        <w:ind w:firstLine="0"/>
        <w:jc w:val="both"/>
        <w:rPr>
          <w:rFonts w:cs="Arial"/>
          <w:sz w:val="12"/>
          <w:szCs w:val="12"/>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1. Platnost</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 xml:space="preserve">Všechny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zvláštní písemné smlouvy jinak. </w:t>
      </w:r>
    </w:p>
    <w:p w:rsidR="00E06274" w:rsidRDefault="00E06274" w:rsidP="00E06274">
      <w:pPr>
        <w:ind w:firstLine="0"/>
        <w:jc w:val="both"/>
        <w:rPr>
          <w:rFonts w:cs="Arial"/>
          <w:snapToGrid w:val="0"/>
          <w:sz w:val="12"/>
          <w:szCs w:val="12"/>
        </w:rPr>
      </w:pPr>
      <w:r w:rsidRPr="00A01BA8">
        <w:rPr>
          <w:rFonts w:cs="Arial"/>
          <w:snapToGrid w:val="0"/>
          <w:sz w:val="12"/>
          <w:szCs w:val="12"/>
        </w:rPr>
        <w:t>Pod pojmem lahev se rozumí kovová tlaková nádoba pro přepravu plynů do 90 l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odběru zboží, a pod nímž je veden aktuální stav zákazníkem pronajatých lahví, palet, pevných svazků, kontejnerů a jeho závazků.</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2. Doprava a zacházení s plyny, lahvemi, paletami, pevnými svazky a kontejnery</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 xml:space="preserve">Doprava plynů včetně lahví, palet, pevných svazků a kontejnerů se provádí z rampy prodejního místa Linde Gas a.s. (dále jen „Linde“). Při vlastním vyzvednutí nebo převzetí dopravcem, který </w:t>
      </w:r>
    </w:p>
    <w:p w:rsidR="00E06274" w:rsidRDefault="00E06274" w:rsidP="00E06274">
      <w:pPr>
        <w:ind w:firstLine="0"/>
        <w:jc w:val="both"/>
        <w:rPr>
          <w:rFonts w:cs="Arial"/>
          <w:snapToGrid w:val="0"/>
          <w:sz w:val="12"/>
          <w:szCs w:val="12"/>
        </w:rPr>
      </w:pPr>
      <w:r w:rsidRPr="00A01BA8">
        <w:rPr>
          <w:rFonts w:cs="Arial"/>
          <w:snapToGrid w:val="0"/>
          <w:sz w:val="12"/>
          <w:szCs w:val="12"/>
        </w:rPr>
        <w:t>je pověřen zákazníkem, je za provozně a přepravně bezpečnou nakládku a vykládku odpovědný zákazník, eventuálně pověřený dopravce. Zákazník musí dodržovat při zacházení a přepravě technických plynů stanovené předpisy, obzvláště ustanovení o bezpečnosti práce a předcházení úrazům, jakož i obecně uznávaná pravidla technologie včetně ČSN 078304 v jejich vždy platné podobě.</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3. Dodávky plynů</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 xml:space="preserve">Zásobovací zařízení Linde, do kterého zákazník odebírá kapalné technické plyny, je standardně vybaveno zařízením na dálkové sledování stavu zásoby technických plynů (služba Accura Liquid Management). Zákazník neobjednává jednotlivé dílčí dodávky, Linde dodává zákazníkovi technické plyny na základě stavu zjištěného prostřednictvím tohoto zařízení tak, aby měl zákazník </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v zásobovacím zařízení dostatečnou zásobu, s přihlédnutím k jeho obvyklé</w:t>
      </w:r>
      <w:bookmarkStart w:id="0" w:name="_GoBack"/>
      <w:bookmarkEnd w:id="0"/>
      <w:r w:rsidRPr="00A01BA8">
        <w:rPr>
          <w:rFonts w:cs="Arial"/>
          <w:snapToGrid w:val="0"/>
          <w:sz w:val="12"/>
          <w:szCs w:val="12"/>
        </w:rPr>
        <w:t xml:space="preserve"> spotřebě. </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Zákazník je povinen umožnit Linde dodávku technických plynů do zásobovacího zařízení kdykoliv 24 hodin denně a současně zajistit potvrzení převzetí dodávky odpovědným zástupcem.</w:t>
      </w:r>
    </w:p>
    <w:p w:rsidR="00E06274" w:rsidRPr="00A01BA8" w:rsidRDefault="00E06274" w:rsidP="00E06274">
      <w:pPr>
        <w:ind w:firstLine="0"/>
        <w:jc w:val="both"/>
        <w:rPr>
          <w:rFonts w:cs="Arial"/>
          <w:snapToGrid w:val="0"/>
          <w:sz w:val="4"/>
          <w:szCs w:val="4"/>
        </w:rPr>
      </w:pPr>
      <w:r w:rsidRPr="00A01BA8">
        <w:rPr>
          <w:rFonts w:cs="Arial"/>
          <w:snapToGrid w:val="0"/>
          <w:sz w:val="12"/>
          <w:szCs w:val="12"/>
        </w:rPr>
        <w:t>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w:t>
      </w:r>
      <w:r>
        <w:rPr>
          <w:rFonts w:cs="Arial"/>
          <w:snapToGrid w:val="0"/>
          <w:sz w:val="12"/>
          <w:szCs w:val="12"/>
        </w:rPr>
        <w:t>-</w:t>
      </w:r>
      <w:r w:rsidRPr="00A01BA8">
        <w:rPr>
          <w:rFonts w:cs="Arial"/>
          <w:snapToGrid w:val="0"/>
          <w:sz w:val="12"/>
          <w:szCs w:val="12"/>
        </w:rPr>
        <w:t xml:space="preserve">mailem nebo faxem. V případě porušení této povinnosti ze strany zákazníka, Linde negarantuje zajištění dostatečné zásoby kapalných technických plynů v zásobovacím zařízení Linde. </w:t>
      </w:r>
    </w:p>
    <w:p w:rsidR="00E06274" w:rsidRPr="00A01BA8" w:rsidRDefault="00E06274" w:rsidP="00E06274">
      <w:pPr>
        <w:pStyle w:val="Zkladntextodsazen2"/>
        <w:ind w:left="0" w:firstLine="0"/>
        <w:rPr>
          <w:rFonts w:cs="Arial"/>
          <w:sz w:val="12"/>
          <w:szCs w:val="12"/>
        </w:rPr>
      </w:pPr>
      <w:r w:rsidRPr="00A01BA8">
        <w:rPr>
          <w:rFonts w:cs="Arial"/>
          <w:sz w:val="12"/>
          <w:szCs w:val="12"/>
        </w:rPr>
        <w:t>V 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cisternách a trajlerech nejméně 3 pracovní dny před dnem dodání, v případě ostatních plynů nejpozději do 11. hodin pracovního dne předcházejícímu dni dodání. Splnění pozdějších objednávek nemůže Linde v krajních případech, zejména z přepravně kapacitních důvodů, garantovat. V případě dodávky zboží podléhající spotřební dani je zákazník povinen při objednání sdělit účel použití dle zákona o spotřebních daních.</w:t>
      </w:r>
    </w:p>
    <w:p w:rsidR="00E06274" w:rsidRDefault="00E06274" w:rsidP="00E06274">
      <w:pPr>
        <w:pStyle w:val="Zkladntextodsazen2"/>
        <w:ind w:left="0" w:firstLine="0"/>
        <w:rPr>
          <w:rFonts w:cs="Arial"/>
          <w:sz w:val="12"/>
          <w:szCs w:val="12"/>
        </w:rPr>
      </w:pPr>
      <w:r w:rsidRPr="00A01BA8">
        <w:rPr>
          <w:rFonts w:cs="Arial"/>
          <w:sz w:val="12"/>
          <w:szCs w:val="12"/>
        </w:rPr>
        <w:t>Cena plynů, ostatních produktů a služeb se řídí dle aktuálního ceníku společnosti Linde.</w:t>
      </w:r>
    </w:p>
    <w:p w:rsidR="00E06274" w:rsidRPr="00306F9D" w:rsidRDefault="00E06274" w:rsidP="00E06274">
      <w:pPr>
        <w:pStyle w:val="Zkladntextodsazen2"/>
        <w:ind w:left="0" w:firstLine="0"/>
        <w:rPr>
          <w:rFonts w:cs="Arial"/>
          <w:sz w:val="7"/>
          <w:szCs w:val="7"/>
        </w:rPr>
      </w:pPr>
    </w:p>
    <w:p w:rsidR="00E06274" w:rsidRPr="004818B4" w:rsidRDefault="00E06274" w:rsidP="00E06274">
      <w:pPr>
        <w:ind w:firstLine="0"/>
        <w:jc w:val="both"/>
        <w:rPr>
          <w:rFonts w:cs="Arial"/>
          <w:b/>
          <w:snapToGrid w:val="0"/>
          <w:sz w:val="12"/>
          <w:szCs w:val="12"/>
        </w:rPr>
      </w:pPr>
      <w:r w:rsidRPr="004818B4">
        <w:rPr>
          <w:rFonts w:cs="Arial"/>
          <w:b/>
          <w:snapToGrid w:val="0"/>
          <w:sz w:val="12"/>
          <w:szCs w:val="12"/>
        </w:rPr>
        <w:t>4. Pronájem lahví, palet, pevných svazků a kontejnerů (dále i „distribuční prostředky“)</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 xml:space="preserve">Za pronajaté distribuční prostředky je zákazník povinen platit nájemné. Podpisem dodacího listu zákazníkem vzniká nájemní vztah. Výše denního nájemného a dodatkového nájemného se řídí podle platných sazeb tak, jak jsou tyto zveřejněny na prodejních místech </w:t>
      </w:r>
      <w:r w:rsidRPr="00A01BA8">
        <w:rPr>
          <w:rFonts w:cs="Arial"/>
          <w:sz w:val="12"/>
          <w:szCs w:val="12"/>
        </w:rPr>
        <w:t>Linde</w:t>
      </w:r>
      <w:r w:rsidRPr="00A01BA8">
        <w:rPr>
          <w:rFonts w:cs="Arial"/>
          <w:snapToGrid w:val="0"/>
          <w:sz w:val="12"/>
          <w:szCs w:val="12"/>
        </w:rPr>
        <w:t>, která je oprávněna tyto sazby upravovat i v průběhu nájemního vztahu.</w:t>
      </w:r>
    </w:p>
    <w:p w:rsidR="00E06274" w:rsidRPr="00A01BA8" w:rsidRDefault="00E06274" w:rsidP="00E06274">
      <w:pPr>
        <w:pStyle w:val="Zkladntextodsazen3"/>
        <w:ind w:left="0"/>
        <w:rPr>
          <w:rFonts w:cs="Arial"/>
          <w:sz w:val="4"/>
          <w:szCs w:val="4"/>
        </w:rPr>
      </w:pPr>
      <w:r w:rsidRPr="00A01BA8">
        <w:rPr>
          <w:rFonts w:cs="Arial"/>
          <w:sz w:val="12"/>
          <w:szCs w:val="12"/>
        </w:rPr>
        <w:t>U distribučních prostředků Linde, které má zákazník v pronájmu déle než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nájmu na dobu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zákazník převzal.</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Zákazník odpovídá za zcizení, ztrátu, odcizení, poškození, zničení nebo nevrácení jemu pronajatých distribučních prostředků. Přenechání distribučních prostředků třetí osobě není dovoleno.</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 xml:space="preserve">Je zakázáno, aby zákazník měnil na jemu přiděleném čísle zákazníka větší počet distribučních prostředků, než má na tomto čísle od </w:t>
      </w:r>
      <w:r w:rsidRPr="00A01BA8">
        <w:rPr>
          <w:rFonts w:cs="Arial"/>
          <w:sz w:val="12"/>
          <w:szCs w:val="12"/>
        </w:rPr>
        <w:t>Linde</w:t>
      </w:r>
      <w:r w:rsidRPr="00A01BA8">
        <w:rPr>
          <w:rFonts w:cs="Arial"/>
          <w:snapToGrid w:val="0"/>
          <w:sz w:val="12"/>
          <w:szCs w:val="12"/>
        </w:rPr>
        <w:t xml:space="preserve"> pronajatých.</w:t>
      </w:r>
    </w:p>
    <w:p w:rsidR="00E06274" w:rsidRPr="00A01BA8" w:rsidRDefault="00E06274" w:rsidP="00E06274">
      <w:pPr>
        <w:pStyle w:val="Zkladntext2"/>
        <w:rPr>
          <w:rFonts w:cs="Arial"/>
          <w:sz w:val="4"/>
          <w:szCs w:val="4"/>
        </w:rPr>
      </w:pPr>
      <w:r w:rsidRPr="00A01BA8">
        <w:rPr>
          <w:rFonts w:cs="Arial"/>
          <w:sz w:val="12"/>
          <w:szCs w:val="12"/>
        </w:rPr>
        <w:t>Distribuční prostředky může zákazník kdykoli vrátit na své náklady prodejnímu místu Linde v jeho prodejní době. O vrácení musí být zákazníkovi vydáno písemné potvrzení prodejního místa Linde.</w:t>
      </w:r>
    </w:p>
    <w:p w:rsidR="00E06274" w:rsidRPr="00A01BA8" w:rsidRDefault="00E06274" w:rsidP="00E06274">
      <w:pPr>
        <w:ind w:firstLine="0"/>
        <w:jc w:val="both"/>
      </w:pPr>
      <w:r w:rsidRPr="00A01BA8">
        <w:rPr>
          <w:rFonts w:cs="Arial"/>
          <w:snapToGrid w:val="0"/>
          <w:sz w:val="12"/>
          <w:szCs w:val="12"/>
        </w:rPr>
        <w:t>Správnost výpisu z konta stavu pronajatých distribučních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 xml:space="preserve">Zákazník je povinen neprodleně oznámit </w:t>
      </w:r>
      <w:r w:rsidRPr="00A01BA8">
        <w:rPr>
          <w:rFonts w:cs="Arial"/>
          <w:sz w:val="12"/>
          <w:szCs w:val="12"/>
        </w:rPr>
        <w:t>Linde</w:t>
      </w:r>
      <w:r w:rsidRPr="00A01BA8">
        <w:rPr>
          <w:rFonts w:cs="Arial"/>
          <w:snapToGrid w:val="0"/>
          <w:sz w:val="12"/>
          <w:szCs w:val="12"/>
        </w:rPr>
        <w:t xml:space="preserve"> veškeré změny týkající se jeho osoby, které by mohly mít vliv na obchodní vztah mezi ním a </w:t>
      </w:r>
      <w:r w:rsidRPr="00A01BA8">
        <w:rPr>
          <w:rFonts w:cs="Arial"/>
          <w:sz w:val="12"/>
          <w:szCs w:val="12"/>
        </w:rPr>
        <w:t>Linde</w:t>
      </w:r>
      <w:r w:rsidRPr="00A01BA8">
        <w:rPr>
          <w:rFonts w:cs="Arial"/>
          <w:snapToGrid w:val="0"/>
          <w:sz w:val="12"/>
          <w:szCs w:val="12"/>
        </w:rPr>
        <w:t>, zejména změny jména, firmy, sídla (bydliště), provozovny, či změnu registrace k DPH. Zadržovací právo na pronajaté distribuční prostředky se po dobu trvání nájemní smlouvy vylučuje.</w:t>
      </w:r>
    </w:p>
    <w:p w:rsidR="00E06274" w:rsidRDefault="00E06274" w:rsidP="00E06274">
      <w:pPr>
        <w:ind w:firstLine="0"/>
        <w:jc w:val="both"/>
        <w:rPr>
          <w:rFonts w:cs="Arial"/>
          <w:snapToGrid w:val="0"/>
          <w:sz w:val="12"/>
          <w:szCs w:val="12"/>
        </w:rPr>
      </w:pPr>
      <w:r w:rsidRPr="00A01BA8">
        <w:rPr>
          <w:rFonts w:cs="Arial"/>
          <w:snapToGrid w:val="0"/>
          <w:sz w:val="12"/>
          <w:szCs w:val="12"/>
        </w:rPr>
        <w:t>Nájemné je splatné a je účtováno nejméně jednou měsíčně.</w:t>
      </w:r>
    </w:p>
    <w:p w:rsidR="00E06274" w:rsidRPr="00306F9D" w:rsidRDefault="00E06274" w:rsidP="00E06274">
      <w:pPr>
        <w:ind w:firstLine="0"/>
        <w:jc w:val="both"/>
        <w:rPr>
          <w:rFonts w:cs="Arial"/>
          <w:snapToGrid w:val="0"/>
          <w:sz w:val="7"/>
          <w:szCs w:val="7"/>
        </w:rPr>
      </w:pPr>
      <w:r w:rsidRPr="00306F9D">
        <w:rPr>
          <w:rFonts w:cs="Arial"/>
          <w:snapToGrid w:val="0"/>
          <w:sz w:val="7"/>
          <w:szCs w:val="7"/>
        </w:rPr>
        <w:t xml:space="preserve"> </w:t>
      </w: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 xml:space="preserve">5. Kauce (finanční jistina za vrácení majetku </w:t>
      </w:r>
      <w:r w:rsidRPr="00A01BA8">
        <w:rPr>
          <w:rFonts w:cs="Arial"/>
          <w:b/>
          <w:sz w:val="12"/>
          <w:szCs w:val="12"/>
        </w:rPr>
        <w:t>Linde</w:t>
      </w:r>
      <w:r w:rsidRPr="00A01BA8">
        <w:rPr>
          <w:rFonts w:cs="Arial"/>
          <w:b/>
          <w:snapToGrid w:val="0"/>
          <w:sz w:val="12"/>
          <w:szCs w:val="12"/>
        </w:rPr>
        <w:t>)</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 xml:space="preserve">Linde je oprávněna požadovat a zákazník je povinen platit za distribuční prostředky pronajaté zákazníkovi nezúročitelnou kauci až do výše pořizovací ceny distribučního prostředku. Vrácení kauce se provede po odevzdání distribučních prostředků prodejnímu místu </w:t>
      </w:r>
      <w:r w:rsidRPr="00A01BA8">
        <w:rPr>
          <w:rFonts w:cs="Arial"/>
          <w:sz w:val="12"/>
          <w:szCs w:val="12"/>
        </w:rPr>
        <w:t>Linde</w:t>
      </w:r>
      <w:r w:rsidRPr="00A01BA8">
        <w:rPr>
          <w:rFonts w:cs="Arial"/>
          <w:snapToGrid w:val="0"/>
          <w:sz w:val="12"/>
          <w:szCs w:val="12"/>
        </w:rPr>
        <w:t xml:space="preserve">, po zápočtu nákladů vzniklých </w:t>
      </w:r>
      <w:r w:rsidRPr="00A01BA8">
        <w:rPr>
          <w:rFonts w:cs="Arial"/>
          <w:sz w:val="12"/>
          <w:szCs w:val="12"/>
        </w:rPr>
        <w:t>Linde</w:t>
      </w:r>
      <w:r w:rsidRPr="00A01BA8">
        <w:rPr>
          <w:rFonts w:cs="Arial"/>
          <w:snapToGrid w:val="0"/>
          <w:sz w:val="12"/>
          <w:szCs w:val="12"/>
        </w:rPr>
        <w:t xml:space="preserve"> za náhradní opatření, odstranění škod nebo nečistot a dalších závazků. </w:t>
      </w:r>
    </w:p>
    <w:p w:rsidR="00E06274" w:rsidRDefault="00E06274" w:rsidP="00E06274">
      <w:pPr>
        <w:ind w:firstLine="0"/>
        <w:jc w:val="both"/>
        <w:rPr>
          <w:rFonts w:cs="Arial"/>
          <w:snapToGrid w:val="0"/>
          <w:sz w:val="12"/>
          <w:szCs w:val="12"/>
        </w:rPr>
      </w:pPr>
      <w:r w:rsidRPr="00A01BA8">
        <w:rPr>
          <w:rFonts w:cs="Arial"/>
          <w:snapToGrid w:val="0"/>
          <w:sz w:val="12"/>
          <w:szCs w:val="12"/>
        </w:rPr>
        <w:t>Za den úhrady závazků zápočtem je považován den vyhotovení zápočtu.</w:t>
      </w:r>
    </w:p>
    <w:p w:rsidR="00E06274" w:rsidRPr="00306F9D" w:rsidRDefault="00E06274" w:rsidP="00E06274">
      <w:pPr>
        <w:ind w:firstLine="0"/>
        <w:jc w:val="both"/>
        <w:rPr>
          <w:rFonts w:cs="Arial"/>
          <w:snapToGrid w:val="0"/>
          <w:sz w:val="7"/>
          <w:szCs w:val="7"/>
        </w:rPr>
      </w:pPr>
    </w:p>
    <w:p w:rsidR="00E06274" w:rsidRDefault="00E06274" w:rsidP="00E06274">
      <w:pPr>
        <w:ind w:firstLine="0"/>
        <w:jc w:val="both"/>
        <w:rPr>
          <w:rFonts w:cs="Arial"/>
          <w:b/>
          <w:snapToGrid w:val="0"/>
          <w:sz w:val="12"/>
          <w:szCs w:val="12"/>
        </w:rPr>
      </w:pPr>
      <w:r w:rsidRPr="00A01BA8">
        <w:rPr>
          <w:rFonts w:cs="Arial"/>
          <w:b/>
          <w:snapToGrid w:val="0"/>
          <w:sz w:val="12"/>
          <w:szCs w:val="12"/>
        </w:rPr>
        <w:t>6. Smluvní pokuta</w:t>
      </w:r>
    </w:p>
    <w:p w:rsidR="00E06274" w:rsidRDefault="00E06274" w:rsidP="00E06274">
      <w:pPr>
        <w:ind w:firstLine="0"/>
        <w:jc w:val="both"/>
        <w:rPr>
          <w:rFonts w:cs="Arial"/>
          <w:snapToGrid w:val="0"/>
          <w:sz w:val="12"/>
          <w:szCs w:val="12"/>
        </w:rPr>
      </w:pPr>
      <w:r w:rsidRPr="00A01BA8">
        <w:rPr>
          <w:rFonts w:cs="Arial"/>
          <w:snapToGrid w:val="0"/>
          <w:sz w:val="12"/>
          <w:szCs w:val="12"/>
        </w:rPr>
        <w:t xml:space="preserve">Při zcizení, odcizení, poškození, zničení nebo nevrácení distribučních prostředků je zákazník povinen zaplatit </w:t>
      </w:r>
      <w:r w:rsidRPr="00A01BA8">
        <w:rPr>
          <w:rFonts w:cs="Arial"/>
          <w:sz w:val="12"/>
          <w:szCs w:val="12"/>
        </w:rPr>
        <w:t>Linde</w:t>
      </w:r>
      <w:r w:rsidRPr="00A01BA8">
        <w:rPr>
          <w:rFonts w:cs="Arial"/>
          <w:snapToGrid w:val="0"/>
          <w:sz w:val="12"/>
          <w:szCs w:val="12"/>
        </w:rPr>
        <w:t xml:space="preserve"> smluvní pokutu za každou tlakovou lahev 4.000,- Kč, za každou přepravní paletu 5.000,- Kč, za každý pevný svazek 80.000,- Kč (včetně lahví ve svazku) a za každý kontejner 100.000,- Kč. Smluvní pokutou není dotčeno právo </w:t>
      </w:r>
      <w:r w:rsidRPr="00A01BA8">
        <w:rPr>
          <w:rFonts w:cs="Arial"/>
          <w:sz w:val="12"/>
          <w:szCs w:val="12"/>
        </w:rPr>
        <w:t>Linde</w:t>
      </w:r>
      <w:r w:rsidRPr="00A01BA8">
        <w:rPr>
          <w:rFonts w:cs="Arial"/>
          <w:snapToGrid w:val="0"/>
          <w:sz w:val="12"/>
          <w:szCs w:val="12"/>
        </w:rPr>
        <w:t xml:space="preserve"> na náhradu škody, kterou je oprávněna vymáhat samostatně.</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7. Lahve zákazníků</w:t>
      </w:r>
    </w:p>
    <w:p w:rsidR="00E06274" w:rsidRDefault="00E06274" w:rsidP="00E06274">
      <w:pPr>
        <w:ind w:firstLine="0"/>
        <w:jc w:val="both"/>
        <w:rPr>
          <w:rFonts w:cs="Arial"/>
          <w:snapToGrid w:val="0"/>
          <w:sz w:val="12"/>
          <w:szCs w:val="12"/>
        </w:rPr>
      </w:pPr>
      <w:r w:rsidRPr="00A01BA8">
        <w:rPr>
          <w:rFonts w:cs="Arial"/>
          <w:snapToGrid w:val="0"/>
          <w:sz w:val="12"/>
          <w:szCs w:val="12"/>
        </w:rPr>
        <w:t>Lahve zákazníků, které jsou jako takové označeny, jsou plněny podle objednávky zákazníků. Objednávka 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8. Platební podmínky</w:t>
      </w:r>
    </w:p>
    <w:p w:rsidR="00E06274" w:rsidRDefault="00E06274" w:rsidP="00E06274">
      <w:pPr>
        <w:pStyle w:val="Zkladntext3"/>
        <w:rPr>
          <w:rFonts w:cs="Arial"/>
          <w:color w:val="auto"/>
          <w:sz w:val="12"/>
          <w:szCs w:val="12"/>
        </w:rPr>
      </w:pPr>
      <w:r w:rsidRPr="00B4553F">
        <w:rPr>
          <w:rFonts w:cs="Arial"/>
          <w:color w:val="auto"/>
          <w:sz w:val="12"/>
          <w:szCs w:val="12"/>
        </w:rPr>
        <w:t xml:space="preserve">Linde je oprávněna požadovat platbu v hotovosti maximálně do hodnoty </w:t>
      </w:r>
      <w:r>
        <w:rPr>
          <w:rFonts w:cs="Arial"/>
          <w:color w:val="auto"/>
          <w:sz w:val="12"/>
          <w:szCs w:val="12"/>
        </w:rPr>
        <w:t>stanovené zákonem</w:t>
      </w:r>
      <w:r w:rsidRPr="00B4553F">
        <w:rPr>
          <w:rFonts w:cs="Arial"/>
          <w:color w:val="auto"/>
          <w:sz w:val="12"/>
          <w:szCs w:val="12"/>
        </w:rPr>
        <w:t>.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 na daňovém dokladu uvedena lhůta delší. V případě prodlení zákazníka se zaplacením kteréhokoliv daňového dokladu, je zákazník povinen zaplatit Linde úrok z prodlení ve výši 0,02 % z dlužné částky za každý den prodlení. Kromě toho, je Linde v takovém případě oprávněna přerušit dodávky do doby úplného zaplacení nebo odstoupit od smlouvy a požadovat okamžité vrácení distribučních prostředků.</w:t>
      </w:r>
    </w:p>
    <w:p w:rsidR="00E06274" w:rsidRPr="00306F9D" w:rsidRDefault="00E06274" w:rsidP="00E06274">
      <w:pPr>
        <w:pStyle w:val="Zkladntext3"/>
        <w:rPr>
          <w:rFonts w:cs="Arial"/>
          <w:color w:val="auto"/>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9. Výhrada vlastnictví</w:t>
      </w:r>
    </w:p>
    <w:p w:rsidR="00E06274" w:rsidRDefault="00E06274" w:rsidP="00E06274">
      <w:pPr>
        <w:ind w:firstLine="0"/>
        <w:jc w:val="both"/>
        <w:rPr>
          <w:rFonts w:cs="Arial"/>
          <w:snapToGrid w:val="0"/>
          <w:sz w:val="12"/>
          <w:szCs w:val="12"/>
        </w:rPr>
      </w:pPr>
      <w:r w:rsidRPr="00A01BA8">
        <w:rPr>
          <w:rFonts w:cs="Arial"/>
          <w:snapToGrid w:val="0"/>
          <w:sz w:val="12"/>
          <w:szCs w:val="12"/>
        </w:rPr>
        <w:t xml:space="preserve">Až do úplného vyrovnání závazků zákazníkem zůstává dodané zboží vlastnictvím </w:t>
      </w:r>
      <w:r w:rsidRPr="00A01BA8">
        <w:rPr>
          <w:rFonts w:cs="Arial"/>
          <w:sz w:val="12"/>
          <w:szCs w:val="12"/>
        </w:rPr>
        <w:t>Linde</w:t>
      </w:r>
      <w:r w:rsidRPr="00A01BA8">
        <w:rPr>
          <w:rFonts w:cs="Arial"/>
          <w:snapToGrid w:val="0"/>
          <w:sz w:val="12"/>
          <w:szCs w:val="12"/>
        </w:rPr>
        <w:t>.</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10. Prodlení</w:t>
      </w:r>
    </w:p>
    <w:p w:rsidR="00E06274" w:rsidRDefault="00E06274" w:rsidP="00E06274">
      <w:pPr>
        <w:ind w:firstLine="0"/>
        <w:jc w:val="both"/>
        <w:rPr>
          <w:rFonts w:cs="Arial"/>
          <w:snapToGrid w:val="0"/>
          <w:sz w:val="12"/>
          <w:szCs w:val="12"/>
        </w:rPr>
      </w:pPr>
      <w:r w:rsidRPr="00A01BA8">
        <w:rPr>
          <w:rFonts w:cs="Arial"/>
          <w:snapToGrid w:val="0"/>
          <w:sz w:val="12"/>
          <w:szCs w:val="12"/>
        </w:rPr>
        <w:t xml:space="preserve">V případě opožděných dodávek nebo výpadku v dodávkách může zákazník, pokud </w:t>
      </w:r>
      <w:r w:rsidRPr="00A01BA8">
        <w:rPr>
          <w:rFonts w:cs="Arial"/>
          <w:sz w:val="12"/>
          <w:szCs w:val="12"/>
        </w:rPr>
        <w:t>Linde</w:t>
      </w:r>
      <w:r w:rsidRPr="00A01BA8">
        <w:rPr>
          <w:rFonts w:cs="Arial"/>
          <w:snapToGrid w:val="0"/>
          <w:sz w:val="12"/>
          <w:szCs w:val="12"/>
        </w:rPr>
        <w:t xml:space="preserve"> nesplní dodávku v náhradní lhůtě, odstoupit od smlouvy. Škody takto vzniklé jsou hrazeny podle zákona </w:t>
      </w:r>
    </w:p>
    <w:p w:rsidR="00E06274" w:rsidRDefault="00E06274" w:rsidP="00E06274">
      <w:pPr>
        <w:ind w:firstLine="0"/>
        <w:jc w:val="both"/>
        <w:rPr>
          <w:rFonts w:cs="Arial"/>
          <w:snapToGrid w:val="0"/>
          <w:sz w:val="12"/>
          <w:szCs w:val="12"/>
        </w:rPr>
      </w:pPr>
      <w:r w:rsidRPr="00A01BA8">
        <w:rPr>
          <w:rFonts w:cs="Arial"/>
          <w:snapToGrid w:val="0"/>
          <w:sz w:val="12"/>
          <w:szCs w:val="12"/>
        </w:rPr>
        <w:t>a těchto podmínek.</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11. Odpovědnost za škodu</w:t>
      </w:r>
    </w:p>
    <w:p w:rsidR="00E06274" w:rsidRPr="00A01BA8" w:rsidRDefault="00E06274" w:rsidP="00E06274">
      <w:pPr>
        <w:ind w:firstLine="0"/>
        <w:jc w:val="both"/>
        <w:rPr>
          <w:rFonts w:cs="Arial"/>
          <w:snapToGrid w:val="0"/>
          <w:sz w:val="12"/>
          <w:szCs w:val="12"/>
        </w:rPr>
      </w:pPr>
      <w:r w:rsidRPr="00A01BA8">
        <w:rPr>
          <w:rFonts w:cs="Arial"/>
          <w:snapToGrid w:val="0"/>
          <w:sz w:val="12"/>
          <w:szCs w:val="12"/>
        </w:rPr>
        <w:t xml:space="preserve">V případě, že je </w:t>
      </w:r>
      <w:r w:rsidRPr="00A01BA8">
        <w:rPr>
          <w:rFonts w:cs="Arial"/>
          <w:sz w:val="12"/>
          <w:szCs w:val="12"/>
        </w:rPr>
        <w:t>Linde</w:t>
      </w:r>
      <w:r w:rsidRPr="00A01BA8">
        <w:rPr>
          <w:rFonts w:cs="Arial"/>
          <w:snapToGrid w:val="0"/>
          <w:sz w:val="12"/>
          <w:szCs w:val="12"/>
        </w:rPr>
        <w:t xml:space="preserve"> za podmínek daných zákonem povinna nahradit zákazníkovi způsobenou škodu, dohodly si smluvní strany rozsah náhrady škody tak, že </w:t>
      </w:r>
      <w:r w:rsidRPr="00A01BA8">
        <w:rPr>
          <w:rFonts w:cs="Arial"/>
          <w:sz w:val="12"/>
          <w:szCs w:val="12"/>
        </w:rPr>
        <w:t>Linde</w:t>
      </w:r>
      <w:r w:rsidRPr="00A01BA8">
        <w:rPr>
          <w:rFonts w:cs="Arial"/>
          <w:snapToGrid w:val="0"/>
          <w:sz w:val="12"/>
          <w:szCs w:val="12"/>
        </w:rPr>
        <w:t xml:space="preserve"> uhradí zákazníkovi škodu </w:t>
      </w:r>
    </w:p>
    <w:p w:rsidR="00E06274" w:rsidRDefault="00E06274" w:rsidP="00E06274">
      <w:pPr>
        <w:ind w:firstLine="0"/>
        <w:jc w:val="both"/>
        <w:rPr>
          <w:rFonts w:cs="Arial"/>
          <w:snapToGrid w:val="0"/>
          <w:sz w:val="12"/>
          <w:szCs w:val="12"/>
        </w:rPr>
      </w:pPr>
      <w:r w:rsidRPr="00A01BA8">
        <w:rPr>
          <w:rFonts w:cs="Arial"/>
          <w:snapToGrid w:val="0"/>
          <w:sz w:val="12"/>
          <w:szCs w:val="12"/>
        </w:rPr>
        <w:t>v prokázané výši, nejvýše však částku 20 000 000,- Kč. Právo na náhradu škody a vydání bezdůvodného obohacení se promlčují v tříleté promlčecí době.</w:t>
      </w:r>
    </w:p>
    <w:p w:rsidR="00E06274" w:rsidRPr="00306F9D" w:rsidRDefault="00E06274" w:rsidP="00E06274">
      <w:pPr>
        <w:ind w:firstLine="0"/>
        <w:jc w:val="both"/>
        <w:rPr>
          <w:rFonts w:cs="Arial"/>
          <w:snapToGrid w:val="0"/>
          <w:sz w:val="7"/>
          <w:szCs w:val="7"/>
        </w:rPr>
      </w:pPr>
    </w:p>
    <w:p w:rsidR="00E06274" w:rsidRPr="00A01BA8" w:rsidRDefault="00E06274" w:rsidP="00E06274">
      <w:pPr>
        <w:tabs>
          <w:tab w:val="left" w:pos="4185"/>
        </w:tabs>
        <w:ind w:firstLine="0"/>
        <w:jc w:val="both"/>
        <w:rPr>
          <w:rFonts w:cs="Arial"/>
          <w:b/>
          <w:snapToGrid w:val="0"/>
          <w:sz w:val="12"/>
          <w:szCs w:val="12"/>
        </w:rPr>
      </w:pPr>
      <w:r w:rsidRPr="00A01BA8">
        <w:rPr>
          <w:rFonts w:cs="Arial"/>
          <w:b/>
          <w:snapToGrid w:val="0"/>
          <w:sz w:val="12"/>
          <w:szCs w:val="12"/>
        </w:rPr>
        <w:t>12. Záruka za vadné plnění</w:t>
      </w:r>
    </w:p>
    <w:p w:rsidR="00E06274" w:rsidRDefault="00E06274" w:rsidP="00E06274">
      <w:pPr>
        <w:ind w:firstLine="0"/>
        <w:jc w:val="both"/>
        <w:rPr>
          <w:rFonts w:cs="Arial"/>
          <w:snapToGrid w:val="0"/>
          <w:sz w:val="12"/>
          <w:szCs w:val="12"/>
        </w:rPr>
      </w:pPr>
      <w:r w:rsidRPr="00A01BA8">
        <w:rPr>
          <w:rFonts w:cs="Arial"/>
          <w:snapToGrid w:val="0"/>
          <w:sz w:val="12"/>
          <w:szCs w:val="12"/>
        </w:rPr>
        <w:t xml:space="preserve">Pokud je dodávka vadná nebo neodpovídá množství dodaného plynu, má zákazník právo uplatnit reklamaci, která se řídí platnou legislativou a vnitřními předpisy </w:t>
      </w:r>
      <w:r w:rsidRPr="00A01BA8">
        <w:rPr>
          <w:rFonts w:cs="Arial"/>
          <w:sz w:val="12"/>
          <w:szCs w:val="12"/>
        </w:rPr>
        <w:t>Linde</w:t>
      </w:r>
      <w:r w:rsidRPr="00A01BA8">
        <w:rPr>
          <w:rFonts w:cs="Arial"/>
          <w:snapToGrid w:val="0"/>
          <w:sz w:val="12"/>
          <w:szCs w:val="12"/>
        </w:rPr>
        <w:t>. Při reklamaci kvality plynů nesmí být spotřebováno více než 50 % uvedeného množství náplně, a to z důvodu možného řádného provedení kontrolních analýz. Distribuční prostředky s vadným zbožím nesmějí být dále používány a po nápadném označení musí být vráceny prodejnímu místu. V tomto případě může zákazník při vyloučení dalších nároků požadovat bezplatně opakovanou dodávku. Nepodaří-li se toto dodatečné plnění, může zákazník podle svého výběru požadovat snížení kupní ceny vadné dodávky a nebo požadovat zrušení dodávky.</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13. Vyšší moc</w:t>
      </w:r>
    </w:p>
    <w:p w:rsidR="00E06274" w:rsidRDefault="00E06274" w:rsidP="00E06274">
      <w:pPr>
        <w:ind w:firstLine="0"/>
        <w:jc w:val="both"/>
        <w:rPr>
          <w:rFonts w:cs="Arial"/>
          <w:snapToGrid w:val="0"/>
          <w:sz w:val="12"/>
          <w:szCs w:val="12"/>
        </w:rPr>
      </w:pPr>
      <w:r w:rsidRPr="00A01BA8">
        <w:rPr>
          <w:rFonts w:cs="Arial"/>
          <w:snapToGrid w:val="0"/>
          <w:sz w:val="12"/>
          <w:szCs w:val="12"/>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14. Zajištění množství</w:t>
      </w:r>
    </w:p>
    <w:p w:rsidR="00E06274" w:rsidRDefault="00E06274" w:rsidP="00E06274">
      <w:pPr>
        <w:pStyle w:val="Zkladntextodsazen2"/>
        <w:ind w:left="0" w:firstLine="0"/>
        <w:rPr>
          <w:rFonts w:cs="Arial"/>
          <w:sz w:val="12"/>
          <w:szCs w:val="12"/>
        </w:rPr>
      </w:pPr>
      <w:r w:rsidRPr="00A01BA8">
        <w:rPr>
          <w:rFonts w:cs="Arial"/>
          <w:sz w:val="12"/>
          <w:szCs w:val="12"/>
        </w:rPr>
        <w:t>Pokud je údaj o množství v lahvích v ”m</w:t>
      </w:r>
      <w:r w:rsidRPr="00A01BA8">
        <w:rPr>
          <w:rFonts w:cs="Arial"/>
          <w:sz w:val="12"/>
          <w:szCs w:val="12"/>
          <w:vertAlign w:val="superscript"/>
        </w:rPr>
        <w:t>3</w:t>
      </w:r>
      <w:r w:rsidRPr="00A01BA8">
        <w:rPr>
          <w:rFonts w:cs="Arial"/>
          <w:sz w:val="12"/>
          <w:szCs w:val="12"/>
        </w:rPr>
        <w:t>”, pak se vztahuje na stav plynu při 15°C a tlaku 0,1 MPa. Zbytkové obsahy u vrácených distribučních prostředků nepodléhají náhradě.</w:t>
      </w:r>
    </w:p>
    <w:p w:rsidR="00E06274" w:rsidRPr="00306F9D" w:rsidRDefault="00E06274" w:rsidP="00E06274">
      <w:pPr>
        <w:pStyle w:val="Zkladntextodsazen2"/>
        <w:ind w:left="0" w:firstLine="0"/>
        <w:rPr>
          <w:rFonts w:cs="Arial"/>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15. Dodávky prostřednictvím třetí osoby</w:t>
      </w:r>
    </w:p>
    <w:p w:rsidR="00E06274" w:rsidRDefault="00E06274" w:rsidP="00E06274">
      <w:pPr>
        <w:ind w:firstLine="0"/>
        <w:jc w:val="both"/>
        <w:rPr>
          <w:rFonts w:cs="Arial"/>
          <w:snapToGrid w:val="0"/>
          <w:sz w:val="12"/>
          <w:szCs w:val="12"/>
        </w:rPr>
      </w:pPr>
      <w:r w:rsidRPr="00A01BA8">
        <w:rPr>
          <w:rFonts w:cs="Arial"/>
          <w:snapToGrid w:val="0"/>
          <w:sz w:val="12"/>
          <w:szCs w:val="12"/>
        </w:rPr>
        <w:t>Linde je oprávněna splnit své dodavatelské povinnosti prostřednictvím třetí osoby.</w:t>
      </w:r>
    </w:p>
    <w:p w:rsidR="00E06274" w:rsidRPr="00306F9D" w:rsidRDefault="00E06274" w:rsidP="00E06274">
      <w:pPr>
        <w:ind w:firstLine="0"/>
        <w:jc w:val="both"/>
        <w:rPr>
          <w:rFonts w:cs="Arial"/>
          <w:snapToGrid w:val="0"/>
          <w:sz w:val="7"/>
          <w:szCs w:val="7"/>
        </w:rPr>
      </w:pPr>
    </w:p>
    <w:p w:rsidR="00E06274" w:rsidRPr="00A01BA8" w:rsidRDefault="00E06274" w:rsidP="00E06274">
      <w:pPr>
        <w:pStyle w:val="Zkladntext"/>
        <w:rPr>
          <w:rFonts w:cs="Arial"/>
          <w:sz w:val="12"/>
          <w:szCs w:val="12"/>
        </w:rPr>
      </w:pPr>
      <w:r w:rsidRPr="00A01BA8">
        <w:rPr>
          <w:rFonts w:cs="Arial"/>
          <w:b/>
          <w:sz w:val="12"/>
          <w:szCs w:val="12"/>
        </w:rPr>
        <w:t>16. Poplatky</w:t>
      </w:r>
    </w:p>
    <w:p w:rsidR="00E06274" w:rsidRDefault="00E06274" w:rsidP="00E06274">
      <w:pPr>
        <w:pStyle w:val="Zkladntext"/>
        <w:rPr>
          <w:rFonts w:cs="Arial"/>
          <w:sz w:val="12"/>
          <w:szCs w:val="12"/>
        </w:rPr>
      </w:pPr>
      <w:r w:rsidRPr="00A01BA8">
        <w:rPr>
          <w:rFonts w:cs="Arial"/>
          <w:sz w:val="12"/>
          <w:szCs w:val="12"/>
        </w:rPr>
        <w:t>Společně s cenou dodaného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dodávkou jednotlivého druhu plynu a další poplatky stanovené ceníkem Linde. Výše poplatků se řídí podle aktuálně platných sazeb tak, jak jsou tyto zveřejněny na prodejních místech Linde, není-li smlouvou stanoveno jinak.</w:t>
      </w:r>
    </w:p>
    <w:p w:rsidR="00E06274" w:rsidRPr="00306F9D" w:rsidRDefault="00E06274" w:rsidP="00E06274">
      <w:pPr>
        <w:pStyle w:val="Zkladntext"/>
        <w:rPr>
          <w:rFonts w:cs="Arial"/>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17. Změny smlouvy</w:t>
      </w:r>
    </w:p>
    <w:p w:rsidR="00E06274" w:rsidRDefault="00E06274" w:rsidP="00E06274">
      <w:pPr>
        <w:ind w:firstLine="0"/>
        <w:jc w:val="both"/>
        <w:rPr>
          <w:rFonts w:cs="Arial"/>
          <w:snapToGrid w:val="0"/>
          <w:sz w:val="12"/>
          <w:szCs w:val="12"/>
        </w:rPr>
      </w:pPr>
      <w:r w:rsidRPr="00A01BA8">
        <w:rPr>
          <w:rFonts w:cs="Arial"/>
          <w:snapToGrid w:val="0"/>
          <w:sz w:val="12"/>
          <w:szCs w:val="12"/>
        </w:rPr>
        <w:t>Změny a doplňky sjednaných podmínek se vyžadují písemnou formou. Písemnou formou se nerozumí forma elektronické komunikace.</w:t>
      </w:r>
    </w:p>
    <w:p w:rsidR="00E06274" w:rsidRPr="00306F9D" w:rsidRDefault="00E06274" w:rsidP="00E06274">
      <w:pPr>
        <w:ind w:firstLine="0"/>
        <w:jc w:val="both"/>
        <w:rPr>
          <w:rFonts w:cs="Arial"/>
          <w:snapToGrid w:val="0"/>
          <w:sz w:val="7"/>
          <w:szCs w:val="7"/>
        </w:rPr>
      </w:pPr>
    </w:p>
    <w:p w:rsidR="00E06274" w:rsidRPr="00A01BA8" w:rsidRDefault="00E06274" w:rsidP="00E06274">
      <w:pPr>
        <w:ind w:firstLine="0"/>
        <w:jc w:val="both"/>
        <w:rPr>
          <w:rFonts w:cs="Arial"/>
          <w:b/>
          <w:snapToGrid w:val="0"/>
          <w:sz w:val="12"/>
          <w:szCs w:val="12"/>
        </w:rPr>
      </w:pPr>
      <w:r w:rsidRPr="00A01BA8">
        <w:rPr>
          <w:rFonts w:cs="Arial"/>
          <w:b/>
          <w:snapToGrid w:val="0"/>
          <w:sz w:val="12"/>
          <w:szCs w:val="12"/>
        </w:rPr>
        <w:t>18. Řešení sporů</w:t>
      </w:r>
    </w:p>
    <w:p w:rsidR="00E06274" w:rsidRDefault="00E06274" w:rsidP="00E06274">
      <w:pPr>
        <w:ind w:firstLine="0"/>
        <w:jc w:val="both"/>
        <w:rPr>
          <w:rFonts w:cs="Arial"/>
          <w:snapToGrid w:val="0"/>
          <w:sz w:val="12"/>
          <w:szCs w:val="12"/>
        </w:rPr>
      </w:pPr>
      <w:r w:rsidRPr="00A01BA8">
        <w:rPr>
          <w:rFonts w:cs="Arial"/>
          <w:snapToGrid w:val="0"/>
          <w:sz w:val="12"/>
          <w:szCs w:val="12"/>
        </w:rPr>
        <w:t xml:space="preserve">Pro řešení všech sporů mezi zákazníkem a </w:t>
      </w:r>
      <w:r w:rsidRPr="00A01BA8">
        <w:rPr>
          <w:rFonts w:cs="Arial"/>
          <w:sz w:val="12"/>
          <w:szCs w:val="12"/>
        </w:rPr>
        <w:t>Linde</w:t>
      </w:r>
      <w:r w:rsidRPr="00A01BA8">
        <w:rPr>
          <w:rFonts w:cs="Arial"/>
          <w:snapToGrid w:val="0"/>
          <w:sz w:val="12"/>
          <w:szCs w:val="12"/>
        </w:rPr>
        <w:t xml:space="preserve"> je, za dodržení příslušnosti věcné, místně příslušný soud, v jehož obvodu je sídlo </w:t>
      </w:r>
      <w:r w:rsidRPr="00A01BA8">
        <w:rPr>
          <w:rFonts w:cs="Arial"/>
          <w:sz w:val="12"/>
          <w:szCs w:val="12"/>
        </w:rPr>
        <w:t>Linde</w:t>
      </w:r>
      <w:r w:rsidRPr="00A01BA8">
        <w:rPr>
          <w:rFonts w:cs="Arial"/>
          <w:snapToGrid w:val="0"/>
          <w:sz w:val="12"/>
          <w:szCs w:val="12"/>
        </w:rPr>
        <w:t>.</w:t>
      </w:r>
    </w:p>
    <w:p w:rsidR="00E06274" w:rsidRDefault="00E06274" w:rsidP="00E06274">
      <w:pPr>
        <w:ind w:firstLine="0"/>
        <w:jc w:val="both"/>
        <w:rPr>
          <w:rFonts w:cs="Arial"/>
          <w:snapToGrid w:val="0"/>
          <w:sz w:val="12"/>
          <w:szCs w:val="12"/>
        </w:rPr>
      </w:pPr>
      <w:r w:rsidRPr="004D2C04">
        <w:rPr>
          <w:rFonts w:cs="Arial"/>
          <w:snapToGrid w:val="0"/>
          <w:sz w:val="12"/>
          <w:szCs w:val="12"/>
        </w:rPr>
        <w:t>V případě, že je zákazník spotřebitelem, je subjektem řešení mimosoudních sporů Česká obchodní inspekce, bližší informace na www.coi.cz.</w:t>
      </w:r>
    </w:p>
    <w:p w:rsidR="00E06274" w:rsidRPr="00306F9D" w:rsidRDefault="00E06274" w:rsidP="00E06274">
      <w:pPr>
        <w:ind w:firstLine="0"/>
        <w:jc w:val="both"/>
        <w:rPr>
          <w:rFonts w:cs="Arial"/>
          <w:snapToGrid w:val="0"/>
          <w:sz w:val="7"/>
          <w:szCs w:val="7"/>
        </w:rPr>
      </w:pPr>
    </w:p>
    <w:p w:rsidR="00E06274" w:rsidRPr="00A01BA8" w:rsidRDefault="00E06274" w:rsidP="00E06274">
      <w:pPr>
        <w:widowControl w:val="0"/>
        <w:ind w:firstLine="0"/>
        <w:jc w:val="both"/>
        <w:rPr>
          <w:rFonts w:cs="Arial"/>
          <w:b/>
          <w:snapToGrid w:val="0"/>
          <w:sz w:val="12"/>
          <w:szCs w:val="12"/>
        </w:rPr>
      </w:pPr>
      <w:r w:rsidRPr="00A01BA8">
        <w:rPr>
          <w:rFonts w:cs="Arial"/>
          <w:b/>
          <w:snapToGrid w:val="0"/>
          <w:sz w:val="12"/>
          <w:szCs w:val="12"/>
        </w:rPr>
        <w:t>19. Prohlášení o shodě</w:t>
      </w:r>
    </w:p>
    <w:p w:rsidR="00E06274" w:rsidRDefault="00E06274" w:rsidP="00E06274">
      <w:pPr>
        <w:pStyle w:val="Zkladntextodsazen2"/>
        <w:widowControl w:val="0"/>
        <w:ind w:left="0" w:firstLine="0"/>
        <w:rPr>
          <w:rFonts w:cs="Arial"/>
          <w:sz w:val="12"/>
          <w:szCs w:val="12"/>
        </w:rPr>
      </w:pPr>
      <w:r w:rsidRPr="00A01BA8">
        <w:rPr>
          <w:rFonts w:cs="Arial"/>
          <w:sz w:val="12"/>
          <w:szCs w:val="12"/>
        </w:rPr>
        <w:t>Linde vlastní ”Prohlášení o shodě” na ocelové tlakové lahve včetně svařovaných, které mu dodavatel lahví poskytuje na lahve vyrobené po 1.9.1997, používané k distribuci plynů.</w:t>
      </w:r>
    </w:p>
    <w:p w:rsidR="00E06274" w:rsidRPr="00306F9D" w:rsidRDefault="00E06274" w:rsidP="00E06274">
      <w:pPr>
        <w:pStyle w:val="Zkladntextodsazen2"/>
        <w:widowControl w:val="0"/>
        <w:ind w:left="0" w:firstLine="0"/>
        <w:rPr>
          <w:rFonts w:cs="Arial"/>
          <w:sz w:val="7"/>
          <w:szCs w:val="7"/>
        </w:rPr>
      </w:pPr>
    </w:p>
    <w:p w:rsidR="00E06274" w:rsidRDefault="00E06274" w:rsidP="00E06274">
      <w:pPr>
        <w:widowControl w:val="0"/>
        <w:ind w:firstLine="0"/>
        <w:jc w:val="both"/>
        <w:rPr>
          <w:rFonts w:cs="Arial"/>
          <w:b/>
          <w:snapToGrid w:val="0"/>
          <w:sz w:val="12"/>
          <w:szCs w:val="12"/>
        </w:rPr>
      </w:pPr>
      <w:r w:rsidRPr="00A01BA8">
        <w:rPr>
          <w:rFonts w:cs="Arial"/>
          <w:b/>
          <w:snapToGrid w:val="0"/>
          <w:sz w:val="12"/>
          <w:szCs w:val="12"/>
        </w:rPr>
        <w:t xml:space="preserve">20. Výrobky vyhovují ČSN nebo specifikaci </w:t>
      </w:r>
      <w:r w:rsidRPr="00A01BA8">
        <w:rPr>
          <w:rFonts w:cs="Arial"/>
          <w:b/>
          <w:sz w:val="12"/>
          <w:szCs w:val="12"/>
        </w:rPr>
        <w:t>Linde</w:t>
      </w:r>
      <w:r w:rsidRPr="00A01BA8">
        <w:rPr>
          <w:rFonts w:cs="Arial"/>
          <w:b/>
          <w:snapToGrid w:val="0"/>
          <w:sz w:val="12"/>
          <w:szCs w:val="12"/>
        </w:rPr>
        <w:t>.</w:t>
      </w:r>
    </w:p>
    <w:p w:rsidR="00E06274" w:rsidRPr="00306F9D" w:rsidRDefault="00E06274" w:rsidP="00E06274">
      <w:pPr>
        <w:widowControl w:val="0"/>
        <w:ind w:firstLine="0"/>
        <w:jc w:val="both"/>
        <w:rPr>
          <w:rFonts w:cs="Arial"/>
          <w:b/>
          <w:snapToGrid w:val="0"/>
          <w:sz w:val="7"/>
          <w:szCs w:val="7"/>
        </w:rPr>
      </w:pPr>
    </w:p>
    <w:p w:rsidR="00E06274" w:rsidRPr="004D2C04" w:rsidRDefault="00E06274" w:rsidP="00E06274">
      <w:pPr>
        <w:pStyle w:val="Nadpis4"/>
        <w:ind w:left="0"/>
        <w:jc w:val="both"/>
        <w:rPr>
          <w:rFonts w:cs="Arial"/>
          <w:snapToGrid w:val="0"/>
          <w:sz w:val="12"/>
          <w:szCs w:val="12"/>
        </w:rPr>
      </w:pPr>
      <w:r w:rsidRPr="006050DF">
        <w:rPr>
          <w:rFonts w:cs="Arial"/>
          <w:snapToGrid w:val="0"/>
          <w:sz w:val="12"/>
          <w:szCs w:val="12"/>
        </w:rPr>
        <w:t>21. Tyto Všeobecné podmínky (Form 1211/2</w:t>
      </w:r>
      <w:r>
        <w:rPr>
          <w:rFonts w:cs="Arial"/>
          <w:snapToGrid w:val="0"/>
          <w:sz w:val="12"/>
          <w:szCs w:val="12"/>
        </w:rPr>
        <w:t>2</w:t>
      </w:r>
      <w:r w:rsidRPr="006050DF">
        <w:rPr>
          <w:rFonts w:cs="Arial"/>
          <w:snapToGrid w:val="0"/>
          <w:sz w:val="12"/>
          <w:szCs w:val="12"/>
        </w:rPr>
        <w:t>) jsou platné od 1.</w:t>
      </w:r>
      <w:r>
        <w:rPr>
          <w:rFonts w:cs="Arial"/>
          <w:snapToGrid w:val="0"/>
          <w:sz w:val="12"/>
          <w:szCs w:val="12"/>
        </w:rPr>
        <w:t>2</w:t>
      </w:r>
      <w:r w:rsidRPr="006050DF">
        <w:rPr>
          <w:rFonts w:cs="Arial"/>
          <w:snapToGrid w:val="0"/>
          <w:sz w:val="12"/>
          <w:szCs w:val="12"/>
        </w:rPr>
        <w:t>.201</w:t>
      </w:r>
      <w:r>
        <w:rPr>
          <w:rFonts w:cs="Arial"/>
          <w:snapToGrid w:val="0"/>
          <w:sz w:val="12"/>
          <w:szCs w:val="12"/>
        </w:rPr>
        <w:t>6</w:t>
      </w:r>
      <w:r w:rsidRPr="006050DF">
        <w:rPr>
          <w:rFonts w:cs="Arial"/>
          <w:snapToGrid w:val="0"/>
          <w:sz w:val="12"/>
          <w:szCs w:val="12"/>
        </w:rPr>
        <w:t>.</w:t>
      </w:r>
    </w:p>
    <w:p w:rsidR="00F86FB7" w:rsidRDefault="00F86FB7"/>
    <w:sectPr w:rsidR="00F86FB7" w:rsidSect="002858F1">
      <w:footerReference w:type="default" r:id="rId5"/>
      <w:headerReference w:type="first" r:id="rId6"/>
      <w:footerReference w:type="first" r:id="rId7"/>
      <w:pgSz w:w="11907" w:h="16840" w:code="9"/>
      <w:pgMar w:top="142" w:right="567" w:bottom="426" w:left="851" w:header="284" w:footer="373"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5A" w:rsidRDefault="00E06274">
    <w:pPr>
      <w:pStyle w:val="Zpat"/>
      <w:rPr>
        <w:sz w:val="14"/>
      </w:rPr>
    </w:pPr>
    <w:r>
      <w:rPr>
        <w:sz w:val="14"/>
      </w:rPr>
      <w:t>Form 1211/15  2005.01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5A" w:rsidRPr="00D168FE" w:rsidRDefault="00E06274" w:rsidP="00F43B6A">
    <w:pPr>
      <w:pStyle w:val="Zpat"/>
      <w:rPr>
        <w:rFonts w:cs="Arial"/>
        <w:sz w:val="12"/>
        <w:szCs w:val="12"/>
      </w:rPr>
    </w:pPr>
    <w:r w:rsidRPr="00D168FE">
      <w:rPr>
        <w:rFonts w:cs="Arial"/>
        <w:sz w:val="12"/>
        <w:szCs w:val="12"/>
      </w:rPr>
      <w:t>Form 1203/</w:t>
    </w:r>
    <w:r>
      <w:rPr>
        <w:rFonts w:cs="Arial"/>
        <w:sz w:val="12"/>
        <w:szCs w:val="12"/>
      </w:rPr>
      <w:t>32</w:t>
    </w:r>
    <w:r w:rsidRPr="00D168FE">
      <w:rPr>
        <w:rFonts w:cs="Arial"/>
        <w:sz w:val="12"/>
        <w:szCs w:val="12"/>
      </w:rPr>
      <w:t xml:space="preserve">  </w:t>
    </w:r>
    <w:r>
      <w:rPr>
        <w:rFonts w:cs="Arial"/>
        <w:sz w:val="12"/>
        <w:szCs w:val="12"/>
      </w:rPr>
      <w:t>2016.12</w:t>
    </w:r>
    <w:r w:rsidRPr="00D168FE">
      <w:rPr>
        <w:rFonts w:cs="Arial"/>
        <w:sz w:val="12"/>
        <w:szCs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5A" w:rsidRPr="004D2C04" w:rsidRDefault="00E06274" w:rsidP="00F43B6A">
    <w:pPr>
      <w:pStyle w:val="Normln1"/>
      <w:tabs>
        <w:tab w:val="center" w:pos="4111"/>
      </w:tabs>
      <w:ind w:left="-284"/>
      <w:rPr>
        <w:noProo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74"/>
    <w:rsid w:val="00E06274"/>
    <w:rsid w:val="00F86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274"/>
    <w:pPr>
      <w:spacing w:after="0" w:line="240" w:lineRule="auto"/>
      <w:ind w:firstLine="567"/>
    </w:pPr>
    <w:rPr>
      <w:rFonts w:ascii="Arial" w:eastAsia="Times New Roman" w:hAnsi="Arial" w:cs="Times New Roman"/>
      <w:sz w:val="24"/>
      <w:szCs w:val="20"/>
      <w:lang w:eastAsia="cs-CZ"/>
    </w:rPr>
  </w:style>
  <w:style w:type="paragraph" w:styleId="Nadpis4">
    <w:name w:val="heading 4"/>
    <w:basedOn w:val="Normln"/>
    <w:next w:val="Normln"/>
    <w:link w:val="Nadpis4Char"/>
    <w:qFormat/>
    <w:rsid w:val="00E06274"/>
    <w:pPr>
      <w:keepNext/>
      <w:ind w:left="567" w:firstLine="0"/>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06274"/>
    <w:rPr>
      <w:rFonts w:ascii="Arial" w:eastAsia="Times New Roman" w:hAnsi="Arial" w:cs="Times New Roman"/>
      <w:b/>
      <w:sz w:val="24"/>
      <w:szCs w:val="20"/>
      <w:lang w:eastAsia="cs-CZ"/>
    </w:rPr>
  </w:style>
  <w:style w:type="paragraph" w:styleId="Zpat">
    <w:name w:val="footer"/>
    <w:basedOn w:val="Normln"/>
    <w:link w:val="ZpatChar"/>
    <w:rsid w:val="00E06274"/>
    <w:pPr>
      <w:tabs>
        <w:tab w:val="left" w:pos="993"/>
        <w:tab w:val="center" w:pos="4820"/>
        <w:tab w:val="right" w:pos="9639"/>
      </w:tabs>
      <w:ind w:firstLine="0"/>
    </w:pPr>
    <w:rPr>
      <w:sz w:val="16"/>
    </w:rPr>
  </w:style>
  <w:style w:type="character" w:customStyle="1" w:styleId="ZpatChar">
    <w:name w:val="Zápatí Char"/>
    <w:basedOn w:val="Standardnpsmoodstavce"/>
    <w:link w:val="Zpat"/>
    <w:rsid w:val="00E06274"/>
    <w:rPr>
      <w:rFonts w:ascii="Arial" w:eastAsia="Times New Roman" w:hAnsi="Arial" w:cs="Times New Roman"/>
      <w:sz w:val="16"/>
      <w:szCs w:val="20"/>
      <w:lang w:eastAsia="cs-CZ"/>
    </w:rPr>
  </w:style>
  <w:style w:type="paragraph" w:styleId="Zkladntext">
    <w:name w:val="Body Text"/>
    <w:basedOn w:val="Normln"/>
    <w:link w:val="ZkladntextChar"/>
    <w:rsid w:val="00E06274"/>
    <w:pPr>
      <w:ind w:firstLine="0"/>
      <w:jc w:val="both"/>
    </w:pPr>
    <w:rPr>
      <w:sz w:val="20"/>
    </w:rPr>
  </w:style>
  <w:style w:type="character" w:customStyle="1" w:styleId="ZkladntextChar">
    <w:name w:val="Základní text Char"/>
    <w:basedOn w:val="Standardnpsmoodstavce"/>
    <w:link w:val="Zkladntext"/>
    <w:rsid w:val="00E06274"/>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E06274"/>
    <w:pPr>
      <w:ind w:left="284"/>
      <w:jc w:val="both"/>
    </w:pPr>
    <w:rPr>
      <w:snapToGrid w:val="0"/>
      <w:color w:val="000000"/>
      <w:sz w:val="14"/>
    </w:rPr>
  </w:style>
  <w:style w:type="character" w:customStyle="1" w:styleId="Zkladntextodsazen2Char">
    <w:name w:val="Základní text odsazený 2 Char"/>
    <w:basedOn w:val="Standardnpsmoodstavce"/>
    <w:link w:val="Zkladntextodsazen2"/>
    <w:rsid w:val="00E06274"/>
    <w:rPr>
      <w:rFonts w:ascii="Arial" w:eastAsia="Times New Roman" w:hAnsi="Arial" w:cs="Times New Roman"/>
      <w:snapToGrid w:val="0"/>
      <w:color w:val="000000"/>
      <w:sz w:val="14"/>
      <w:szCs w:val="20"/>
      <w:lang w:eastAsia="cs-CZ"/>
    </w:rPr>
  </w:style>
  <w:style w:type="paragraph" w:styleId="Zkladntext2">
    <w:name w:val="Body Text 2"/>
    <w:basedOn w:val="Normln"/>
    <w:link w:val="Zkladntext2Char"/>
    <w:rsid w:val="00E06274"/>
    <w:pPr>
      <w:ind w:firstLine="0"/>
      <w:jc w:val="both"/>
    </w:pPr>
    <w:rPr>
      <w:snapToGrid w:val="0"/>
      <w:color w:val="000000"/>
      <w:sz w:val="14"/>
    </w:rPr>
  </w:style>
  <w:style w:type="character" w:customStyle="1" w:styleId="Zkladntext2Char">
    <w:name w:val="Základní text 2 Char"/>
    <w:basedOn w:val="Standardnpsmoodstavce"/>
    <w:link w:val="Zkladntext2"/>
    <w:rsid w:val="00E06274"/>
    <w:rPr>
      <w:rFonts w:ascii="Arial" w:eastAsia="Times New Roman" w:hAnsi="Arial" w:cs="Times New Roman"/>
      <w:snapToGrid w:val="0"/>
      <w:color w:val="000000"/>
      <w:sz w:val="14"/>
      <w:szCs w:val="20"/>
      <w:lang w:eastAsia="cs-CZ"/>
    </w:rPr>
  </w:style>
  <w:style w:type="paragraph" w:styleId="Zkladntextodsazen3">
    <w:name w:val="Body Text Indent 3"/>
    <w:basedOn w:val="Normln"/>
    <w:link w:val="Zkladntextodsazen3Char"/>
    <w:rsid w:val="00E06274"/>
    <w:pPr>
      <w:ind w:left="284" w:firstLine="0"/>
      <w:jc w:val="both"/>
    </w:pPr>
    <w:rPr>
      <w:snapToGrid w:val="0"/>
      <w:color w:val="000000"/>
      <w:sz w:val="14"/>
    </w:rPr>
  </w:style>
  <w:style w:type="character" w:customStyle="1" w:styleId="Zkladntextodsazen3Char">
    <w:name w:val="Základní text odsazený 3 Char"/>
    <w:basedOn w:val="Standardnpsmoodstavce"/>
    <w:link w:val="Zkladntextodsazen3"/>
    <w:rsid w:val="00E06274"/>
    <w:rPr>
      <w:rFonts w:ascii="Arial" w:eastAsia="Times New Roman" w:hAnsi="Arial" w:cs="Times New Roman"/>
      <w:snapToGrid w:val="0"/>
      <w:color w:val="000000"/>
      <w:sz w:val="14"/>
      <w:szCs w:val="20"/>
      <w:lang w:eastAsia="cs-CZ"/>
    </w:rPr>
  </w:style>
  <w:style w:type="paragraph" w:styleId="Zkladntext3">
    <w:name w:val="Body Text 3"/>
    <w:basedOn w:val="Normln"/>
    <w:link w:val="Zkladntext3Char"/>
    <w:rsid w:val="00E06274"/>
    <w:pPr>
      <w:ind w:firstLine="0"/>
      <w:jc w:val="both"/>
    </w:pPr>
    <w:rPr>
      <w:snapToGrid w:val="0"/>
      <w:color w:val="FF0000"/>
      <w:sz w:val="14"/>
    </w:rPr>
  </w:style>
  <w:style w:type="character" w:customStyle="1" w:styleId="Zkladntext3Char">
    <w:name w:val="Základní text 3 Char"/>
    <w:basedOn w:val="Standardnpsmoodstavce"/>
    <w:link w:val="Zkladntext3"/>
    <w:rsid w:val="00E06274"/>
    <w:rPr>
      <w:rFonts w:ascii="Arial" w:eastAsia="Times New Roman" w:hAnsi="Arial" w:cs="Times New Roman"/>
      <w:snapToGrid w:val="0"/>
      <w:color w:val="FF0000"/>
      <w:sz w:val="14"/>
      <w:szCs w:val="20"/>
      <w:lang w:eastAsia="cs-CZ"/>
    </w:rPr>
  </w:style>
  <w:style w:type="paragraph" w:customStyle="1" w:styleId="Normln1">
    <w:name w:val="Normální1"/>
    <w:basedOn w:val="Normln"/>
    <w:rsid w:val="00E06274"/>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274"/>
    <w:pPr>
      <w:spacing w:after="0" w:line="240" w:lineRule="auto"/>
      <w:ind w:firstLine="567"/>
    </w:pPr>
    <w:rPr>
      <w:rFonts w:ascii="Arial" w:eastAsia="Times New Roman" w:hAnsi="Arial" w:cs="Times New Roman"/>
      <w:sz w:val="24"/>
      <w:szCs w:val="20"/>
      <w:lang w:eastAsia="cs-CZ"/>
    </w:rPr>
  </w:style>
  <w:style w:type="paragraph" w:styleId="Nadpis4">
    <w:name w:val="heading 4"/>
    <w:basedOn w:val="Normln"/>
    <w:next w:val="Normln"/>
    <w:link w:val="Nadpis4Char"/>
    <w:qFormat/>
    <w:rsid w:val="00E06274"/>
    <w:pPr>
      <w:keepNext/>
      <w:ind w:left="567" w:firstLine="0"/>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06274"/>
    <w:rPr>
      <w:rFonts w:ascii="Arial" w:eastAsia="Times New Roman" w:hAnsi="Arial" w:cs="Times New Roman"/>
      <w:b/>
      <w:sz w:val="24"/>
      <w:szCs w:val="20"/>
      <w:lang w:eastAsia="cs-CZ"/>
    </w:rPr>
  </w:style>
  <w:style w:type="paragraph" w:styleId="Zpat">
    <w:name w:val="footer"/>
    <w:basedOn w:val="Normln"/>
    <w:link w:val="ZpatChar"/>
    <w:rsid w:val="00E06274"/>
    <w:pPr>
      <w:tabs>
        <w:tab w:val="left" w:pos="993"/>
        <w:tab w:val="center" w:pos="4820"/>
        <w:tab w:val="right" w:pos="9639"/>
      </w:tabs>
      <w:ind w:firstLine="0"/>
    </w:pPr>
    <w:rPr>
      <w:sz w:val="16"/>
    </w:rPr>
  </w:style>
  <w:style w:type="character" w:customStyle="1" w:styleId="ZpatChar">
    <w:name w:val="Zápatí Char"/>
    <w:basedOn w:val="Standardnpsmoodstavce"/>
    <w:link w:val="Zpat"/>
    <w:rsid w:val="00E06274"/>
    <w:rPr>
      <w:rFonts w:ascii="Arial" w:eastAsia="Times New Roman" w:hAnsi="Arial" w:cs="Times New Roman"/>
      <w:sz w:val="16"/>
      <w:szCs w:val="20"/>
      <w:lang w:eastAsia="cs-CZ"/>
    </w:rPr>
  </w:style>
  <w:style w:type="paragraph" w:styleId="Zkladntext">
    <w:name w:val="Body Text"/>
    <w:basedOn w:val="Normln"/>
    <w:link w:val="ZkladntextChar"/>
    <w:rsid w:val="00E06274"/>
    <w:pPr>
      <w:ind w:firstLine="0"/>
      <w:jc w:val="both"/>
    </w:pPr>
    <w:rPr>
      <w:sz w:val="20"/>
    </w:rPr>
  </w:style>
  <w:style w:type="character" w:customStyle="1" w:styleId="ZkladntextChar">
    <w:name w:val="Základní text Char"/>
    <w:basedOn w:val="Standardnpsmoodstavce"/>
    <w:link w:val="Zkladntext"/>
    <w:rsid w:val="00E06274"/>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E06274"/>
    <w:pPr>
      <w:ind w:left="284"/>
      <w:jc w:val="both"/>
    </w:pPr>
    <w:rPr>
      <w:snapToGrid w:val="0"/>
      <w:color w:val="000000"/>
      <w:sz w:val="14"/>
    </w:rPr>
  </w:style>
  <w:style w:type="character" w:customStyle="1" w:styleId="Zkladntextodsazen2Char">
    <w:name w:val="Základní text odsazený 2 Char"/>
    <w:basedOn w:val="Standardnpsmoodstavce"/>
    <w:link w:val="Zkladntextodsazen2"/>
    <w:rsid w:val="00E06274"/>
    <w:rPr>
      <w:rFonts w:ascii="Arial" w:eastAsia="Times New Roman" w:hAnsi="Arial" w:cs="Times New Roman"/>
      <w:snapToGrid w:val="0"/>
      <w:color w:val="000000"/>
      <w:sz w:val="14"/>
      <w:szCs w:val="20"/>
      <w:lang w:eastAsia="cs-CZ"/>
    </w:rPr>
  </w:style>
  <w:style w:type="paragraph" w:styleId="Zkladntext2">
    <w:name w:val="Body Text 2"/>
    <w:basedOn w:val="Normln"/>
    <w:link w:val="Zkladntext2Char"/>
    <w:rsid w:val="00E06274"/>
    <w:pPr>
      <w:ind w:firstLine="0"/>
      <w:jc w:val="both"/>
    </w:pPr>
    <w:rPr>
      <w:snapToGrid w:val="0"/>
      <w:color w:val="000000"/>
      <w:sz w:val="14"/>
    </w:rPr>
  </w:style>
  <w:style w:type="character" w:customStyle="1" w:styleId="Zkladntext2Char">
    <w:name w:val="Základní text 2 Char"/>
    <w:basedOn w:val="Standardnpsmoodstavce"/>
    <w:link w:val="Zkladntext2"/>
    <w:rsid w:val="00E06274"/>
    <w:rPr>
      <w:rFonts w:ascii="Arial" w:eastAsia="Times New Roman" w:hAnsi="Arial" w:cs="Times New Roman"/>
      <w:snapToGrid w:val="0"/>
      <w:color w:val="000000"/>
      <w:sz w:val="14"/>
      <w:szCs w:val="20"/>
      <w:lang w:eastAsia="cs-CZ"/>
    </w:rPr>
  </w:style>
  <w:style w:type="paragraph" w:styleId="Zkladntextodsazen3">
    <w:name w:val="Body Text Indent 3"/>
    <w:basedOn w:val="Normln"/>
    <w:link w:val="Zkladntextodsazen3Char"/>
    <w:rsid w:val="00E06274"/>
    <w:pPr>
      <w:ind w:left="284" w:firstLine="0"/>
      <w:jc w:val="both"/>
    </w:pPr>
    <w:rPr>
      <w:snapToGrid w:val="0"/>
      <w:color w:val="000000"/>
      <w:sz w:val="14"/>
    </w:rPr>
  </w:style>
  <w:style w:type="character" w:customStyle="1" w:styleId="Zkladntextodsazen3Char">
    <w:name w:val="Základní text odsazený 3 Char"/>
    <w:basedOn w:val="Standardnpsmoodstavce"/>
    <w:link w:val="Zkladntextodsazen3"/>
    <w:rsid w:val="00E06274"/>
    <w:rPr>
      <w:rFonts w:ascii="Arial" w:eastAsia="Times New Roman" w:hAnsi="Arial" w:cs="Times New Roman"/>
      <w:snapToGrid w:val="0"/>
      <w:color w:val="000000"/>
      <w:sz w:val="14"/>
      <w:szCs w:val="20"/>
      <w:lang w:eastAsia="cs-CZ"/>
    </w:rPr>
  </w:style>
  <w:style w:type="paragraph" w:styleId="Zkladntext3">
    <w:name w:val="Body Text 3"/>
    <w:basedOn w:val="Normln"/>
    <w:link w:val="Zkladntext3Char"/>
    <w:rsid w:val="00E06274"/>
    <w:pPr>
      <w:ind w:firstLine="0"/>
      <w:jc w:val="both"/>
    </w:pPr>
    <w:rPr>
      <w:snapToGrid w:val="0"/>
      <w:color w:val="FF0000"/>
      <w:sz w:val="14"/>
    </w:rPr>
  </w:style>
  <w:style w:type="character" w:customStyle="1" w:styleId="Zkladntext3Char">
    <w:name w:val="Základní text 3 Char"/>
    <w:basedOn w:val="Standardnpsmoodstavce"/>
    <w:link w:val="Zkladntext3"/>
    <w:rsid w:val="00E06274"/>
    <w:rPr>
      <w:rFonts w:ascii="Arial" w:eastAsia="Times New Roman" w:hAnsi="Arial" w:cs="Times New Roman"/>
      <w:snapToGrid w:val="0"/>
      <w:color w:val="FF0000"/>
      <w:sz w:val="14"/>
      <w:szCs w:val="20"/>
      <w:lang w:eastAsia="cs-CZ"/>
    </w:rPr>
  </w:style>
  <w:style w:type="paragraph" w:customStyle="1" w:styleId="Normln1">
    <w:name w:val="Normální1"/>
    <w:basedOn w:val="Normln"/>
    <w:rsid w:val="00E0627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1741</Words>
  <Characters>10276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petrab</dc:creator>
  <cp:lastModifiedBy>petrab</cp:lastModifiedBy>
  <cp:revision>1</cp:revision>
  <dcterms:created xsi:type="dcterms:W3CDTF">2017-11-06T12:02:00Z</dcterms:created>
  <dcterms:modified xsi:type="dcterms:W3CDTF">2017-11-06T12:03:00Z</dcterms:modified>
</cp:coreProperties>
</file>