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040"/>
        <w:gridCol w:w="760"/>
        <w:gridCol w:w="560"/>
        <w:gridCol w:w="1160"/>
        <w:gridCol w:w="1360"/>
      </w:tblGrid>
      <w:tr w:rsidR="00D57091" w:rsidRPr="00D57091" w:rsidTr="00D57091">
        <w:trPr>
          <w:trHeight w:val="345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</w:pPr>
            <w:bookmarkStart w:id="0" w:name="_GoBack"/>
            <w:bookmarkEnd w:id="0"/>
            <w:r w:rsidRPr="00D57091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  <w:t xml:space="preserve">Úprava koupelny a </w:t>
            </w:r>
            <w:proofErr w:type="spellStart"/>
            <w:r w:rsidRPr="00D57091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  <w:t xml:space="preserve"> SOŠ pro administrativu EU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  <w:t>Datum: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cs-CZ"/>
              </w:rPr>
            </w:pPr>
          </w:p>
        </w:tc>
      </w:tr>
      <w:tr w:rsidR="00D57091" w:rsidRPr="00D57091" w:rsidTr="00D57091">
        <w:trPr>
          <w:trHeight w:val="27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4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  <w:t>Zhotovitel: Hartex CZ s.r.o., Českolipská 325, 412 01  Litoměřice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1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Rekapitulace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Celkem koupelna a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 bourání včetně likvidace suti (bez DPH):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12 223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Celkem Koupelna a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 stavební práce (bez DPH):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156 272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 (bez DPH)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168 494 Kč</w:t>
            </w:r>
          </w:p>
        </w:tc>
      </w:tr>
      <w:tr w:rsidR="00D57091" w:rsidRPr="00D57091" w:rsidTr="00D57091">
        <w:trPr>
          <w:trHeight w:val="1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2F2F2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č. pol.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Popis položky (Dodávka + montáž)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2F2F2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počet </w:t>
            </w:r>
            <w:proofErr w:type="spellStart"/>
            <w:proofErr w:type="gram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m.j</w:t>
            </w:r>
            <w:proofErr w:type="spell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CC" w:fill="F2F2F2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proofErr w:type="gram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m.j</w:t>
            </w:r>
            <w:proofErr w:type="spell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CC" w:fill="F2F2F2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cena za </w:t>
            </w:r>
            <w:proofErr w:type="spellStart"/>
            <w:proofErr w:type="gram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m.j</w:t>
            </w:r>
            <w:proofErr w:type="spell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. (bez</w:t>
            </w:r>
            <w:proofErr w:type="gram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DPH)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2F2F2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cena celkem (bez DPH)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 xml:space="preserve">Koupelna a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 xml:space="preserve"> bourací práce: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vybourání stávající dlažby včetně likvidace odpadu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4,0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285,0 Kč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1 140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vybourání stávajících obkladů včetně likvidace odpadu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18,5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285,0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5 273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škrábání stávajících omítek stěn včetně likvidace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7,0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190,0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1 330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škrábání stávajících omítek stropu včetně likvidace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220,0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880 Kč</w:t>
            </w:r>
          </w:p>
        </w:tc>
      </w:tr>
      <w:tr w:rsidR="00D57091" w:rsidRPr="00D57091" w:rsidTr="00D5709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demontáž stávajícího sprchového koutu včetně zástěny včetně likvidace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1 500,0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1 500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demontáž stávajícího umyvadla včetně likvidace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350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demontáž stávajícího </w:t>
            </w:r>
            <w:proofErr w:type="spell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včetně likvidace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450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demontáž svítidel včetně likvidace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600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demontáž vybavení koupelny včetně likvidace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175,0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700 Kč</w:t>
            </w:r>
          </w:p>
        </w:tc>
      </w:tr>
      <w:tr w:rsidR="00D57091" w:rsidRPr="00D57091" w:rsidTr="00D57091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Celkem koupelna a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 bourání včetně likvidace suti (bez DPH):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12 223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 xml:space="preserve">Koupelna a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  <w:t xml:space="preserve"> stavební práce: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10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vyrovnání podlahy po odstranění dlažby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4,0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325,0 Kč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1 300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vyrovnání stěn po odstranění obkladu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18,5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285,0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5 273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štukování stropu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8,0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120,0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960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provedení hydroizolační stěrky pod sprchový kout a na stěny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7,0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485,0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3 395 Kč</w:t>
            </w:r>
          </w:p>
        </w:tc>
      </w:tr>
      <w:tr w:rsidR="00D57091" w:rsidRPr="00D57091" w:rsidTr="00D57091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 xml:space="preserve">Dodávka: </w:t>
            </w:r>
            <w:proofErr w:type="spellStart"/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podomítkový</w:t>
            </w:r>
            <w:proofErr w:type="spellEnd"/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 xml:space="preserve"> splachovací modul vč. tlačítka, klozetu, sedátka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TECEprofil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montážní prvek pro WC se splach. </w:t>
            </w:r>
            <w:proofErr w:type="gram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nádržkou</w:t>
            </w:r>
            <w:proofErr w:type="gram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TECE, ovládání zepředu, stavební výška 1120 mm, TECE base ovládací tlačítko pro WC, dvojčinné, bílá, Toaleta závěsná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Gustavsberg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ARTIC WH, zpomalovací WC sedátko, bílá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EasyPLUS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glazura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12 996,0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12 996 Kč</w:t>
            </w:r>
          </w:p>
        </w:tc>
      </w:tr>
      <w:tr w:rsidR="00D57091" w:rsidRPr="00D57091" w:rsidTr="00D57091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osazení </w:t>
            </w:r>
            <w:proofErr w:type="spell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podom</w:t>
            </w:r>
            <w:proofErr w:type="spell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. splach. </w:t>
            </w:r>
            <w:proofErr w:type="gram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modulu</w:t>
            </w:r>
            <w:proofErr w:type="gram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včetně napojení na odpady a vodu v novém místě, vč. připojovacího materiálu, vč. osazení klozetu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2 500,0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2 500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16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SDK </w:t>
            </w:r>
            <w:proofErr w:type="spell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obestavba</w:t>
            </w:r>
            <w:proofErr w:type="spellEnd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</w:t>
            </w:r>
            <w:proofErr w:type="spellStart"/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geberitu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1 800,0 Kč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3 060 Kč</w:t>
            </w:r>
          </w:p>
        </w:tc>
      </w:tr>
      <w:tr w:rsidR="00D57091" w:rsidRPr="00D57091" w:rsidTr="00D57091">
        <w:trPr>
          <w:trHeight w:val="180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lastRenderedPageBreak/>
              <w:t>17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 xml:space="preserve">Dodávka: umyvadlo vč. stojánkové baterie, vč. sifonu, </w:t>
            </w:r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LOFT Umyvadlová baterie bez automatického odtoku, páka, </w:t>
            </w:r>
            <w:r w:rsidRPr="00D57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příval, chrom TRES, </w:t>
            </w:r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Umyvadlová výpusť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click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/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clack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5/4 A391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AlcaPlast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malá zátka, celokovová, Umyvadlový sifon A43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AlcaPlast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průměr 40 mm s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převlečnou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maticí 5/4, Umyvadlo 56 cm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Gustavsberg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NAUTIC 56, bílá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EasyPLUS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glazura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9 925,0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9 925 Kč</w:t>
            </w:r>
          </w:p>
        </w:tc>
      </w:tr>
      <w:tr w:rsidR="00D57091" w:rsidRPr="00D57091" w:rsidTr="00D5709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osazení umyvadla a baterie včetně napojení na stávající odpady a vodu, vč. připojovacího materiálu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2 850,0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2 850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Dodávka: skleněná sprchová zástěna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15 900,0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15 900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Montáž sklenění sprchové zástěny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2 950,0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2 950 Kč</w:t>
            </w:r>
          </w:p>
        </w:tc>
      </w:tr>
      <w:tr w:rsidR="00D57091" w:rsidRPr="00D57091" w:rsidTr="00D57091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 xml:space="preserve">Dodávka: sprchová baterie vč. hadice a hlavice,  </w:t>
            </w:r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Sprchová páková baterie nástěnná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Gustavsberg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NAUTIC, chrom, Sprchová hadice 150cm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Ravak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jednozámková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911.00, nerez, Sprchová růžice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Ravak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3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function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953.00, Držák sprchy s vývodem 706.00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Ravak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, mosaz, Sprchové dveře otvíravé/fixní, skleněné,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7 474,0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7 474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Montáž sprchové baterie na stávající vývody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1 200,0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1 200 Kč</w:t>
            </w:r>
          </w:p>
        </w:tc>
      </w:tr>
      <w:tr w:rsidR="00D57091" w:rsidRPr="00D57091" w:rsidTr="00D57091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 xml:space="preserve">Dodávka: odtokový sprchový žlab, </w:t>
            </w:r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podlahový nerezový žlab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AlcaPlast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1100 mm s okrajem, Rošt PURE-1050L, lesk - pro žlab APZ1-1050 a APZ4-1050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AlcaPlast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6 484,0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6 484 Kč</w:t>
            </w:r>
          </w:p>
        </w:tc>
      </w:tr>
      <w:tr w:rsidR="00D57091" w:rsidRPr="00D57091" w:rsidTr="00D5709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osazení odtokového žlabu sprchového koutu včetně napojení na odpad, vč. připojovacího materiálu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2 500,0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2 500 Kč</w:t>
            </w:r>
          </w:p>
        </w:tc>
      </w:tr>
      <w:tr w:rsidR="00D57091" w:rsidRPr="00D57091" w:rsidTr="00D5709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provedení sprchové podlahy - betonová mazaniny bude upřesněno dle výšky odpadu a možnosti osazení žlábku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m3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18 500,0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925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 xml:space="preserve">Dodávka: dlažba a obklady </w:t>
            </w:r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Ragno JAZZ </w:t>
            </w:r>
            <w:proofErr w:type="gram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Brown</w:t>
            </w:r>
            <w:proofErr w:type="gram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– </w:t>
            </w:r>
            <w:proofErr w:type="gramStart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RGN</w:t>
            </w:r>
            <w:proofErr w:type="gramEnd"/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 xml:space="preserve"> 30x6</w:t>
            </w: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11,0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1 290,0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14 190 Kč</w:t>
            </w:r>
          </w:p>
        </w:tc>
      </w:tr>
      <w:tr w:rsidR="00D57091" w:rsidRPr="00D57091" w:rsidTr="00D5709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 xml:space="preserve">pokládka dlažby včetně spárování </w:t>
            </w:r>
            <w:r w:rsidRPr="00D57091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Ragno JAZZ </w:t>
            </w:r>
            <w:proofErr w:type="gramStart"/>
            <w:r w:rsidRPr="00D57091">
              <w:rPr>
                <w:rFonts w:ascii="Calibri" w:eastAsia="Times New Roman" w:hAnsi="Calibri" w:cs="Arial"/>
                <w:b/>
                <w:bCs/>
                <w:lang w:eastAsia="cs-CZ"/>
              </w:rPr>
              <w:t>Brown</w:t>
            </w:r>
            <w:proofErr w:type="gramEnd"/>
            <w:r w:rsidRPr="00D57091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– </w:t>
            </w:r>
            <w:proofErr w:type="gramStart"/>
            <w:r w:rsidRPr="00D57091">
              <w:rPr>
                <w:rFonts w:ascii="Calibri" w:eastAsia="Times New Roman" w:hAnsi="Calibri" w:cs="Arial"/>
                <w:b/>
                <w:bCs/>
                <w:lang w:eastAsia="cs-CZ"/>
              </w:rPr>
              <w:t>RGN</w:t>
            </w:r>
            <w:proofErr w:type="gramEnd"/>
            <w:r w:rsidRPr="00D57091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30x60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11,0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690,0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7 590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 xml:space="preserve">Dodávka: dlažba a obklad </w:t>
            </w:r>
            <w:r w:rsidRPr="00D57091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cs-CZ"/>
              </w:rPr>
              <w:t>Ragno JAZZ Beige – RGN 30x60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23,0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1 290,0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29 670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 xml:space="preserve">obložení stěn včetně spárování </w:t>
            </w:r>
            <w:r w:rsidRPr="00D57091">
              <w:rPr>
                <w:rFonts w:ascii="Calibri" w:eastAsia="Times New Roman" w:hAnsi="Calibri" w:cs="Arial"/>
                <w:b/>
                <w:bCs/>
                <w:lang w:eastAsia="cs-CZ"/>
              </w:rPr>
              <w:t>Ragno JAZZ Beige – RGN 30x60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23,0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690,0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15 870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výmalba stropu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4,0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240,0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960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 xml:space="preserve">Dodávka: svítidlo koupelny a </w:t>
            </w:r>
            <w:proofErr w:type="spellStart"/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>2,0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1 250,0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2 500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 xml:space="preserve">osazení nového svítidla koupelny a </w:t>
            </w:r>
            <w:proofErr w:type="spellStart"/>
            <w:r w:rsidRPr="00D57091">
              <w:rPr>
                <w:rFonts w:ascii="Calibri" w:eastAsia="Times New Roman" w:hAnsi="Calibri" w:cs="Arial"/>
                <w:lang w:eastAsia="cs-CZ"/>
              </w:rPr>
              <w:t>wc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2,0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300,0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600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>Dodávka: ventilátor s doběhem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1 350,0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i/>
                <w:iCs/>
                <w:color w:val="000000"/>
                <w:lang w:eastAsia="cs-CZ"/>
              </w:rPr>
              <w:t>1 350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osazení ventilátoru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350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nátěr dveří a zárubní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2,0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cs-CZ"/>
              </w:rPr>
            </w:pPr>
            <w:r w:rsidRPr="00D57091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1 750,0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000000"/>
                <w:lang w:eastAsia="cs-CZ"/>
              </w:rPr>
              <w:t>3 500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Celkem Koupelna a </w:t>
            </w:r>
            <w:proofErr w:type="spellStart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wc</w:t>
            </w:r>
            <w:proofErr w:type="spellEnd"/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 stavební práce (bez DPH):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156 272 Kč</w:t>
            </w: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specifikace obkladů a sanitárního zařízení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obklad + dlažba Ragno JAZZ Beige – RGN 30x60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obklad + dlažba Ragno JAZZ </w:t>
            </w:r>
            <w:proofErr w:type="gram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Brown</w:t>
            </w:r>
            <w:proofErr w:type="gram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– </w:t>
            </w:r>
            <w:proofErr w:type="gram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RGN</w:t>
            </w:r>
            <w:proofErr w:type="gram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30x60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TECEprofil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montážní prvek pro WC se splach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nádržkou</w:t>
            </w:r>
            <w:proofErr w:type="gram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TECE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, </w:t>
            </w: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ovládání zepředu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, </w:t>
            </w: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stavební výška 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1120 mm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TECEbase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ovládací tlačítko pro WC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, </w:t>
            </w: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dvojčinné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, bílá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Toaleta závěsná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Gustavsberg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ARTIC 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WH, zpomalovací WC sedátko, bílá 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EasyPLUS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 glazura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LOFT Umyvadlová baterie bez automatického odtoku, páka, 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příval, chrom TRES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Umyvadlová výpusť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click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/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clack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 5/4 A391 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AlcaPlast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 malá zátka, celokovová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Umyvadlový sifon A43 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AlcaPlast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 průměr </w:t>
            </w: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40 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mm s 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převlečnou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 maticí 5/4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Umyvadlo 56 cm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Gustavsberg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NAUTIC 56, bílá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EasyPLUS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glazura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Sprchová páková baterie nástěnná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Gustavsberg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NAUTIC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, chrom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Sprchová hadice 150cm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Ravak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jednozámková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911.00, nerez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Sprchová růžice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Ravak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3 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function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 953.00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Držák sprchy s vývodem 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706.00 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Ravak</w:t>
            </w:r>
            <w:proofErr w:type="spellEnd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, mosaz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Sprchové dveře otvíravé/fixní, skleněné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podlahový nerezový žlab </w:t>
            </w:r>
            <w:proofErr w:type="spellStart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AlcaPlast</w:t>
            </w:r>
            <w:proofErr w:type="spellEnd"/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 xml:space="preserve"> 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1100 mm s okrajem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Rošt PURE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-1050L, lesk - </w:t>
            </w:r>
            <w:r w:rsidRPr="00D57091">
              <w:rPr>
                <w:rFonts w:ascii="Calibri" w:eastAsia="Times New Roman" w:hAnsi="Calibri" w:cs="Arial"/>
                <w:color w:val="FF6600"/>
                <w:lang w:eastAsia="cs-CZ"/>
              </w:rPr>
              <w:t>pro žlab APZ</w:t>
            </w:r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 xml:space="preserve">1-1050 a APZ4-1050 </w:t>
            </w:r>
            <w:proofErr w:type="spellStart"/>
            <w:r w:rsidRPr="00D57091"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  <w:t>AlcaPlast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Calibri" w:eastAsia="Times New Roman" w:hAnsi="Calibri" w:cs="Arial"/>
                <w:color w:val="FF66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091" w:rsidRPr="00D57091" w:rsidTr="00D5709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7091" w:rsidRPr="00D57091" w:rsidRDefault="00D57091" w:rsidP="00D5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91" w:rsidRPr="00D57091" w:rsidRDefault="00D57091" w:rsidP="00D5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12FE8" w:rsidRDefault="00C12FE8"/>
    <w:sectPr w:rsidR="00C1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8F"/>
    <w:rsid w:val="00C12FE8"/>
    <w:rsid w:val="00D57091"/>
    <w:rsid w:val="00F200EA"/>
    <w:rsid w:val="00F6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70F4-A5F1-4A68-B469-87F125D4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Háva Radek</dc:creator>
  <cp:keywords/>
  <dc:description/>
  <cp:lastModifiedBy>Alois Potěšil</cp:lastModifiedBy>
  <cp:revision>2</cp:revision>
  <dcterms:created xsi:type="dcterms:W3CDTF">2017-11-27T09:11:00Z</dcterms:created>
  <dcterms:modified xsi:type="dcterms:W3CDTF">2017-11-27T09:11:00Z</dcterms:modified>
</cp:coreProperties>
</file>