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066" w:rsidRDefault="00772876">
      <w:pPr>
        <w:pStyle w:val="Nadpis1"/>
        <w:jc w:val="center"/>
        <w:rPr>
          <w:rFonts w:cs="Arial"/>
          <w:sz w:val="32"/>
          <w:szCs w:val="32"/>
        </w:rPr>
      </w:pPr>
      <w:bookmarkStart w:id="0" w:name="_GoBack"/>
      <w:bookmarkEnd w:id="0"/>
      <w:r>
        <w:rPr>
          <w:rFonts w:cs="Arial"/>
          <w:sz w:val="32"/>
          <w:szCs w:val="32"/>
        </w:rPr>
        <w:t>K u p n í   s m l o u v a</w:t>
      </w:r>
    </w:p>
    <w:p w:rsidR="00A32066" w:rsidRDefault="00A32066">
      <w:pPr>
        <w:pStyle w:val="Standard"/>
        <w:jc w:val="center"/>
        <w:rPr>
          <w:rFonts w:ascii="Arial" w:hAnsi="Arial" w:cs="Arial"/>
          <w:b/>
        </w:rPr>
      </w:pPr>
    </w:p>
    <w:p w:rsidR="00A32066" w:rsidRDefault="00772876">
      <w:pPr>
        <w:pStyle w:val="Standard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uzavřená podle § 2079 a násl. občanského zákoníku č. 89/2012 Sb. v platném znění</w:t>
      </w:r>
    </w:p>
    <w:p w:rsidR="00A32066" w:rsidRDefault="00A32066">
      <w:pPr>
        <w:pStyle w:val="Standard"/>
        <w:jc w:val="center"/>
        <w:rPr>
          <w:rFonts w:ascii="Arial" w:hAnsi="Arial" w:cs="Arial"/>
          <w:sz w:val="22"/>
        </w:rPr>
      </w:pPr>
    </w:p>
    <w:p w:rsidR="00A32066" w:rsidRDefault="00772876">
      <w:pPr>
        <w:pStyle w:val="Standard"/>
        <w:jc w:val="center"/>
      </w:pPr>
      <w:r>
        <w:rPr>
          <w:rFonts w:ascii="Arial" w:hAnsi="Arial" w:cs="Arial"/>
          <w:b/>
          <w:sz w:val="24"/>
          <w:szCs w:val="24"/>
        </w:rPr>
        <w:t>číslo smlouvy: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A53347">
        <w:rPr>
          <w:rFonts w:ascii="Arial" w:hAnsi="Arial" w:cs="Arial"/>
          <w:b/>
          <w:sz w:val="24"/>
          <w:szCs w:val="24"/>
        </w:rPr>
        <w:t>992</w:t>
      </w:r>
      <w:r>
        <w:rPr>
          <w:rFonts w:ascii="Arial" w:hAnsi="Arial" w:cs="Arial"/>
          <w:b/>
          <w:color w:val="000000"/>
          <w:sz w:val="24"/>
          <w:szCs w:val="24"/>
        </w:rPr>
        <w:t>/2016</w:t>
      </w:r>
    </w:p>
    <w:p w:rsidR="00A32066" w:rsidRDefault="00A32066">
      <w:pPr>
        <w:pStyle w:val="Standard"/>
        <w:pBdr>
          <w:bottom w:val="single" w:sz="2" w:space="1" w:color="00000A"/>
        </w:pBdr>
        <w:spacing w:line="120" w:lineRule="auto"/>
        <w:rPr>
          <w:rFonts w:ascii="Arial" w:hAnsi="Arial" w:cs="Arial"/>
        </w:rPr>
      </w:pPr>
    </w:p>
    <w:p w:rsidR="00A32066" w:rsidRDefault="00A32066">
      <w:pPr>
        <w:pStyle w:val="Standard"/>
        <w:rPr>
          <w:rFonts w:ascii="Arial" w:hAnsi="Arial" w:cs="Arial"/>
          <w:b/>
        </w:rPr>
      </w:pP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1. Smluvní strany</w:t>
      </w: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numPr>
          <w:ilvl w:val="1"/>
          <w:numId w:val="9"/>
        </w:num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Prodávající</w:t>
      </w: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tbl>
      <w:tblPr>
        <w:tblW w:w="817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9"/>
        <w:gridCol w:w="288"/>
        <w:gridCol w:w="5833"/>
      </w:tblGrid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Obchodní firma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CHROMSPEC spol. s r.o.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Sídlo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Preformatted"/>
              <w:tabs>
                <w:tab w:val="clear" w:pos="0"/>
                <w:tab w:val="clear" w:pos="959"/>
                <w:tab w:val="clear" w:pos="1918"/>
                <w:tab w:val="clear" w:pos="2877"/>
                <w:tab w:val="clear" w:pos="3836"/>
                <w:tab w:val="clear" w:pos="4795"/>
                <w:tab w:val="clear" w:pos="5754"/>
                <w:tab w:val="clear" w:pos="6713"/>
                <w:tab w:val="clear" w:pos="7672"/>
                <w:tab w:val="clear" w:pos="8631"/>
                <w:tab w:val="clear" w:pos="9590"/>
              </w:tabs>
              <w:overflowPunct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Jindřicha Plachty 28, 150 00  Praha 5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Statutární orgán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Ing. Zdeněk Moravec, jednatel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Technický zástupce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Ing. Zdeněk Moravec</w:t>
            </w:r>
          </w:p>
        </w:tc>
      </w:tr>
      <w:tr w:rsidR="00A32066">
        <w:trPr>
          <w:trHeight w:val="175"/>
        </w:trPr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IČ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44794053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DIČ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CZ44794053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Bankovní spojení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KB Praha - Smíchov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Číslo účtu     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33101051/0100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Telefon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318599083</w:t>
            </w:r>
          </w:p>
        </w:tc>
      </w:tr>
    </w:tbl>
    <w:p w:rsidR="00A32066" w:rsidRDefault="00A32066">
      <w:pPr>
        <w:pStyle w:val="Standard"/>
        <w:rPr>
          <w:rFonts w:ascii="Arial" w:hAnsi="Arial" w:cs="Arial"/>
          <w:b/>
          <w:sz w:val="24"/>
          <w:szCs w:val="24"/>
        </w:rPr>
      </w:pPr>
    </w:p>
    <w:p w:rsidR="00A32066" w:rsidRDefault="00772876">
      <w:pPr>
        <w:pStyle w:val="Standard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Prodávající je zapsán v Obchodním rejstříku vedeném Městským soudem V Praze, oddíl C, vložka 5418.</w:t>
      </w:r>
    </w:p>
    <w:p w:rsidR="00A32066" w:rsidRDefault="00A32066">
      <w:pPr>
        <w:pStyle w:val="Standard"/>
        <w:jc w:val="both"/>
        <w:rPr>
          <w:rFonts w:ascii="Arial" w:hAnsi="Arial" w:cs="Arial"/>
          <w:b/>
          <w:color w:val="000000"/>
          <w:sz w:val="22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a</w:t>
      </w: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numPr>
          <w:ilvl w:val="1"/>
          <w:numId w:val="9"/>
        </w:num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Kupující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</w:t>
      </w:r>
    </w:p>
    <w:tbl>
      <w:tblPr>
        <w:tblW w:w="817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9"/>
        <w:gridCol w:w="288"/>
        <w:gridCol w:w="5833"/>
      </w:tblGrid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Obchodní firma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Povodí Ohře, státní podnik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Sídlo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Bezručova 4219, Chomutov, PSČ 430 03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Statutární orgán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Ing. Jiří Nedoma, generální ředitel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Zástupce ve věcech smluvních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Ing. Jan Fischer, ekonomický ředitel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Technický zástupce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Textkomente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Ing. Miroslav </w:t>
            </w:r>
            <w:proofErr w:type="spellStart"/>
            <w:r>
              <w:rPr>
                <w:rFonts w:ascii="Arial" w:hAnsi="Arial" w:cs="Arial"/>
                <w:sz w:val="22"/>
              </w:rPr>
              <w:t>Beržinský</w:t>
            </w:r>
            <w:proofErr w:type="spellEnd"/>
            <w:r>
              <w:rPr>
                <w:rFonts w:ascii="Arial" w:hAnsi="Arial" w:cs="Arial"/>
                <w:sz w:val="22"/>
              </w:rPr>
              <w:t>, vedoucí odboru obchodní přípravy investic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IČ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70889988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DIČ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CZ70889988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Bankovní spojení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Komerční banka, a.s.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Číslo účtu     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9137441/0100</w:t>
            </w:r>
          </w:p>
        </w:tc>
      </w:tr>
      <w:tr w:rsidR="00A32066">
        <w:tc>
          <w:tcPr>
            <w:tcW w:w="204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Telefon</w:t>
            </w:r>
          </w:p>
        </w:tc>
        <w:tc>
          <w:tcPr>
            <w:tcW w:w="28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474 636 111</w:t>
            </w:r>
          </w:p>
        </w:tc>
      </w:tr>
    </w:tbl>
    <w:p w:rsidR="00A32066" w:rsidRDefault="00A32066">
      <w:pPr>
        <w:pStyle w:val="Standard"/>
        <w:jc w:val="center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tabs>
          <w:tab w:val="left" w:pos="3960"/>
          <w:tab w:val="center" w:pos="4536"/>
          <w:tab w:val="right" w:pos="907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Povodí Ohře, státní podnik je zapsán v obchodním rejstříku Krajského soudu v Ústí nad Labem v oddílu A, vložce č. 13052</w:t>
      </w: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ind w:left="2124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</w:t>
      </w:r>
    </w:p>
    <w:p w:rsidR="00A32066" w:rsidRDefault="00772876">
      <w:pPr>
        <w:pStyle w:val="Standard"/>
        <w:ind w:left="2124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uzavírají tuto kupní smlouvu:</w:t>
      </w:r>
    </w:p>
    <w:p w:rsidR="00A32066" w:rsidRDefault="00A32066">
      <w:pPr>
        <w:pStyle w:val="Standard"/>
        <w:rPr>
          <w:rFonts w:ascii="Arial" w:hAnsi="Arial" w:cs="Arial"/>
          <w:b/>
          <w:sz w:val="22"/>
          <w:u w:val="single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  <w:u w:val="single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  <w:u w:val="single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  <w:u w:val="single"/>
        </w:rPr>
      </w:pPr>
    </w:p>
    <w:p w:rsidR="00A53347" w:rsidRDefault="00A53347">
      <w:pPr>
        <w:pStyle w:val="Standard"/>
        <w:rPr>
          <w:rFonts w:ascii="Arial" w:hAnsi="Arial" w:cs="Arial"/>
          <w:b/>
          <w:sz w:val="22"/>
          <w:u w:val="single"/>
        </w:rPr>
      </w:pPr>
    </w:p>
    <w:p w:rsidR="00CC31C5" w:rsidRDefault="00CC31C5">
      <w:pPr>
        <w:pStyle w:val="Standard"/>
        <w:rPr>
          <w:rFonts w:ascii="Arial" w:hAnsi="Arial" w:cs="Arial"/>
          <w:b/>
          <w:sz w:val="22"/>
          <w:u w:val="single"/>
        </w:rPr>
      </w:pP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lastRenderedPageBreak/>
        <w:t>2. Předmět smlouvy</w:t>
      </w:r>
    </w:p>
    <w:p w:rsidR="00A32066" w:rsidRDefault="00A32066">
      <w:pPr>
        <w:pStyle w:val="Standard"/>
        <w:spacing w:line="120" w:lineRule="auto"/>
        <w:rPr>
          <w:rFonts w:ascii="Arial" w:hAnsi="Arial" w:cs="Arial"/>
          <w:b/>
          <w:sz w:val="22"/>
        </w:rPr>
      </w:pPr>
    </w:p>
    <w:p w:rsidR="00A32066" w:rsidRDefault="00A32066">
      <w:pPr>
        <w:pStyle w:val="Standard"/>
        <w:spacing w:line="120" w:lineRule="auto"/>
        <w:rPr>
          <w:rFonts w:ascii="Arial" w:hAnsi="Arial" w:cs="Arial"/>
          <w:b/>
          <w:sz w:val="22"/>
        </w:rPr>
      </w:pPr>
    </w:p>
    <w:p w:rsidR="00A32066" w:rsidRDefault="00772876">
      <w:pPr>
        <w:pStyle w:val="Textbody"/>
        <w:ind w:left="397" w:hanging="397"/>
      </w:pPr>
      <w:r>
        <w:rPr>
          <w:rFonts w:ascii="Arial" w:hAnsi="Arial" w:cs="Arial"/>
        </w:rPr>
        <w:t xml:space="preserve">2.1 Předmětem této smlouvy je převod vlastnického práva k movité věci, a to nového a nepoužitého </w:t>
      </w:r>
      <w:r>
        <w:rPr>
          <w:rFonts w:ascii="Arial" w:hAnsi="Arial" w:cs="Arial"/>
          <w:b/>
          <w:bCs/>
          <w:color w:val="000000"/>
          <w:szCs w:val="22"/>
        </w:rPr>
        <w:t>mikrovlnného rozkladného zařízení</w:t>
      </w:r>
      <w:r>
        <w:rPr>
          <w:rFonts w:ascii="Arial" w:hAnsi="Arial" w:cs="Arial"/>
          <w:i/>
          <w:color w:val="0070C0"/>
        </w:rPr>
        <w:t xml:space="preserve"> </w:t>
      </w:r>
      <w:r>
        <w:rPr>
          <w:rFonts w:ascii="Arial" w:hAnsi="Arial" w:cs="Arial"/>
        </w:rPr>
        <w:t>za podmínek podle této smlouvy.</w:t>
      </w:r>
    </w:p>
    <w:p w:rsidR="00A32066" w:rsidRDefault="00772876">
      <w:pPr>
        <w:pStyle w:val="Standard"/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  <w:t>(dále jen předmět této smlouvy)</w:t>
      </w:r>
    </w:p>
    <w:p w:rsidR="00A32066" w:rsidRDefault="00772876">
      <w:pPr>
        <w:pStyle w:val="Standard"/>
        <w:spacing w:line="12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tbl>
      <w:tblPr>
        <w:tblW w:w="5245" w:type="dxa"/>
        <w:tblInd w:w="19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2695"/>
      </w:tblGrid>
      <w:tr w:rsidR="00A32066">
        <w:tc>
          <w:tcPr>
            <w:tcW w:w="25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Typ/model:</w:t>
            </w:r>
          </w:p>
        </w:tc>
        <w:tc>
          <w:tcPr>
            <w:tcW w:w="26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Modelový kód:</w:t>
            </w:r>
            <w:r>
              <w:rPr>
                <w:rFonts w:ascii="Arial" w:hAnsi="Arial" w:cs="Arial"/>
                <w:sz w:val="22"/>
              </w:rPr>
              <w:tab/>
            </w:r>
          </w:p>
        </w:tc>
      </w:tr>
      <w:tr w:rsidR="00A32066">
        <w:tc>
          <w:tcPr>
            <w:tcW w:w="25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both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Milestone ETHOS UP</w:t>
            </w:r>
          </w:p>
        </w:tc>
        <w:tc>
          <w:tcPr>
            <w:tcW w:w="26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both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49010</w:t>
            </w:r>
          </w:p>
        </w:tc>
      </w:tr>
    </w:tbl>
    <w:p w:rsidR="00A32066" w:rsidRDefault="00A32066">
      <w:pPr>
        <w:pStyle w:val="Standard"/>
        <w:spacing w:line="120" w:lineRule="auto"/>
        <w:jc w:val="both"/>
        <w:rPr>
          <w:rFonts w:ascii="Arial" w:hAnsi="Arial" w:cs="Arial"/>
          <w:b/>
          <w:color w:val="FF0000"/>
          <w:sz w:val="22"/>
        </w:rPr>
      </w:pPr>
    </w:p>
    <w:p w:rsidR="00A32066" w:rsidRDefault="00772876">
      <w:pPr>
        <w:pStyle w:val="Standard"/>
        <w:numPr>
          <w:ilvl w:val="1"/>
          <w:numId w:val="14"/>
        </w:numPr>
        <w:jc w:val="both"/>
      </w:pPr>
      <w:r>
        <w:rPr>
          <w:rFonts w:ascii="Arial" w:hAnsi="Arial" w:cs="Arial"/>
          <w:sz w:val="22"/>
        </w:rPr>
        <w:t xml:space="preserve">Podrobná specifikace 1 ks </w:t>
      </w:r>
      <w:r>
        <w:rPr>
          <w:rFonts w:ascii="Arial" w:hAnsi="Arial" w:cs="Arial"/>
          <w:bCs/>
          <w:color w:val="000000"/>
          <w:sz w:val="22"/>
          <w:szCs w:val="22"/>
        </w:rPr>
        <w:t>mikrovlnného rozkladného zařízení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</w:rPr>
        <w:t>a příslušenství je uvedena v příloze č. 1 kupní smlouvy – Technická specifikace, která je nedílnou součástí této smlouvy.</w:t>
      </w: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3. Cena</w:t>
      </w:r>
    </w:p>
    <w:p w:rsidR="00A32066" w:rsidRDefault="00A32066">
      <w:pPr>
        <w:pStyle w:val="Standard"/>
        <w:spacing w:line="120" w:lineRule="auto"/>
        <w:rPr>
          <w:rFonts w:ascii="Arial" w:hAnsi="Arial" w:cs="Arial"/>
          <w:sz w:val="22"/>
        </w:rPr>
      </w:pPr>
    </w:p>
    <w:p w:rsidR="00A32066" w:rsidRDefault="00772876">
      <w:pPr>
        <w:pStyle w:val="Standard"/>
        <w:numPr>
          <w:ilvl w:val="1"/>
          <w:numId w:val="5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Kupní cena předmětu této smlouvy uvedeného v čl. 2 včetně dodání na místo určené kupujícím je dohodnuta podle zákona č. 526/1990 Sb., o cenách, ve znění pozdějších předpisů, jako cena pevná.</w:t>
      </w:r>
    </w:p>
    <w:p w:rsidR="00A32066" w:rsidRDefault="00A32066">
      <w:pPr>
        <w:pStyle w:val="Standard"/>
        <w:spacing w:line="120" w:lineRule="auto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>3.2</w:t>
      </w:r>
      <w:r>
        <w:rPr>
          <w:rFonts w:ascii="Arial" w:hAnsi="Arial" w:cs="Arial"/>
          <w:sz w:val="22"/>
        </w:rPr>
        <w:tab/>
        <w:t>Kupní cena za předmět této smlouvy včetně výbavy uvedené v příloze této smlouvy   činí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</w:t>
      </w:r>
      <w:r>
        <w:rPr>
          <w:rFonts w:ascii="Arial" w:hAnsi="Arial" w:cs="Arial"/>
          <w:b/>
          <w:color w:val="000000"/>
          <w:sz w:val="22"/>
        </w:rPr>
        <w:t>684 070,-</w:t>
      </w:r>
      <w:r>
        <w:rPr>
          <w:rFonts w:ascii="Arial" w:hAnsi="Arial" w:cs="Arial"/>
          <w:sz w:val="22"/>
        </w:rPr>
        <w:t xml:space="preserve"> Kč bez DPH,</w:t>
      </w:r>
    </w:p>
    <w:p w:rsidR="00A32066" w:rsidRDefault="00772876">
      <w:pPr>
        <w:pStyle w:val="Standard"/>
        <w:ind w:firstLine="426"/>
        <w:jc w:val="both"/>
      </w:pPr>
      <w:r>
        <w:rPr>
          <w:rFonts w:ascii="Arial" w:hAnsi="Arial" w:cs="Arial"/>
          <w:sz w:val="22"/>
        </w:rPr>
        <w:t xml:space="preserve">ke kupní ceně bude účtována DPH       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</w:t>
      </w:r>
      <w:r>
        <w:rPr>
          <w:rFonts w:ascii="Arial" w:hAnsi="Arial" w:cs="Arial"/>
          <w:b/>
          <w:color w:val="000000"/>
          <w:sz w:val="22"/>
        </w:rPr>
        <w:t>143 654,70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Kč,</w:t>
      </w:r>
    </w:p>
    <w:p w:rsidR="00A32066" w:rsidRDefault="00772876">
      <w:pPr>
        <w:pStyle w:val="Standard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(v zákonné výši stanovené ke dni zdanitelného plnění)</w:t>
      </w:r>
    </w:p>
    <w:p w:rsidR="00A32066" w:rsidRDefault="00772876">
      <w:pPr>
        <w:pStyle w:val="Standard"/>
        <w:ind w:firstLine="426"/>
        <w:jc w:val="both"/>
      </w:pPr>
      <w:r>
        <w:rPr>
          <w:rFonts w:ascii="Arial" w:hAnsi="Arial" w:cs="Arial"/>
          <w:b/>
          <w:sz w:val="22"/>
        </w:rPr>
        <w:t>cena celkem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color w:val="000000"/>
          <w:sz w:val="22"/>
        </w:rPr>
        <w:t>827 724,70</w:t>
      </w:r>
      <w:r>
        <w:rPr>
          <w:rFonts w:ascii="Arial" w:hAnsi="Arial" w:cs="Arial"/>
          <w:color w:val="000000"/>
          <w:sz w:val="22"/>
        </w:rPr>
        <w:t xml:space="preserve"> </w:t>
      </w:r>
      <w:r>
        <w:rPr>
          <w:rFonts w:ascii="Arial" w:hAnsi="Arial" w:cs="Arial"/>
          <w:sz w:val="22"/>
        </w:rPr>
        <w:t>Kč včetně DPH</w:t>
      </w:r>
    </w:p>
    <w:p w:rsidR="00A32066" w:rsidRDefault="00A32066">
      <w:pPr>
        <w:pStyle w:val="Standard"/>
        <w:ind w:firstLine="426"/>
        <w:jc w:val="both"/>
        <w:rPr>
          <w:rFonts w:ascii="Arial" w:hAnsi="Arial" w:cs="Arial"/>
          <w:sz w:val="22"/>
          <w:szCs w:val="22"/>
        </w:rPr>
      </w:pPr>
    </w:p>
    <w:p w:rsidR="00A32066" w:rsidRDefault="00772876">
      <w:pPr>
        <w:pStyle w:val="Odstavecseseznamem"/>
        <w:numPr>
          <w:ilvl w:val="1"/>
          <w:numId w:val="16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Podrobně je cena za předmět této smlouvy, včetně příslušenství a výbavy uvedena v příloze č. 2 této smlouvy – cenová skladba.</w:t>
      </w:r>
    </w:p>
    <w:p w:rsidR="00A32066" w:rsidRDefault="00A32066">
      <w:pPr>
        <w:pStyle w:val="Textbody"/>
        <w:ind w:left="397" w:hanging="397"/>
        <w:rPr>
          <w:rFonts w:ascii="Arial" w:hAnsi="Arial" w:cs="Arial"/>
        </w:rPr>
      </w:pPr>
    </w:p>
    <w:p w:rsidR="00A32066" w:rsidRDefault="00A32066">
      <w:pPr>
        <w:pStyle w:val="Textbody"/>
        <w:ind w:left="397" w:hanging="397"/>
        <w:rPr>
          <w:rFonts w:ascii="Arial" w:hAnsi="Arial" w:cs="Arial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4. Platební podmínky</w:t>
      </w:r>
    </w:p>
    <w:p w:rsidR="00A32066" w:rsidRDefault="00A32066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overflowPunct w:val="0"/>
        <w:spacing w:line="120" w:lineRule="auto"/>
        <w:rPr>
          <w:rFonts w:ascii="Arial" w:hAnsi="Arial" w:cs="Arial"/>
        </w:rPr>
      </w:pP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>4.1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</w:rPr>
        <w:t>Kupující prohlašuje, že má zajištěny finanční prostředky k úhradě kupní ceny a zavazuje se předmět této smlouvy převzít a zaplatit prodávajícímu dohodnutou cenu dle bodu 3.2 smlouvy, za podmínek dle této smlouvy.</w:t>
      </w:r>
    </w:p>
    <w:p w:rsidR="00A32066" w:rsidRDefault="00A32066">
      <w:pPr>
        <w:pStyle w:val="Standard"/>
        <w:spacing w:line="120" w:lineRule="auto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 xml:space="preserve">4.2 Fakturu za předmět této smlouvy je prodávající oprávněn vystavit po protokolárním předání předmětu smlouvy. Faktura bude obsahovat podrobnou specifikaci předmětu, označení prodávajícího a kupujícího, fakturovanou částku, číslo kupní smlouvy, číslo dodacího listu, číslo faktury a datum s podpisem. </w:t>
      </w:r>
      <w:r>
        <w:rPr>
          <w:rFonts w:ascii="Arial" w:hAnsi="Arial" w:cs="Arial"/>
          <w:sz w:val="22"/>
          <w:szCs w:val="22"/>
        </w:rPr>
        <w:t>Faktura musí splňovat náležitosti ve smyslu daňových a účetních předpisů platných na území České republiky, zejména zákona č. 563/1991 Sb., o účetnictví a zákona 235/2004 Sb., o DPH v platném znění a dále náležitosti stanovené touto smlouvou. Datem uskutečnění plnění bude den předání a převzetí předmětu této smlouvy uvedený na předávacím a přejímacím protokolu. Protokol bude nedílnou součástí faktury.</w:t>
      </w:r>
    </w:p>
    <w:p w:rsidR="00A32066" w:rsidRDefault="00772876">
      <w:pPr>
        <w:pStyle w:val="Standard"/>
        <w:jc w:val="both"/>
        <w:rPr>
          <w:rFonts w:ascii="Arial" w:hAnsi="Arial" w:cs="Arial"/>
          <w:strike/>
          <w:color w:val="FF0000"/>
          <w:sz w:val="22"/>
        </w:rPr>
      </w:pPr>
      <w:r>
        <w:rPr>
          <w:rFonts w:ascii="Arial" w:hAnsi="Arial" w:cs="Arial"/>
          <w:strike/>
          <w:color w:val="FF0000"/>
          <w:sz w:val="22"/>
        </w:rPr>
        <w:t xml:space="preserve"> </w:t>
      </w: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 xml:space="preserve">4.3 Splatnost faktury je 30 dnů od data doručení faktury kupujícímu. </w:t>
      </w:r>
      <w:r>
        <w:rPr>
          <w:rFonts w:ascii="Arial" w:hAnsi="Arial" w:cs="Arial"/>
          <w:sz w:val="22"/>
          <w:szCs w:val="22"/>
        </w:rPr>
        <w:t>Peněžitý závazek (dluh) kupujícího se považuje za splněný v den, kdy je dlužná částka připsána na účet prodávajícího.</w:t>
      </w: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strike/>
          <w:color w:val="FF0000"/>
          <w:sz w:val="22"/>
        </w:rPr>
      </w:pPr>
      <w:r>
        <w:rPr>
          <w:rFonts w:ascii="Arial" w:hAnsi="Arial" w:cs="Arial"/>
          <w:strike/>
          <w:color w:val="FF0000"/>
          <w:sz w:val="22"/>
        </w:rPr>
        <w:t xml:space="preserve"> </w:t>
      </w:r>
    </w:p>
    <w:p w:rsidR="00A32066" w:rsidRDefault="00A32066">
      <w:pPr>
        <w:pStyle w:val="Standard"/>
        <w:spacing w:line="120" w:lineRule="auto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>4.4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V případě, že faktura nebude obsahovat všechny, v bodě 4.2 této smlouvy uvedené náležitosti, nebo budou náležitosti chybné, kupující tuto fakturu vrátí. Prodávající je povinen ji opravit a opravenou fakturu zaslat znovu kupujícímu. V takovém případě začíná běžet nová lhůta splatnosti ode dne doručení bezvadně (opravené, popř. nově vystavené) faktury kupujícímu.</w:t>
      </w:r>
    </w:p>
    <w:p w:rsidR="00A32066" w:rsidRDefault="00A32066">
      <w:pPr>
        <w:pStyle w:val="Textbody"/>
        <w:rPr>
          <w:rFonts w:ascii="Arial" w:hAnsi="Arial" w:cs="Arial"/>
        </w:rPr>
      </w:pPr>
    </w:p>
    <w:p w:rsidR="00A405B8" w:rsidRDefault="00A405B8">
      <w:pPr>
        <w:pStyle w:val="Textbody"/>
        <w:rPr>
          <w:rFonts w:ascii="Arial" w:hAnsi="Arial" w:cs="Arial"/>
        </w:rPr>
      </w:pPr>
    </w:p>
    <w:p w:rsidR="00A32066" w:rsidRDefault="00A32066">
      <w:pPr>
        <w:pStyle w:val="Textbody"/>
        <w:jc w:val="center"/>
        <w:rPr>
          <w:rFonts w:ascii="Arial" w:hAnsi="Arial" w:cs="Arial"/>
          <w:b/>
          <w:u w:val="single"/>
        </w:rPr>
      </w:pPr>
    </w:p>
    <w:p w:rsidR="00A32066" w:rsidRDefault="00A32066">
      <w:pPr>
        <w:pStyle w:val="Textbody"/>
        <w:jc w:val="center"/>
        <w:rPr>
          <w:rFonts w:ascii="Arial" w:hAnsi="Arial" w:cs="Arial"/>
          <w:b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5. Podmínky dodávky předmětu smlouvy</w:t>
      </w:r>
    </w:p>
    <w:p w:rsidR="00A32066" w:rsidRDefault="00A32066">
      <w:pPr>
        <w:pStyle w:val="Standard"/>
        <w:spacing w:line="120" w:lineRule="auto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360" w:hanging="360"/>
        <w:jc w:val="both"/>
      </w:pPr>
      <w:r>
        <w:rPr>
          <w:rFonts w:ascii="Arial" w:hAnsi="Arial" w:cs="Arial"/>
          <w:sz w:val="22"/>
        </w:rPr>
        <w:t xml:space="preserve">5.1 Prodávající se zavazuje dodat kupujícímu požadovaný předmět této smlouvy uvedený v čl. 2 smlouvy do </w:t>
      </w:r>
      <w:r>
        <w:rPr>
          <w:rFonts w:ascii="Arial" w:hAnsi="Arial" w:cs="Arial"/>
          <w:b/>
          <w:color w:val="000000"/>
          <w:sz w:val="22"/>
        </w:rPr>
        <w:t>6ti týdnů  od data podpisu kupní smlouvy</w:t>
      </w:r>
      <w:r>
        <w:rPr>
          <w:rFonts w:ascii="Arial" w:hAnsi="Arial" w:cs="Arial"/>
          <w:color w:val="000000"/>
          <w:sz w:val="22"/>
        </w:rPr>
        <w:t>.</w:t>
      </w:r>
      <w:r>
        <w:rPr>
          <w:rFonts w:ascii="Arial" w:hAnsi="Arial" w:cs="Arial"/>
          <w:sz w:val="22"/>
        </w:rPr>
        <w:t xml:space="preserve"> Po uplynutí uvedené lhůty má kupující právo odstoupit od smlouvy.</w:t>
      </w:r>
    </w:p>
    <w:p w:rsidR="00A32066" w:rsidRDefault="00A32066">
      <w:pPr>
        <w:pStyle w:val="Standard"/>
        <w:spacing w:line="120" w:lineRule="auto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5.2 Prodávající je povinen uvědomit kupujícího 10 pracovních dnů předem o datu předání předmětu této smlouvy. Předmět této smlouvy se prodávající zavazuje dopravit na místo předání.</w:t>
      </w:r>
    </w:p>
    <w:p w:rsidR="00A32066" w:rsidRDefault="00772876">
      <w:pPr>
        <w:pStyle w:val="Standard"/>
        <w:ind w:left="360"/>
        <w:jc w:val="both"/>
      </w:pPr>
      <w:r>
        <w:rPr>
          <w:rFonts w:ascii="Arial" w:eastAsia="Arial" w:hAnsi="Arial" w:cs="Arial"/>
          <w:sz w:val="22"/>
          <w:szCs w:val="22"/>
        </w:rPr>
        <w:t xml:space="preserve">Místem předání je </w:t>
      </w:r>
      <w:r>
        <w:rPr>
          <w:rFonts w:ascii="Arial" w:eastAsia="Arial" w:hAnsi="Arial" w:cs="Arial"/>
          <w:b/>
          <w:sz w:val="22"/>
          <w:szCs w:val="22"/>
        </w:rPr>
        <w:t>Povodí Ohře, státní podnik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VHL,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Novosedlická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758, 415 01 Teplice.</w:t>
      </w:r>
      <w:r>
        <w:rPr>
          <w:rFonts w:ascii="Arial" w:hAnsi="Arial" w:cs="Arial"/>
          <w:b/>
          <w:sz w:val="22"/>
          <w:szCs w:val="22"/>
        </w:rPr>
        <w:t xml:space="preserve">       </w:t>
      </w:r>
    </w:p>
    <w:p w:rsidR="00A32066" w:rsidRDefault="00A32066">
      <w:pPr>
        <w:pStyle w:val="Standard"/>
        <w:ind w:left="360"/>
        <w:jc w:val="both"/>
        <w:rPr>
          <w:rFonts w:ascii="Arial" w:eastAsia="Arial" w:hAnsi="Arial" w:cs="Arial"/>
          <w:i/>
          <w:color w:val="FF0000"/>
          <w:sz w:val="22"/>
          <w:szCs w:val="22"/>
        </w:rPr>
      </w:pPr>
    </w:p>
    <w:p w:rsidR="00A32066" w:rsidRDefault="00772876">
      <w:pPr>
        <w:pStyle w:val="Standard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Kontaktní osoba Kupujícího je Martin Chmelík, referent odboru obchodní přípravy investic, e-mail: chmelik@poh.cz, tel.: +420 474 636 212</w:t>
      </w:r>
    </w:p>
    <w:p w:rsidR="00A32066" w:rsidRDefault="00A32066">
      <w:pPr>
        <w:pStyle w:val="Standard"/>
        <w:ind w:left="360"/>
        <w:jc w:val="both"/>
        <w:rPr>
          <w:rFonts w:ascii="Arial" w:eastAsia="Arial" w:hAnsi="Arial" w:cs="Arial"/>
          <w:sz w:val="22"/>
          <w:szCs w:val="22"/>
        </w:rPr>
      </w:pPr>
    </w:p>
    <w:p w:rsidR="00A32066" w:rsidRDefault="00772876">
      <w:pPr>
        <w:pStyle w:val="Standard"/>
        <w:ind w:left="360"/>
        <w:jc w:val="both"/>
      </w:pPr>
      <w:r>
        <w:rPr>
          <w:rFonts w:ascii="Arial" w:eastAsia="Arial" w:hAnsi="Arial" w:cs="Arial"/>
          <w:sz w:val="22"/>
          <w:szCs w:val="22"/>
        </w:rPr>
        <w:t xml:space="preserve">Kontaktní osoba - budoucí uživatel je Ing. Jan </w:t>
      </w:r>
      <w:proofErr w:type="spellStart"/>
      <w:r>
        <w:rPr>
          <w:rFonts w:ascii="Arial" w:eastAsia="Arial" w:hAnsi="Arial" w:cs="Arial"/>
          <w:sz w:val="22"/>
          <w:szCs w:val="22"/>
        </w:rPr>
        <w:t>Bednárek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vedoucí odboru VHL, e-mail: </w:t>
      </w:r>
      <w:hyperlink r:id="rId8" w:history="1">
        <w:r>
          <w:rPr>
            <w:rFonts w:ascii="Arial" w:eastAsia="Arial" w:hAnsi="Arial" w:cs="Arial"/>
            <w:sz w:val="22"/>
            <w:szCs w:val="22"/>
          </w:rPr>
          <w:t>Bednarek@poh.cz</w:t>
        </w:r>
      </w:hyperlink>
      <w:r>
        <w:rPr>
          <w:rFonts w:ascii="Arial" w:eastAsia="Arial" w:hAnsi="Arial" w:cs="Arial"/>
          <w:sz w:val="22"/>
          <w:szCs w:val="22"/>
        </w:rPr>
        <w:t>, tel.: +420 724 999 460.</w:t>
      </w:r>
    </w:p>
    <w:p w:rsidR="00A32066" w:rsidRDefault="00A32066">
      <w:pPr>
        <w:pStyle w:val="Standard"/>
        <w:ind w:firstLine="360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firstLine="360"/>
      </w:pPr>
      <w:r>
        <w:rPr>
          <w:rFonts w:ascii="Arial" w:hAnsi="Arial" w:cs="Arial"/>
          <w:sz w:val="22"/>
        </w:rPr>
        <w:t xml:space="preserve">Kontaktní osoba Prodávajícího je </w:t>
      </w:r>
      <w:r>
        <w:rPr>
          <w:rFonts w:ascii="Arial" w:hAnsi="Arial" w:cs="Arial"/>
          <w:color w:val="000000"/>
          <w:sz w:val="22"/>
        </w:rPr>
        <w:t>Ing. Zdeněk Moravec, tel.: 318 599 083, e-mail:</w:t>
      </w:r>
    </w:p>
    <w:p w:rsidR="00A32066" w:rsidRDefault="00772876">
      <w:pPr>
        <w:pStyle w:val="Standard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 xml:space="preserve">      moravec@chromspec.cz</w:t>
      </w:r>
    </w:p>
    <w:p w:rsidR="00A32066" w:rsidRDefault="00A32066">
      <w:pPr>
        <w:pStyle w:val="Standard"/>
        <w:ind w:left="360" w:hanging="360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5.3 Převzetí nastane po provedené kontrole dodávky v místě plnění, vyzkoušení funkčnosti a zaškolení obsluhy. Piktogramy a popisy na přístroji musí odpovídat platným normám a být v českém jazyce. Každá dodávka musí obsahovat dodací list, který má tyto minimální náležitosti:</w:t>
      </w:r>
    </w:p>
    <w:p w:rsidR="00A32066" w:rsidRDefault="00772876">
      <w:pPr>
        <w:pStyle w:val="Standard"/>
        <w:numPr>
          <w:ilvl w:val="0"/>
          <w:numId w:val="18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číslo smlouvy,</w:t>
      </w:r>
    </w:p>
    <w:p w:rsidR="00A32066" w:rsidRDefault="00772876">
      <w:pPr>
        <w:pStyle w:val="Standard"/>
        <w:numPr>
          <w:ilvl w:val="0"/>
          <w:numId w:val="2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množství a ceny dle jednotlivých položek,</w:t>
      </w:r>
    </w:p>
    <w:p w:rsidR="00A32066" w:rsidRDefault="00772876">
      <w:pPr>
        <w:pStyle w:val="Standard"/>
        <w:numPr>
          <w:ilvl w:val="0"/>
          <w:numId w:val="2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číselný kód dodávky (dle položek),</w:t>
      </w:r>
    </w:p>
    <w:p w:rsidR="00A32066" w:rsidRDefault="00772876">
      <w:pPr>
        <w:pStyle w:val="Standard"/>
        <w:numPr>
          <w:ilvl w:val="0"/>
          <w:numId w:val="2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obchodní jméno prodávajícího,</w:t>
      </w:r>
    </w:p>
    <w:p w:rsidR="00A32066" w:rsidRDefault="00772876">
      <w:pPr>
        <w:pStyle w:val="Standard"/>
        <w:numPr>
          <w:ilvl w:val="0"/>
          <w:numId w:val="2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nezaměnitelnou specifikaci dodaných položek.</w:t>
      </w:r>
    </w:p>
    <w:p w:rsidR="00A32066" w:rsidRDefault="00772876">
      <w:pPr>
        <w:pStyle w:val="Standard"/>
        <w:numPr>
          <w:ilvl w:val="0"/>
          <w:numId w:val="19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dále prodávající při předání předmětu této smlouvy předá kupujícímu všechny potřebné doklady pro bezpečný provoz a údržbu, tj. zejména manuál, prohlášení o shodě dle zákona 22/1997 Sb., nebo CE certifikát, veškeré návody nutné k řádnému a bezpečnému užívání předmětu této smlouvy, veškerou dokumentaci a vybavení předmětu této smlouvy. Všechny doklady včetně dokumentace musí být v českém jazyce a předány v listinné podobě, nebo na elektronickém nosiči dat.</w:t>
      </w:r>
    </w:p>
    <w:p w:rsidR="00A32066" w:rsidRDefault="00772876">
      <w:pPr>
        <w:pStyle w:val="Standard"/>
        <w:numPr>
          <w:ilvl w:val="0"/>
          <w:numId w:val="11"/>
        </w:numPr>
        <w:tabs>
          <w:tab w:val="left" w:pos="2136"/>
        </w:tabs>
        <w:ind w:left="1068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.</w:t>
      </w:r>
    </w:p>
    <w:p w:rsidR="00A32066" w:rsidRDefault="00772876">
      <w:pPr>
        <w:pStyle w:val="Textbody"/>
        <w:spacing w:line="120" w:lineRule="auto"/>
        <w:ind w:left="425" w:hanging="6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32066" w:rsidRDefault="00A32066">
      <w:pPr>
        <w:pStyle w:val="Standard"/>
        <w:spacing w:line="120" w:lineRule="auto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5.4 </w:t>
      </w:r>
      <w:r>
        <w:rPr>
          <w:rFonts w:ascii="Arial" w:hAnsi="Arial" w:cs="Arial"/>
          <w:sz w:val="22"/>
        </w:rPr>
        <w:tab/>
        <w:t>Pokud jde o právo z odpovědnosti za vady, má kupující vůči prodávajícímu tato práva a nároky:</w:t>
      </w:r>
    </w:p>
    <w:p w:rsidR="00A32066" w:rsidRDefault="00772876">
      <w:pPr>
        <w:pStyle w:val="Standard"/>
        <w:numPr>
          <w:ilvl w:val="0"/>
          <w:numId w:val="20"/>
        </w:numPr>
        <w:tabs>
          <w:tab w:val="left" w:pos="1572"/>
        </w:tabs>
        <w:ind w:left="786" w:firstLine="0"/>
        <w:jc w:val="both"/>
      </w:pPr>
      <w:r>
        <w:rPr>
          <w:rFonts w:ascii="Arial" w:hAnsi="Arial" w:cs="Arial"/>
          <w:sz w:val="22"/>
        </w:rPr>
        <w:t>právo žádat bezplatné odstranění vady v rozsahu uvedeném v reklamaci, vyjma vad, na které se záruka nevztahuje. Vada musí být odstraněna do 30</w:t>
      </w:r>
      <w:r>
        <w:rPr>
          <w:rFonts w:ascii="Arial" w:hAnsi="Arial" w:cs="Arial"/>
          <w:b/>
          <w:color w:val="FF0000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dnů od prokazatelného uplatnění reklamace. V případě, že není možné reklamovanou vadu odstranit z technického nebo ekonomického hlediska má právo žádat nové bezvadné plnění, které musí být dodáno nejpozději do 6 týdnů</w:t>
      </w:r>
      <w:r>
        <w:rPr>
          <w:rFonts w:ascii="Arial" w:hAnsi="Arial" w:cs="Arial"/>
          <w:color w:val="FF0000"/>
          <w:sz w:val="22"/>
        </w:rPr>
        <w:t xml:space="preserve"> </w:t>
      </w:r>
      <w:r>
        <w:rPr>
          <w:rFonts w:ascii="Arial" w:hAnsi="Arial" w:cs="Arial"/>
          <w:sz w:val="22"/>
        </w:rPr>
        <w:t>od prokazatelného uplatnění reklamace,</w:t>
      </w:r>
    </w:p>
    <w:p w:rsidR="00A32066" w:rsidRDefault="00772876">
      <w:pPr>
        <w:pStyle w:val="Standard"/>
        <w:numPr>
          <w:ilvl w:val="0"/>
          <w:numId w:val="21"/>
        </w:numPr>
        <w:tabs>
          <w:tab w:val="left" w:pos="1572"/>
        </w:tabs>
        <w:ind w:left="786" w:firstLine="0"/>
        <w:jc w:val="both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právo na poskytnutí slevy, odpovídající rozdílu ceny vadného a bezvadného předmětu smlouvy,</w:t>
      </w:r>
    </w:p>
    <w:p w:rsidR="00A32066" w:rsidRDefault="00772876">
      <w:pPr>
        <w:pStyle w:val="Standard"/>
        <w:numPr>
          <w:ilvl w:val="0"/>
          <w:numId w:val="22"/>
        </w:numPr>
        <w:tabs>
          <w:tab w:val="left" w:pos="1572"/>
        </w:tabs>
        <w:ind w:left="786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právo odstoupit od smlouvy v případě, že se jedná o opakující se vadu předmětu smlouvy, včetně práva požadovat vrácení finanční částky, kterou kupující prodávajícímu zaplatil za vadný předmět smlouvy.</w:t>
      </w:r>
    </w:p>
    <w:p w:rsidR="00A32066" w:rsidRDefault="00772876">
      <w:pPr>
        <w:pStyle w:val="Standard"/>
        <w:ind w:left="426"/>
        <w:jc w:val="both"/>
      </w:pPr>
      <w:r>
        <w:rPr>
          <w:rFonts w:ascii="Arial" w:hAnsi="Arial" w:cs="Arial"/>
          <w:sz w:val="22"/>
        </w:rPr>
        <w:t xml:space="preserve">V ostatním platí pro uplatňování a způsob </w:t>
      </w:r>
      <w:r>
        <w:rPr>
          <w:rFonts w:ascii="Arial" w:hAnsi="Arial" w:cs="Arial"/>
          <w:sz w:val="22"/>
          <w:szCs w:val="22"/>
        </w:rPr>
        <w:t>odstraňování vad ustanovení §2099 až 2117 zákona č. 89/2012, občanský zákoník, v platném znění.</w:t>
      </w:r>
    </w:p>
    <w:p w:rsidR="00A32066" w:rsidRDefault="00A32066">
      <w:pPr>
        <w:pStyle w:val="Standard"/>
        <w:ind w:left="426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5.5 Prodávající prohlašuje, že předmět této smlouvy nemá žádné právní ani jiné vady, které by bránily jeho řádnému užívání.</w:t>
      </w:r>
    </w:p>
    <w:p w:rsidR="00A32066" w:rsidRDefault="00A32066">
      <w:pPr>
        <w:pStyle w:val="Standard"/>
        <w:ind w:left="360" w:hanging="360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5.6 Prodávající se zavazuje, že předmět této smlouvy s veškerým příslušenstvím je, jako celek i jeho jednotlivé části, v souladu se všemi platnými právními předpisy, technickými normami a standardy a splňuje zákonné podmínky pro jeho užívání.</w:t>
      </w:r>
    </w:p>
    <w:p w:rsidR="00A32066" w:rsidRDefault="00A32066">
      <w:pPr>
        <w:pStyle w:val="Standard"/>
        <w:ind w:left="360" w:hanging="360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5.7 Každá smluvní strana má právo od smlouvy písemně odstoupit, jestliže druhá smluvní strana neplní povinnosti, které podle této smlouvy má a to ani v přiměřeně dodatečně dohodnuté lhůtě.</w:t>
      </w:r>
    </w:p>
    <w:p w:rsidR="00A32066" w:rsidRDefault="00A32066">
      <w:pPr>
        <w:pStyle w:val="Standard"/>
        <w:ind w:left="360" w:hanging="360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6. Smluvní sankce</w:t>
      </w:r>
    </w:p>
    <w:p w:rsidR="00A32066" w:rsidRDefault="00A32066">
      <w:pPr>
        <w:pStyle w:val="Textbody"/>
        <w:rPr>
          <w:rFonts w:ascii="Arial" w:hAnsi="Arial" w:cs="Arial"/>
        </w:rPr>
      </w:pPr>
    </w:p>
    <w:p w:rsidR="00A32066" w:rsidRDefault="00772876">
      <w:pPr>
        <w:pStyle w:val="Textbody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6.1 V případě, že je kupující v prodlení s úhradou faktury, uhradí kupující prodávajícímu úrok z prodlení ve výši 0,2 % z dlužné částky za každý den prodlení s úhradou dlužné částky.</w:t>
      </w: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6.2 V případě, že bude prodávající v prodlení s dodáním předmětu této smlouvy, zaplatí prodávající kupujícímu smluvní pokutu z celkové kupní ceny nedodaného předmětu smlouvy ve výši 0,2 % za každý započatý den prodlení.</w:t>
      </w:r>
    </w:p>
    <w:p w:rsidR="00A32066" w:rsidRDefault="00A32066">
      <w:pPr>
        <w:pStyle w:val="Standard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6.3 Zaplacením smluvní pokuty není dotčeno právo na náhradu škody a to ani v rozsahu převyšujícím smluvní pokutu.</w:t>
      </w:r>
    </w:p>
    <w:p w:rsidR="00A32066" w:rsidRDefault="00A32066">
      <w:pPr>
        <w:pStyle w:val="Odstavecseseznamem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6.4 Smluvní pokuta za nedodržení termínu provedení záručních a servisních prací je stanovena na 500,- Kč za každý den prodlení oproti sjednané době.</w:t>
      </w:r>
    </w:p>
    <w:p w:rsidR="00A32066" w:rsidRDefault="00A32066">
      <w:pPr>
        <w:pStyle w:val="Odstavecseseznamem"/>
        <w:rPr>
          <w:rFonts w:ascii="Arial" w:hAnsi="Arial" w:cs="Arial"/>
          <w:color w:val="000000"/>
          <w:sz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6.5 Sankci (smluvní pokutu, úrok z prodlení) vyúčtuje oprávněná strana straně povinné písemnou formou. Ve vyúčtování musí být uvedeno to ustanovení smlouvy, které k vyúčtování sankce opravňuje a způsob výpočtu celkové výše sankce.</w:t>
      </w:r>
    </w:p>
    <w:p w:rsidR="00A32066" w:rsidRDefault="00A32066">
      <w:pPr>
        <w:pStyle w:val="Odstavecseseznamem"/>
        <w:rPr>
          <w:rFonts w:ascii="Arial" w:hAnsi="Arial" w:cs="Arial"/>
          <w:color w:val="000000"/>
          <w:sz w:val="22"/>
          <w:szCs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6.6. Pro zajištění úhrady oprávněně vyúčtovaných sankcí je kupující oprávněn provést zápočet vyúčtované sankce proti jakékoliv oprávněné pohledávce, kterou má, nebo bude mít, prodávající za kupujícím.</w:t>
      </w:r>
    </w:p>
    <w:p w:rsidR="00A32066" w:rsidRDefault="00A32066">
      <w:pPr>
        <w:pStyle w:val="Odstavecseseznamem"/>
        <w:rPr>
          <w:rFonts w:ascii="Arial" w:hAnsi="Arial" w:cs="Arial"/>
          <w:color w:val="000000"/>
          <w:sz w:val="22"/>
          <w:szCs w:val="22"/>
        </w:rPr>
      </w:pPr>
    </w:p>
    <w:p w:rsidR="00A32066" w:rsidRDefault="00772876">
      <w:pPr>
        <w:pStyle w:val="Standard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6.7 Strana povinná je povinna uhradit vyúčtované sankce nejpozději do 30 dnů od dne obdržení příslušného vyúčtování.</w:t>
      </w:r>
    </w:p>
    <w:p w:rsidR="00A32066" w:rsidRDefault="00A3206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7. Záruka</w:t>
      </w:r>
    </w:p>
    <w:p w:rsidR="00A32066" w:rsidRDefault="00A32066">
      <w:pPr>
        <w:pStyle w:val="Standard"/>
        <w:spacing w:line="120" w:lineRule="auto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426" w:hanging="426"/>
        <w:jc w:val="both"/>
      </w:pPr>
      <w:r>
        <w:rPr>
          <w:rFonts w:ascii="Arial" w:hAnsi="Arial" w:cs="Arial"/>
          <w:sz w:val="22"/>
        </w:rPr>
        <w:t xml:space="preserve">7.1 </w:t>
      </w:r>
      <w:r>
        <w:rPr>
          <w:rFonts w:ascii="Arial" w:hAnsi="Arial" w:cs="Arial"/>
          <w:sz w:val="22"/>
          <w:szCs w:val="22"/>
        </w:rPr>
        <w:t>Záruka je poskytnuta v rozsahu a za podmínek uvedených v záručním listě, odsouhlasených oběma smluvními stranami. Prodávající je povinen seznámit kupujícího se zněním podmínek v záručním listě ve lhůtě podle článku 9.2 této smlouvy. Prodávající poskytuje kupujícímu záruku na předmět smlouvy v délce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</w:rPr>
        <w:t>24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</w:rPr>
        <w:t xml:space="preserve">měsíců </w:t>
      </w:r>
      <w:r>
        <w:rPr>
          <w:rFonts w:ascii="Arial" w:hAnsi="Arial" w:cs="Arial"/>
          <w:sz w:val="22"/>
          <w:szCs w:val="22"/>
        </w:rPr>
        <w:t>od předání předmětu této smlouvy.</w:t>
      </w:r>
    </w:p>
    <w:p w:rsidR="00A32066" w:rsidRDefault="00A32066">
      <w:pPr>
        <w:pStyle w:val="Standard"/>
        <w:spacing w:line="120" w:lineRule="auto"/>
        <w:ind w:left="357" w:hanging="357"/>
        <w:jc w:val="both"/>
        <w:rPr>
          <w:rFonts w:ascii="Arial" w:hAnsi="Arial" w:cs="Arial"/>
          <w:color w:val="FFC000"/>
          <w:sz w:val="22"/>
        </w:rPr>
      </w:pPr>
    </w:p>
    <w:p w:rsidR="00A32066" w:rsidRDefault="00A32066">
      <w:pPr>
        <w:pStyle w:val="Standard"/>
        <w:spacing w:line="120" w:lineRule="auto"/>
        <w:ind w:left="357" w:hanging="357"/>
        <w:jc w:val="both"/>
        <w:rPr>
          <w:rFonts w:ascii="Arial" w:hAnsi="Arial" w:cs="Arial"/>
          <w:color w:val="FFC000"/>
          <w:sz w:val="22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  <w:u w:val="single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8. Rozhodné právo</w:t>
      </w:r>
    </w:p>
    <w:p w:rsidR="00A32066" w:rsidRDefault="00772876">
      <w:pPr>
        <w:pStyle w:val="Standard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:rsidR="00A32066" w:rsidRDefault="00772876">
      <w:pPr>
        <w:pStyle w:val="Standard"/>
        <w:ind w:left="425" w:hanging="425"/>
        <w:jc w:val="both"/>
      </w:pPr>
      <w:r>
        <w:rPr>
          <w:rFonts w:ascii="Arial" w:hAnsi="Arial" w:cs="Arial"/>
          <w:sz w:val="22"/>
        </w:rPr>
        <w:t>8.1 Výklad smluv i všechny právní poměry z těchto smluv vyplývající, se řídí českým právem. Jazykem smluv je čeština.</w:t>
      </w:r>
      <w:r>
        <w:rPr>
          <w:rFonts w:ascii="Arial" w:hAnsi="Arial" w:cs="Arial"/>
        </w:rPr>
        <w:t xml:space="preserve">  </w:t>
      </w:r>
    </w:p>
    <w:p w:rsidR="00A32066" w:rsidRDefault="00772876">
      <w:pPr>
        <w:pStyle w:val="Standard"/>
        <w:ind w:left="426"/>
        <w:jc w:val="both"/>
      </w:pPr>
      <w:r>
        <w:rPr>
          <w:rFonts w:ascii="Arial" w:hAnsi="Arial" w:cs="Arial"/>
          <w:sz w:val="22"/>
        </w:rPr>
        <w:t>Všechny spory, vzniklé z těchto smluv nebo v souvislosti s nimi, budou smluvní strany řešit především vzájemnou dohodou,</w:t>
      </w:r>
      <w:r>
        <w:rPr>
          <w:rFonts w:ascii="Arial" w:hAnsi="Arial" w:cs="Arial"/>
          <w:sz w:val="22"/>
          <w:szCs w:val="22"/>
        </w:rPr>
        <w:t xml:space="preserve"> v případě nedohody bude spor postoupen příslušnému soudu.</w:t>
      </w:r>
    </w:p>
    <w:p w:rsidR="00A32066" w:rsidRDefault="00A32066">
      <w:pPr>
        <w:pStyle w:val="Standard"/>
        <w:ind w:left="426"/>
        <w:jc w:val="both"/>
        <w:rPr>
          <w:rFonts w:ascii="Arial" w:hAnsi="Arial" w:cs="Arial"/>
          <w:sz w:val="22"/>
        </w:rPr>
      </w:pPr>
    </w:p>
    <w:p w:rsidR="00A32066" w:rsidRDefault="00A32066">
      <w:pPr>
        <w:pStyle w:val="Standard"/>
        <w:ind w:left="360" w:hanging="360"/>
        <w:jc w:val="both"/>
        <w:rPr>
          <w:rFonts w:ascii="Arial" w:hAnsi="Arial" w:cs="Arial"/>
          <w:sz w:val="22"/>
        </w:rPr>
      </w:pP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lastRenderedPageBreak/>
        <w:t>9.  Závěrečná ujednání</w:t>
      </w: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9.1  </w:t>
      </w:r>
      <w:r>
        <w:rPr>
          <w:rFonts w:ascii="Arial" w:hAnsi="Arial" w:cs="Arial"/>
          <w:sz w:val="22"/>
        </w:rPr>
        <w:tab/>
        <w:t>Smlouva je platná a účinná dnem podpisu poslední smluvní stranou.</w:t>
      </w:r>
    </w:p>
    <w:p w:rsidR="00A32066" w:rsidRDefault="00A32066">
      <w:pPr>
        <w:pStyle w:val="Standard"/>
        <w:ind w:left="357" w:hanging="357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9.2   Prodávající je povinen předložit kupujícímu veškeré součásti smlouvy, přílohy a další podklady, které vyžadují souhlas kupujícího, nejméně 10 dnů před plánovaným převzetím předmětu smlouvy.</w:t>
      </w:r>
    </w:p>
    <w:p w:rsidR="00A32066" w:rsidRDefault="00A32066">
      <w:pPr>
        <w:pStyle w:val="Standard"/>
        <w:ind w:left="357" w:hanging="357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567" w:hanging="567"/>
        <w:jc w:val="both"/>
      </w:pPr>
      <w:r>
        <w:rPr>
          <w:rFonts w:ascii="Arial" w:hAnsi="Arial" w:cs="Arial"/>
          <w:sz w:val="22"/>
        </w:rPr>
        <w:t xml:space="preserve">9.3   </w:t>
      </w:r>
      <w:r>
        <w:rPr>
          <w:rFonts w:ascii="Arial" w:hAnsi="Arial" w:cs="Arial"/>
          <w:iCs/>
          <w:sz w:val="22"/>
          <w:szCs w:val="22"/>
        </w:rPr>
        <w:t>Smluvní strany berou na vědomí, že Povodí Ohře, státní podnik, má na základě zákona č. 340/2015 Sb. o zvláštních podmínkách účinnosti některých smluv, uveřejňování těchto smluv a o registru smluv (zákon o registru smluv), stanovenu povinnost uveřejňovat soukromoprávní smlouvy prostřednictvím registru smluv. Smluvní strany tímto bez výhrad souhlasí s uveřejněním celého textu smlouvy prostřednictvím registru smluv.</w:t>
      </w:r>
      <w:r>
        <w:rPr>
          <w:rFonts w:ascii="Helv" w:hAnsi="Helv" w:cs="Helv"/>
          <w:i/>
          <w:iCs/>
        </w:rPr>
        <w:t xml:space="preserve">   </w:t>
      </w:r>
    </w:p>
    <w:p w:rsidR="00A32066" w:rsidRDefault="00A32066">
      <w:pPr>
        <w:pStyle w:val="Standard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tabs>
          <w:tab w:val="left" w:pos="1418"/>
        </w:tabs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9.4  </w:t>
      </w:r>
      <w:r>
        <w:rPr>
          <w:rFonts w:ascii="Arial" w:hAnsi="Arial" w:cs="Arial"/>
          <w:sz w:val="22"/>
        </w:rPr>
        <w:tab/>
        <w:t>Tato smlouva může být měněna nebo doplňována výhradně písemnými dodatky, podepsanými smluvními stranami.</w:t>
      </w: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9.5  </w:t>
      </w:r>
      <w:r>
        <w:rPr>
          <w:rFonts w:ascii="Arial" w:hAnsi="Arial" w:cs="Arial"/>
          <w:sz w:val="22"/>
        </w:rPr>
        <w:tab/>
        <w:t>Smlouva je vyhotovena ve čtyřech stejnopisech s platností originálu, přičemž každá ze smluvních stran obdrží po dvou oboustranně podepsaných vyhotoveních.</w:t>
      </w:r>
    </w:p>
    <w:p w:rsidR="00A32066" w:rsidRDefault="00A32066">
      <w:pPr>
        <w:pStyle w:val="Zkladntextodsazen3"/>
        <w:rPr>
          <w:rFonts w:ascii="Arial" w:hAnsi="Arial" w:cs="Arial"/>
        </w:rPr>
      </w:pPr>
    </w:p>
    <w:p w:rsidR="00A32066" w:rsidRDefault="00772876">
      <w:pPr>
        <w:pStyle w:val="Standard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9.6    Nedílnou součástí kupní smlouvy je příloha č. 1 - Technická specifikace a příloha č. 2 - Cenová skladba.</w:t>
      </w:r>
    </w:p>
    <w:p w:rsidR="00A32066" w:rsidRDefault="00A32066">
      <w:pPr>
        <w:pStyle w:val="Standard"/>
        <w:jc w:val="both"/>
        <w:rPr>
          <w:rFonts w:ascii="Arial" w:hAnsi="Arial" w:cs="Arial"/>
          <w:sz w:val="22"/>
        </w:rPr>
      </w:pPr>
    </w:p>
    <w:p w:rsidR="00A32066" w:rsidRDefault="00772876">
      <w:pPr>
        <w:pStyle w:val="Standard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9.7   Oprávnění zástupci smluvních stran po přečtení textu smlouvy prohlašují, že smlouva je sepsána určitě, vážně a srozumitelně, v souladu s jejich pravou a svobodnou vůlí.</w:t>
      </w:r>
    </w:p>
    <w:p w:rsidR="00A32066" w:rsidRDefault="00772876">
      <w:pPr>
        <w:pStyle w:val="Standard"/>
        <w:ind w:left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Smluvní strany dále potvrzují, že si smlouvu přečetly, že byla sjednána svobodně a vážně a nebyla ujednána v tísni, ani za jinak jednostranně nevýhodných podmínek.</w:t>
      </w: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p w:rsidR="00A32066" w:rsidRDefault="00A32066">
      <w:pPr>
        <w:pStyle w:val="Standard"/>
        <w:rPr>
          <w:rFonts w:ascii="Arial" w:hAnsi="Arial" w:cs="Arial"/>
          <w:sz w:val="22"/>
        </w:rPr>
      </w:pPr>
    </w:p>
    <w:tbl>
      <w:tblPr>
        <w:tblW w:w="921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183"/>
        <w:gridCol w:w="1205"/>
        <w:gridCol w:w="2020"/>
        <w:gridCol w:w="2302"/>
      </w:tblGrid>
      <w:tr w:rsidR="00A32066">
        <w:trPr>
          <w:cantSplit/>
        </w:trPr>
        <w:tc>
          <w:tcPr>
            <w:tcW w:w="15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</w:pPr>
            <w:r>
              <w:rPr>
                <w:rFonts w:ascii="Arial" w:hAnsi="Arial" w:cs="Arial"/>
                <w:sz w:val="22"/>
              </w:rPr>
              <w:t xml:space="preserve">V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Praze </w:t>
            </w:r>
            <w:r>
              <w:rPr>
                <w:rFonts w:ascii="Arial" w:hAnsi="Arial" w:cs="Arial"/>
                <w:sz w:val="22"/>
              </w:rPr>
              <w:t>dne</w:t>
            </w:r>
          </w:p>
        </w:tc>
        <w:tc>
          <w:tcPr>
            <w:tcW w:w="2183" w:type="dxa"/>
            <w:tcBorders>
              <w:bottom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</w:tc>
        <w:tc>
          <w:tcPr>
            <w:tcW w:w="1205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</w:tc>
        <w:tc>
          <w:tcPr>
            <w:tcW w:w="202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 Chomutově dne</w:t>
            </w:r>
          </w:p>
        </w:tc>
        <w:tc>
          <w:tcPr>
            <w:tcW w:w="2302" w:type="dxa"/>
            <w:tcBorders>
              <w:bottom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</w:tc>
      </w:tr>
      <w:tr w:rsidR="00A32066">
        <w:trPr>
          <w:cantSplit/>
          <w:trHeight w:val="501"/>
        </w:trPr>
        <w:tc>
          <w:tcPr>
            <w:tcW w:w="368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za Prodávajícího:</w:t>
            </w:r>
          </w:p>
        </w:tc>
        <w:tc>
          <w:tcPr>
            <w:tcW w:w="1205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:rsidR="009D708A" w:rsidRDefault="009D708A"/>
        </w:tc>
        <w:tc>
          <w:tcPr>
            <w:tcW w:w="432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za Kupujícího:</w:t>
            </w:r>
          </w:p>
        </w:tc>
      </w:tr>
      <w:tr w:rsidR="00A32066">
        <w:trPr>
          <w:cantSplit/>
          <w:trHeight w:val="645"/>
        </w:trPr>
        <w:tc>
          <w:tcPr>
            <w:tcW w:w="3683" w:type="dxa"/>
            <w:gridSpan w:val="2"/>
            <w:tcBorders>
              <w:bottom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</w:tc>
        <w:tc>
          <w:tcPr>
            <w:tcW w:w="1205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:rsidR="009D708A" w:rsidRDefault="009D708A"/>
        </w:tc>
        <w:tc>
          <w:tcPr>
            <w:tcW w:w="4322" w:type="dxa"/>
            <w:gridSpan w:val="2"/>
            <w:tcBorders>
              <w:bottom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  <w:p w:rsidR="00A32066" w:rsidRDefault="00A32066">
            <w:pPr>
              <w:pStyle w:val="Standard"/>
              <w:rPr>
                <w:rFonts w:ascii="Arial" w:hAnsi="Arial" w:cs="Arial"/>
                <w:sz w:val="22"/>
              </w:rPr>
            </w:pPr>
          </w:p>
        </w:tc>
      </w:tr>
      <w:tr w:rsidR="00A32066">
        <w:trPr>
          <w:cantSplit/>
        </w:trPr>
        <w:tc>
          <w:tcPr>
            <w:tcW w:w="368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CHROMSPEC spol. s r.o.</w:t>
            </w:r>
          </w:p>
        </w:tc>
        <w:tc>
          <w:tcPr>
            <w:tcW w:w="1205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:rsidR="009D708A" w:rsidRDefault="009D708A"/>
        </w:tc>
        <w:tc>
          <w:tcPr>
            <w:tcW w:w="432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Povodí Ohře, státní podnik</w:t>
            </w:r>
          </w:p>
        </w:tc>
      </w:tr>
      <w:tr w:rsidR="00A32066">
        <w:trPr>
          <w:cantSplit/>
        </w:trPr>
        <w:tc>
          <w:tcPr>
            <w:tcW w:w="368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Ing. Zdeněk Moravec</w:t>
            </w:r>
          </w:p>
        </w:tc>
        <w:tc>
          <w:tcPr>
            <w:tcW w:w="1205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:rsidR="009D708A" w:rsidRDefault="009D708A"/>
        </w:tc>
        <w:tc>
          <w:tcPr>
            <w:tcW w:w="432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Ing. Jan Fischer</w:t>
            </w:r>
          </w:p>
        </w:tc>
      </w:tr>
      <w:tr w:rsidR="00A32066">
        <w:trPr>
          <w:cantSplit/>
        </w:trPr>
        <w:tc>
          <w:tcPr>
            <w:tcW w:w="368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jednatel</w:t>
            </w:r>
          </w:p>
        </w:tc>
        <w:tc>
          <w:tcPr>
            <w:tcW w:w="1205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:rsidR="009D708A" w:rsidRDefault="009D708A"/>
        </w:tc>
        <w:tc>
          <w:tcPr>
            <w:tcW w:w="432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32066" w:rsidRDefault="00772876">
            <w:pPr>
              <w:pStyle w:val="Standard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ekonomický ředitel</w:t>
            </w:r>
          </w:p>
        </w:tc>
      </w:tr>
    </w:tbl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772876">
      <w:pPr>
        <w:pStyle w:val="Nadpis9"/>
        <w:overflowPunct w:val="0"/>
        <w:spacing w:before="0" w:after="0"/>
        <w:rPr>
          <w:rFonts w:cs="Arial"/>
        </w:rPr>
      </w:pPr>
      <w:r>
        <w:rPr>
          <w:rFonts w:cs="Arial"/>
        </w:rPr>
        <w:lastRenderedPageBreak/>
        <w:t xml:space="preserve">Příloha č. 1 ke Kupní smlouvě č. </w:t>
      </w:r>
      <w:r w:rsidR="008D3D8F">
        <w:rPr>
          <w:rFonts w:cs="Arial"/>
        </w:rPr>
        <w:t>992</w:t>
      </w:r>
      <w:r>
        <w:rPr>
          <w:rFonts w:cs="Arial"/>
        </w:rPr>
        <w:t>/2016</w:t>
      </w: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Technická specifikace</w:t>
      </w: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A32066">
      <w:pPr>
        <w:pStyle w:val="Standard"/>
        <w:rPr>
          <w:rFonts w:ascii="Arial" w:hAnsi="Arial" w:cs="Arial"/>
          <w:b/>
          <w:color w:val="FF0000"/>
          <w:sz w:val="22"/>
        </w:rPr>
      </w:pPr>
    </w:p>
    <w:p w:rsidR="00A32066" w:rsidRDefault="00A32066">
      <w:pPr>
        <w:pStyle w:val="Standard"/>
        <w:rPr>
          <w:rFonts w:ascii="Arial" w:hAnsi="Arial" w:cs="Arial"/>
          <w:b/>
          <w:sz w:val="22"/>
        </w:rPr>
      </w:pP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Mikrovlnný rozkladný systém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proofErr w:type="spellStart"/>
      <w:r>
        <w:rPr>
          <w:rFonts w:ascii="Arial" w:hAnsi="Arial" w:cs="Arial"/>
          <w:b/>
          <w:sz w:val="22"/>
        </w:rPr>
        <w:t>Dvoumagnetronové</w:t>
      </w:r>
      <w:proofErr w:type="spellEnd"/>
      <w:r>
        <w:rPr>
          <w:rFonts w:ascii="Arial" w:hAnsi="Arial" w:cs="Arial"/>
          <w:b/>
          <w:sz w:val="22"/>
        </w:rPr>
        <w:t xml:space="preserve"> uspořádání s rotačním difuzérem a zcela rovnoměrným rozložením energie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Celkový mikrovlnný výkon 1900W.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Magnetrony chráněny před odraženým zářením.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Kontinuální výkon řízený PID regulátorem.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Kontinuální měření teploty termočlánkem a </w:t>
      </w:r>
      <w:proofErr w:type="spellStart"/>
      <w:r>
        <w:rPr>
          <w:rFonts w:ascii="Arial" w:hAnsi="Arial" w:cs="Arial"/>
          <w:b/>
          <w:sz w:val="22"/>
        </w:rPr>
        <w:t>bezkontakní</w:t>
      </w:r>
      <w:proofErr w:type="spellEnd"/>
      <w:r>
        <w:rPr>
          <w:rFonts w:ascii="Arial" w:hAnsi="Arial" w:cs="Arial"/>
          <w:b/>
          <w:sz w:val="22"/>
        </w:rPr>
        <w:t xml:space="preserve"> měření ve všech nádobkách.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Velký vnitřní prostor umožnuje vložení velkokapacitních rotorů.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Vnitřní prostor chráněn </w:t>
      </w:r>
      <w:proofErr w:type="spellStart"/>
      <w:r>
        <w:rPr>
          <w:rFonts w:ascii="Arial" w:hAnsi="Arial" w:cs="Arial"/>
          <w:b/>
          <w:sz w:val="22"/>
        </w:rPr>
        <w:t>vícevrstným</w:t>
      </w:r>
      <w:proofErr w:type="spellEnd"/>
      <w:r>
        <w:rPr>
          <w:rFonts w:ascii="Arial" w:hAnsi="Arial" w:cs="Arial"/>
          <w:b/>
          <w:sz w:val="22"/>
        </w:rPr>
        <w:t xml:space="preserve"> PTFE </w:t>
      </w:r>
      <w:proofErr w:type="spellStart"/>
      <w:r>
        <w:rPr>
          <w:rFonts w:ascii="Arial" w:hAnsi="Arial" w:cs="Arial"/>
          <w:b/>
          <w:sz w:val="22"/>
        </w:rPr>
        <w:t>povlakem,umožňujícím</w:t>
      </w:r>
      <w:proofErr w:type="spellEnd"/>
      <w:r>
        <w:rPr>
          <w:rFonts w:ascii="Arial" w:hAnsi="Arial" w:cs="Arial"/>
          <w:b/>
          <w:sz w:val="22"/>
        </w:rPr>
        <w:t xml:space="preserve"> práci s HF.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Vnitřní proces monitorován </w:t>
      </w:r>
      <w:proofErr w:type="spellStart"/>
      <w:r>
        <w:rPr>
          <w:rFonts w:ascii="Arial" w:hAnsi="Arial" w:cs="Arial"/>
          <w:b/>
          <w:sz w:val="22"/>
        </w:rPr>
        <w:t>vestvěnou</w:t>
      </w:r>
      <w:proofErr w:type="spellEnd"/>
      <w:r>
        <w:rPr>
          <w:rFonts w:ascii="Arial" w:hAnsi="Arial" w:cs="Arial"/>
          <w:b/>
          <w:sz w:val="22"/>
        </w:rPr>
        <w:t xml:space="preserve"> kamerou.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Zabudovaný odtah oddělený od elektroniky.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Otevírání z přední strany, panty na straně, bezpečnostní blokování otevření při vyšších teplotách.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Vysokotlaký </w:t>
      </w:r>
      <w:proofErr w:type="spellStart"/>
      <w:r>
        <w:rPr>
          <w:rFonts w:ascii="Arial" w:hAnsi="Arial" w:cs="Arial"/>
          <w:b/>
          <w:sz w:val="22"/>
        </w:rPr>
        <w:t>patnáctipozicový</w:t>
      </w:r>
      <w:proofErr w:type="spellEnd"/>
      <w:r>
        <w:rPr>
          <w:rFonts w:ascii="Arial" w:hAnsi="Arial" w:cs="Arial"/>
          <w:b/>
          <w:sz w:val="22"/>
        </w:rPr>
        <w:t xml:space="preserve"> rotor, materiál nádobek TFM.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Každá nádobka opatřena pojistným ventilem s pružinou pro uvolnění přetlaku a opětovné uzavření.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Objem nádobek 100ml, tlak 100 barů, teplota 300°C.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Ovládání Terminálem 660 s barevnou dotykovou obrazovkou 6,5".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Výstupy USB, RS232, LAN, video. Intuitivní ovládání pomocí ikon.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Dodáváno se zabudovanou kuchařkou a standardními metodami.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Ukládání metod a průběhů rozkladu.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Nový </w:t>
      </w:r>
      <w:proofErr w:type="spellStart"/>
      <w:r>
        <w:rPr>
          <w:rFonts w:ascii="Arial" w:hAnsi="Arial" w:cs="Arial"/>
          <w:b/>
          <w:sz w:val="22"/>
        </w:rPr>
        <w:t>Milestone</w:t>
      </w:r>
      <w:proofErr w:type="spellEnd"/>
      <w:r>
        <w:rPr>
          <w:rFonts w:ascii="Arial" w:hAnsi="Arial" w:cs="Arial"/>
          <w:b/>
          <w:sz w:val="22"/>
        </w:rPr>
        <w:t xml:space="preserve"> </w:t>
      </w:r>
      <w:proofErr w:type="spellStart"/>
      <w:r>
        <w:rPr>
          <w:rFonts w:ascii="Arial" w:hAnsi="Arial" w:cs="Arial"/>
          <w:b/>
          <w:sz w:val="22"/>
        </w:rPr>
        <w:t>Connect</w:t>
      </w:r>
      <w:proofErr w:type="spellEnd"/>
      <w:r>
        <w:rPr>
          <w:rFonts w:ascii="Arial" w:hAnsi="Arial" w:cs="Arial"/>
          <w:b/>
          <w:sz w:val="22"/>
        </w:rPr>
        <w:t xml:space="preserve"> </w:t>
      </w:r>
      <w:proofErr w:type="spellStart"/>
      <w:r>
        <w:rPr>
          <w:rFonts w:ascii="Arial" w:hAnsi="Arial" w:cs="Arial"/>
          <w:b/>
          <w:sz w:val="22"/>
        </w:rPr>
        <w:t>app</w:t>
      </w:r>
      <w:proofErr w:type="spellEnd"/>
      <w:r>
        <w:rPr>
          <w:rFonts w:ascii="Arial" w:hAnsi="Arial" w:cs="Arial"/>
          <w:b/>
          <w:sz w:val="22"/>
        </w:rPr>
        <w:t xml:space="preserve"> umožňuje připojení externích zařízení a dálkové ovládání mikrovlnného systému.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Vyhovuje standardním metodám US EPA 3052; US EPA 3051A; US EPA 3546; ASTM D4309-96; ASTM D-5765; ASTM D-6010; </w:t>
      </w:r>
      <w:proofErr w:type="spellStart"/>
      <w:r>
        <w:rPr>
          <w:rFonts w:ascii="Arial" w:hAnsi="Arial" w:cs="Arial"/>
          <w:b/>
          <w:sz w:val="22"/>
        </w:rPr>
        <w:t>RoHS</w:t>
      </w:r>
      <w:proofErr w:type="spellEnd"/>
      <w:r>
        <w:rPr>
          <w:rFonts w:ascii="Arial" w:hAnsi="Arial" w:cs="Arial"/>
          <w:b/>
          <w:sz w:val="22"/>
        </w:rPr>
        <w:t>; WEEE a ELV.</w:t>
      </w:r>
    </w:p>
    <w:p w:rsidR="00A32066" w:rsidRDefault="00772876">
      <w:pPr>
        <w:pStyle w:val="Standard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Záruka 24 měsíců.</w:t>
      </w:r>
    </w:p>
    <w:p w:rsidR="00A32066" w:rsidRDefault="00772876">
      <w:pPr>
        <w:pStyle w:val="Zkladntext2"/>
        <w:jc w:val="center"/>
        <w:rPr>
          <w:rFonts w:cs="Arial"/>
          <w:sz w:val="40"/>
        </w:rPr>
      </w:pPr>
      <w:r>
        <w:rPr>
          <w:rFonts w:cs="Arial"/>
          <w:sz w:val="40"/>
        </w:rPr>
        <w:t xml:space="preserve"> </w:t>
      </w:r>
    </w:p>
    <w:p w:rsidR="00A32066" w:rsidRDefault="00772876" w:rsidP="00A405B8">
      <w:pPr>
        <w:pStyle w:val="Nadpis9"/>
        <w:overflowPunct w:val="0"/>
        <w:spacing w:before="0" w:after="0"/>
        <w:jc w:val="center"/>
        <w:rPr>
          <w:rFonts w:cs="Arial"/>
          <w:szCs w:val="22"/>
        </w:rPr>
      </w:pPr>
      <w:r>
        <w:rPr>
          <w:rFonts w:cs="Arial"/>
        </w:rPr>
        <w:lastRenderedPageBreak/>
        <w:t xml:space="preserve">Příloha č. 2 ke Kupní smlouvě č. </w:t>
      </w:r>
      <w:r w:rsidR="008D3D8F">
        <w:rPr>
          <w:rFonts w:cs="Arial"/>
        </w:rPr>
        <w:t>992</w:t>
      </w:r>
      <w:r>
        <w:rPr>
          <w:rFonts w:cs="Arial"/>
        </w:rPr>
        <w:t>/2016</w:t>
      </w:r>
      <w:r w:rsidR="008D3D8F">
        <w:rPr>
          <w:rFonts w:cs="Arial"/>
        </w:rPr>
        <w:t xml:space="preserve"> -</w:t>
      </w:r>
      <w:r w:rsidR="00A405B8">
        <w:rPr>
          <w:rFonts w:cs="Arial"/>
        </w:rPr>
        <w:t xml:space="preserve"> </w:t>
      </w:r>
      <w:r>
        <w:rPr>
          <w:rFonts w:cs="Arial"/>
          <w:sz w:val="28"/>
        </w:rPr>
        <w:t>Cenová skladba</w:t>
      </w:r>
      <w:r>
        <w:rPr>
          <w:rFonts w:cs="Arial"/>
          <w:noProof/>
          <w:szCs w:val="22"/>
        </w:rPr>
        <w:drawing>
          <wp:inline distT="0" distB="0" distL="0" distR="0" wp14:anchorId="31C2CB39" wp14:editId="18FB2712">
            <wp:extent cx="5759450" cy="81445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608102MD2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2"/>
        </w:rPr>
        <w:lastRenderedPageBreak/>
        <w:drawing>
          <wp:inline distT="0" distB="0" distL="0" distR="0" wp14:anchorId="76169D73" wp14:editId="5CA342A8">
            <wp:extent cx="5759450" cy="81445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1608102MD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66" w:rsidRDefault="00772876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5759450" cy="81445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608102MD2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066">
      <w:headerReference w:type="default" r:id="rId12"/>
      <w:footerReference w:type="even" r:id="rId13"/>
      <w:footerReference w:type="default" r:id="rId14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170" w:rsidRDefault="00617170">
      <w:r>
        <w:separator/>
      </w:r>
    </w:p>
  </w:endnote>
  <w:endnote w:type="continuationSeparator" w:id="0">
    <w:p w:rsidR="00617170" w:rsidRDefault="0061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fficinaSanItcTEE">
    <w:charset w:val="00"/>
    <w:family w:val="roman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16" w:rsidRDefault="00772876">
    <w:pPr>
      <w:pStyle w:val="Zpat"/>
    </w:pPr>
    <w:r>
      <w:fldChar w:fldCharType="begin"/>
    </w:r>
    <w:r>
      <w:instrText xml:space="preserve"> PAGE </w:instrText>
    </w:r>
    <w:r>
      <w:fldChar w:fldCharType="separate"/>
    </w:r>
    <w:r w:rsidR="009D6DF0">
      <w:rPr>
        <w:noProof/>
      </w:rPr>
      <w:t>8</w:t>
    </w:r>
    <w:r>
      <w:fldChar w:fldCharType="end"/>
    </w:r>
  </w:p>
  <w:p w:rsidR="004F0616" w:rsidRDefault="0061717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16" w:rsidRDefault="00772876">
    <w:pPr>
      <w:pStyle w:val="Zpat"/>
      <w:jc w:val="right"/>
    </w:pPr>
    <w:r>
      <w:rPr>
        <w:rFonts w:ascii="Arial" w:hAnsi="Arial" w:cs="Arial"/>
        <w:sz w:val="18"/>
        <w:szCs w:val="18"/>
      </w:rPr>
      <w:t xml:space="preserve">Stránka </w:t>
    </w:r>
    <w:r>
      <w:fldChar w:fldCharType="begin"/>
    </w:r>
    <w:r>
      <w:instrText xml:space="preserve"> PAGE </w:instrText>
    </w:r>
    <w:r>
      <w:fldChar w:fldCharType="separate"/>
    </w:r>
    <w:r w:rsidR="009D6DF0">
      <w:rPr>
        <w:noProof/>
      </w:rPr>
      <w:t>1</w:t>
    </w:r>
    <w:r>
      <w:fldChar w:fldCharType="end"/>
    </w:r>
    <w:r>
      <w:rPr>
        <w:rFonts w:ascii="Arial" w:hAnsi="Arial" w:cs="Arial"/>
        <w:sz w:val="18"/>
        <w:szCs w:val="18"/>
      </w:rPr>
      <w:t xml:space="preserve"> z </w:t>
    </w:r>
    <w:r w:rsidR="00617170">
      <w:fldChar w:fldCharType="begin"/>
    </w:r>
    <w:r w:rsidR="00617170">
      <w:instrText xml:space="preserve"> NUMPAGES </w:instrText>
    </w:r>
    <w:r w:rsidR="00617170">
      <w:fldChar w:fldCharType="separate"/>
    </w:r>
    <w:r w:rsidR="009D6DF0">
      <w:rPr>
        <w:noProof/>
      </w:rPr>
      <w:t>9</w:t>
    </w:r>
    <w:r w:rsidR="00617170">
      <w:rPr>
        <w:noProof/>
      </w:rPr>
      <w:fldChar w:fldCharType="end"/>
    </w:r>
  </w:p>
  <w:p w:rsidR="004F0616" w:rsidRDefault="0061717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170" w:rsidRDefault="00617170">
      <w:r>
        <w:rPr>
          <w:color w:val="000000"/>
        </w:rPr>
        <w:separator/>
      </w:r>
    </w:p>
  </w:footnote>
  <w:footnote w:type="continuationSeparator" w:id="0">
    <w:p w:rsidR="00617170" w:rsidRDefault="00617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16" w:rsidRDefault="00617170">
    <w:pPr>
      <w:pStyle w:val="Zhlav"/>
      <w:tabs>
        <w:tab w:val="clear" w:pos="5954"/>
        <w:tab w:val="clear" w:pos="10490"/>
        <w:tab w:val="center" w:pos="0"/>
        <w:tab w:val="right" w:pos="9072"/>
      </w:tabs>
      <w:ind w:left="0"/>
      <w:jc w:val="center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B46"/>
    <w:multiLevelType w:val="multilevel"/>
    <w:tmpl w:val="0D32B5C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2782985"/>
    <w:multiLevelType w:val="multilevel"/>
    <w:tmpl w:val="FB8029EA"/>
    <w:styleLink w:val="WWNum4"/>
    <w:lvl w:ilvl="0">
      <w:start w:val="9"/>
      <w:numFmt w:val="decimal"/>
      <w:lvlText w:val="%1"/>
      <w:lvlJc w:val="left"/>
      <w:pPr>
        <w:ind w:left="450" w:hanging="450"/>
      </w:pPr>
    </w:lvl>
    <w:lvl w:ilvl="1">
      <w:start w:val="2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>
    <w:nsid w:val="1DC838A0"/>
    <w:multiLevelType w:val="multilevel"/>
    <w:tmpl w:val="18C6E848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24E52859"/>
    <w:multiLevelType w:val="multilevel"/>
    <w:tmpl w:val="194CC7CE"/>
    <w:styleLink w:val="WWNum5"/>
    <w:lvl w:ilvl="0">
      <w:start w:val="3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33946679"/>
    <w:multiLevelType w:val="multilevel"/>
    <w:tmpl w:val="EDF694EC"/>
    <w:styleLink w:val="WWNum17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1.%2.%3."/>
      <w:lvlJc w:val="left"/>
      <w:pPr>
        <w:ind w:left="900" w:hanging="180"/>
      </w:pPr>
    </w:lvl>
    <w:lvl w:ilvl="3">
      <w:start w:val="1"/>
      <w:numFmt w:val="decimal"/>
      <w:lvlText w:val="%1.%2.%3.%4."/>
      <w:lvlJc w:val="left"/>
      <w:pPr>
        <w:ind w:left="1353" w:hanging="360"/>
      </w:pPr>
      <w:rPr>
        <w:rFonts w:eastAsia="Times New Roman" w:cs="Arial"/>
        <w:b/>
      </w:rPr>
    </w:lvl>
    <w:lvl w:ilvl="4">
      <w:start w:val="1"/>
      <w:numFmt w:val="lowerLetter"/>
      <w:lvlText w:val="%1.%2.%3.%4.%5."/>
      <w:lvlJc w:val="left"/>
      <w:pPr>
        <w:ind w:left="1620" w:hanging="360"/>
      </w:pPr>
    </w:lvl>
    <w:lvl w:ilvl="5">
      <w:start w:val="1"/>
      <w:numFmt w:val="lowerRoman"/>
      <w:lvlText w:val="%1.%2.%3.%4.%5.%6."/>
      <w:lvlJc w:val="left"/>
      <w:pPr>
        <w:ind w:left="1800" w:hanging="180"/>
      </w:pPr>
    </w:lvl>
    <w:lvl w:ilvl="6">
      <w:start w:val="1"/>
      <w:numFmt w:val="decimal"/>
      <w:lvlText w:val="%1.%2.%3.%4.%5.%6.%7."/>
      <w:lvlJc w:val="left"/>
      <w:pPr>
        <w:ind w:left="2160" w:hanging="360"/>
      </w:pPr>
    </w:lvl>
    <w:lvl w:ilvl="7">
      <w:start w:val="1"/>
      <w:numFmt w:val="lowerLetter"/>
      <w:lvlText w:val="%1.%2.%3.%4.%5.%6.%7.%8."/>
      <w:lvlJc w:val="left"/>
      <w:pPr>
        <w:ind w:left="2520" w:hanging="360"/>
      </w:pPr>
    </w:lvl>
    <w:lvl w:ilvl="8">
      <w:start w:val="1"/>
      <w:numFmt w:val="lowerRoman"/>
      <w:lvlText w:val="%1.%2.%3.%4.%5.%6.%7.%8.%9."/>
      <w:lvlJc w:val="left"/>
      <w:pPr>
        <w:ind w:left="2700" w:hanging="180"/>
      </w:pPr>
    </w:lvl>
  </w:abstractNum>
  <w:abstractNum w:abstractNumId="5">
    <w:nsid w:val="3A3B2C26"/>
    <w:multiLevelType w:val="multilevel"/>
    <w:tmpl w:val="B63CA146"/>
    <w:styleLink w:val="WWNum14"/>
    <w:lvl w:ilvl="0">
      <w:start w:val="2"/>
      <w:numFmt w:val="decimal"/>
      <w:lvlText w:val="%1"/>
      <w:lvlJc w:val="left"/>
      <w:pPr>
        <w:ind w:left="390" w:hanging="390"/>
      </w:pPr>
    </w:lvl>
    <w:lvl w:ilvl="1">
      <w:start w:val="2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>
    <w:nsid w:val="3E086CD5"/>
    <w:multiLevelType w:val="multilevel"/>
    <w:tmpl w:val="01D81142"/>
    <w:styleLink w:val="WWNum1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424C228C"/>
    <w:multiLevelType w:val="multilevel"/>
    <w:tmpl w:val="FF5AD1F2"/>
    <w:styleLink w:val="WWNum12"/>
    <w:lvl w:ilvl="0">
      <w:start w:val="11"/>
      <w:numFmt w:val="decimal"/>
      <w:lvlText w:val="%1"/>
      <w:lvlJc w:val="left"/>
      <w:pPr>
        <w:ind w:left="555" w:hanging="555"/>
      </w:pPr>
    </w:lvl>
    <w:lvl w:ilvl="1">
      <w:start w:val="7"/>
      <w:numFmt w:val="decimal"/>
      <w:lvlText w:val="%1.%2"/>
      <w:lvlJc w:val="left"/>
      <w:pPr>
        <w:ind w:left="555" w:hanging="55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>
    <w:nsid w:val="4EE43A49"/>
    <w:multiLevelType w:val="multilevel"/>
    <w:tmpl w:val="9EF8FD64"/>
    <w:styleLink w:val="WWNum15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FFF2074"/>
    <w:multiLevelType w:val="multilevel"/>
    <w:tmpl w:val="64941ABE"/>
    <w:styleLink w:val="WWNum16"/>
    <w:lvl w:ilvl="0">
      <w:start w:val="3"/>
      <w:numFmt w:val="decimal"/>
      <w:lvlText w:val="%1"/>
      <w:lvlJc w:val="left"/>
      <w:pPr>
        <w:ind w:left="360" w:hanging="360"/>
      </w:pPr>
      <w:rPr>
        <w:sz w:val="2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z w:val="20"/>
      </w:rPr>
    </w:lvl>
  </w:abstractNum>
  <w:abstractNum w:abstractNumId="10">
    <w:nsid w:val="54004DD6"/>
    <w:multiLevelType w:val="multilevel"/>
    <w:tmpl w:val="A5E26214"/>
    <w:styleLink w:val="WWNum6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550858E7"/>
    <w:multiLevelType w:val="multilevel"/>
    <w:tmpl w:val="A450312E"/>
    <w:styleLink w:val="WWNum3"/>
    <w:lvl w:ilvl="0">
      <w:start w:val="4"/>
      <w:numFmt w:val="decimal"/>
      <w:lvlText w:val="%1"/>
      <w:lvlJc w:val="left"/>
      <w:pPr>
        <w:ind w:left="420" w:hanging="420"/>
      </w:pPr>
    </w:lvl>
    <w:lvl w:ilvl="1">
      <w:start w:val="2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>
    <w:nsid w:val="5CDA6A4D"/>
    <w:multiLevelType w:val="multilevel"/>
    <w:tmpl w:val="A6C2F35A"/>
    <w:styleLink w:val="WWNum13"/>
    <w:lvl w:ilvl="0">
      <w:start w:val="11"/>
      <w:numFmt w:val="decimal"/>
      <w:lvlText w:val="%1"/>
      <w:lvlJc w:val="left"/>
      <w:pPr>
        <w:ind w:left="555" w:hanging="555"/>
      </w:pPr>
    </w:lvl>
    <w:lvl w:ilvl="1">
      <w:start w:val="6"/>
      <w:numFmt w:val="decimal"/>
      <w:lvlText w:val="%1.%2"/>
      <w:lvlJc w:val="left"/>
      <w:pPr>
        <w:ind w:left="555" w:hanging="55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>
    <w:nsid w:val="70F24503"/>
    <w:multiLevelType w:val="multilevel"/>
    <w:tmpl w:val="77406EC4"/>
    <w:styleLink w:val="WWNum9"/>
    <w:lvl w:ilvl="0">
      <w:start w:val="1"/>
      <w:numFmt w:val="decimal"/>
      <w:lvlText w:val="%1"/>
      <w:lvlJc w:val="left"/>
      <w:rPr>
        <w:b/>
        <w:i w:val="0"/>
        <w:caps/>
        <w:sz w:val="24"/>
        <w:u w:val="none"/>
      </w:rPr>
    </w:lvl>
    <w:lvl w:ilvl="1">
      <w:start w:val="1"/>
      <w:numFmt w:val="decimal"/>
      <w:lvlText w:val="%1.%2"/>
      <w:lvlJc w:val="left"/>
      <w:rPr>
        <w:rFonts w:cs="Arial"/>
        <w:b w:val="0"/>
        <w:i w:val="0"/>
        <w:sz w:val="22"/>
        <w:u w:val="none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b/>
        <w:i w:val="0"/>
        <w:sz w:val="22"/>
        <w:u w:val="none"/>
      </w:rPr>
    </w:lvl>
    <w:lvl w:ilvl="3">
      <w:start w:val="1"/>
      <w:numFmt w:val="lowerLetter"/>
      <w:lvlText w:val="%1.%2.%3.%4)"/>
      <w:lvlJc w:val="left"/>
      <w:pPr>
        <w:ind w:left="1418" w:hanging="567"/>
      </w:pPr>
      <w:rPr>
        <w:b w:val="0"/>
        <w:i w:val="0"/>
        <w:sz w:val="22"/>
        <w:u w:val="none"/>
      </w:rPr>
    </w:lvl>
    <w:lvl w:ilvl="4">
      <w:start w:val="1"/>
      <w:numFmt w:val="decimal"/>
      <w:lvlText w:val="(%1.%2.%3.%4.%5)"/>
      <w:lvlJc w:val="left"/>
      <w:pPr>
        <w:ind w:left="1701" w:hanging="283"/>
      </w:pPr>
      <w:rPr>
        <w:b w:val="0"/>
        <w:i w:val="0"/>
        <w:sz w:val="20"/>
      </w:rPr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none"/>
      <w:lvlText w:val="%9 ř í l o h a  č."/>
      <w:lvlJc w:val="left"/>
      <w:rPr>
        <w:b/>
        <w:i w:val="0"/>
        <w:sz w:val="24"/>
        <w:u w:val="none"/>
      </w:rPr>
    </w:lvl>
  </w:abstractNum>
  <w:abstractNum w:abstractNumId="14">
    <w:nsid w:val="79797858"/>
    <w:multiLevelType w:val="multilevel"/>
    <w:tmpl w:val="1DD609B4"/>
    <w:styleLink w:val="WWNum1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79B20192"/>
    <w:multiLevelType w:val="multilevel"/>
    <w:tmpl w:val="E7EAB16C"/>
    <w:styleLink w:val="WWNum7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79E34DB6"/>
    <w:multiLevelType w:val="multilevel"/>
    <w:tmpl w:val="08F02D36"/>
    <w:styleLink w:val="WWNum8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"/>
  </w:num>
  <w:num w:numId="5">
    <w:abstractNumId w:val="3"/>
  </w:num>
  <w:num w:numId="6">
    <w:abstractNumId w:val="10"/>
  </w:num>
  <w:num w:numId="7">
    <w:abstractNumId w:val="15"/>
  </w:num>
  <w:num w:numId="8">
    <w:abstractNumId w:val="16"/>
  </w:num>
  <w:num w:numId="9">
    <w:abstractNumId w:val="13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5"/>
  </w:num>
  <w:num w:numId="15">
    <w:abstractNumId w:val="8"/>
  </w:num>
  <w:num w:numId="16">
    <w:abstractNumId w:val="9"/>
  </w:num>
  <w:num w:numId="17">
    <w:abstractNumId w:val="4"/>
  </w:num>
  <w:num w:numId="18">
    <w:abstractNumId w:val="2"/>
  </w:num>
  <w:num w:numId="19">
    <w:abstractNumId w:val="6"/>
  </w:num>
  <w:num w:numId="20">
    <w:abstractNumId w:val="10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2066"/>
    <w:rsid w:val="00617170"/>
    <w:rsid w:val="00772876"/>
    <w:rsid w:val="007A10F9"/>
    <w:rsid w:val="008D3D8F"/>
    <w:rsid w:val="009D6DF0"/>
    <w:rsid w:val="009D708A"/>
    <w:rsid w:val="00A32066"/>
    <w:rsid w:val="00A405B8"/>
    <w:rsid w:val="00A53347"/>
    <w:rsid w:val="00B37F27"/>
    <w:rsid w:val="00CC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cs-CZ" w:eastAsia="cs-CZ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Textbody"/>
    <w:pPr>
      <w:spacing w:before="480"/>
      <w:jc w:val="both"/>
      <w:outlineLvl w:val="0"/>
    </w:pPr>
    <w:rPr>
      <w:rFonts w:ascii="Arial" w:hAnsi="Arial"/>
      <w:b/>
      <w:caps/>
      <w:sz w:val="22"/>
      <w:u w:val="single"/>
    </w:rPr>
  </w:style>
  <w:style w:type="paragraph" w:styleId="Nadpis2">
    <w:name w:val="heading 2"/>
    <w:basedOn w:val="Standard"/>
    <w:next w:val="Textbody"/>
    <w:pPr>
      <w:spacing w:before="360"/>
      <w:outlineLvl w:val="1"/>
    </w:pPr>
    <w:rPr>
      <w:rFonts w:ascii="Arial" w:hAnsi="Arial"/>
      <w:b/>
      <w:sz w:val="22"/>
      <w:u w:val="single"/>
    </w:rPr>
  </w:style>
  <w:style w:type="paragraph" w:styleId="Nadpis3">
    <w:name w:val="heading 3"/>
    <w:basedOn w:val="Standard"/>
    <w:next w:val="Textbody"/>
    <w:pPr>
      <w:jc w:val="both"/>
      <w:outlineLvl w:val="2"/>
    </w:pPr>
    <w:rPr>
      <w:rFonts w:ascii="Arial" w:hAnsi="Arial"/>
      <w:sz w:val="22"/>
    </w:rPr>
  </w:style>
  <w:style w:type="paragraph" w:styleId="Nadpis4">
    <w:name w:val="heading 4"/>
    <w:basedOn w:val="Standard"/>
    <w:next w:val="Textbody"/>
    <w:pPr>
      <w:jc w:val="both"/>
      <w:outlineLvl w:val="3"/>
    </w:pPr>
    <w:rPr>
      <w:rFonts w:ascii="Arial" w:hAnsi="Arial"/>
      <w:sz w:val="22"/>
    </w:rPr>
  </w:style>
  <w:style w:type="paragraph" w:styleId="Nadpis5">
    <w:name w:val="heading 5"/>
    <w:basedOn w:val="Standard"/>
    <w:next w:val="Textbody"/>
    <w:pPr>
      <w:outlineLvl w:val="4"/>
    </w:pPr>
    <w:rPr>
      <w:rFonts w:ascii="Arial" w:hAnsi="Arial"/>
      <w:sz w:val="22"/>
    </w:rPr>
  </w:style>
  <w:style w:type="paragraph" w:styleId="Nadpis6">
    <w:name w:val="heading 6"/>
    <w:basedOn w:val="Standard"/>
    <w:next w:val="Textbody"/>
    <w:p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Standard"/>
    <w:next w:val="Textbody"/>
    <w:p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Standard"/>
    <w:next w:val="Textbody"/>
    <w:p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Standard"/>
    <w:next w:val="Textbody"/>
    <w:pPr>
      <w:pageBreakBefore/>
      <w:spacing w:before="240" w:after="60"/>
      <w:jc w:val="right"/>
      <w:outlineLvl w:val="8"/>
    </w:pPr>
    <w:rPr>
      <w:rFonts w:ascii="Arial" w:hAnsi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sz w:val="22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ormal4">
    <w:name w:val="Normal4"/>
    <w:basedOn w:val="Standard"/>
    <w:pPr>
      <w:spacing w:before="120"/>
      <w:ind w:left="851"/>
    </w:pPr>
    <w:rPr>
      <w:rFonts w:ascii="Arial" w:hAnsi="Arial"/>
      <w:sz w:val="22"/>
    </w:rPr>
  </w:style>
  <w:style w:type="paragraph" w:styleId="Zkladntext2">
    <w:name w:val="Body Text 2"/>
    <w:basedOn w:val="Standard"/>
    <w:pPr>
      <w:jc w:val="both"/>
    </w:pPr>
    <w:rPr>
      <w:rFonts w:ascii="Arial" w:hAnsi="Arial"/>
      <w:b/>
      <w:smallCaps/>
      <w:sz w:val="24"/>
    </w:rPr>
  </w:style>
  <w:style w:type="paragraph" w:customStyle="1" w:styleId="odstavec3">
    <w:name w:val="odstavec3"/>
    <w:basedOn w:val="Standard"/>
    <w:pPr>
      <w:tabs>
        <w:tab w:val="left" w:pos="2581"/>
      </w:tabs>
      <w:spacing w:before="120"/>
      <w:ind w:left="426"/>
      <w:jc w:val="both"/>
    </w:pPr>
    <w:rPr>
      <w:rFonts w:ascii="Arial" w:hAnsi="Arial"/>
    </w:rPr>
  </w:style>
  <w:style w:type="paragraph" w:styleId="Zhlav">
    <w:name w:val="header"/>
    <w:basedOn w:val="Standard"/>
    <w:pPr>
      <w:suppressLineNumbers/>
      <w:tabs>
        <w:tab w:val="center" w:pos="5954"/>
        <w:tab w:val="right" w:pos="10490"/>
      </w:tabs>
      <w:spacing w:after="60"/>
      <w:ind w:left="1418"/>
      <w:jc w:val="both"/>
    </w:pPr>
    <w:rPr>
      <w:rFonts w:ascii="OfficinaSanItcTEE" w:hAnsi="OfficinaSanItcTEE"/>
      <w:sz w:val="22"/>
    </w:rPr>
  </w:style>
  <w:style w:type="paragraph" w:styleId="Normlnodsazen">
    <w:name w:val="Normal Indent"/>
    <w:basedOn w:val="Standard"/>
    <w:pPr>
      <w:ind w:left="709"/>
      <w:jc w:val="both"/>
    </w:pPr>
    <w:rPr>
      <w:rFonts w:ascii="Arial" w:hAnsi="Arial"/>
    </w:rPr>
  </w:style>
  <w:style w:type="paragraph" w:customStyle="1" w:styleId="Preformatted">
    <w:name w:val="Preformatted"/>
    <w:basedOn w:val="Standar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xtkomente">
    <w:name w:val="annotation text"/>
    <w:basedOn w:val="Standard"/>
  </w:style>
  <w:style w:type="paragraph" w:customStyle="1" w:styleId="Normal3">
    <w:name w:val="Normal3"/>
    <w:basedOn w:val="Standard"/>
    <w:pPr>
      <w:spacing w:before="120"/>
      <w:ind w:left="639" w:hanging="283"/>
      <w:jc w:val="both"/>
    </w:pPr>
    <w:rPr>
      <w:rFonts w:ascii="Arial" w:hAnsi="Arial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before="360"/>
    </w:pPr>
    <w:rPr>
      <w:rFonts w:ascii="Arial" w:hAnsi="Arial"/>
      <w:b/>
      <w:caps/>
      <w:sz w:val="24"/>
      <w:lang w:val="en-US"/>
    </w:rPr>
  </w:style>
  <w:style w:type="paragraph" w:styleId="Zkladntextodsazen2">
    <w:name w:val="Body Text Indent 2"/>
    <w:basedOn w:val="Standard"/>
    <w:pPr>
      <w:ind w:left="567"/>
    </w:pPr>
    <w:rPr>
      <w:rFonts w:ascii="Arial" w:hAnsi="Arial"/>
      <w:sz w:val="22"/>
      <w:lang w:val="en-US"/>
    </w:rPr>
  </w:style>
  <w:style w:type="paragraph" w:customStyle="1" w:styleId="Odstavec0">
    <w:name w:val="Odstavec0"/>
    <w:basedOn w:val="Standard"/>
    <w:pPr>
      <w:tabs>
        <w:tab w:val="left" w:pos="993"/>
      </w:tabs>
      <w:spacing w:before="120"/>
      <w:ind w:left="284"/>
      <w:jc w:val="both"/>
    </w:pPr>
    <w:rPr>
      <w:rFonts w:ascii="Arial" w:hAnsi="Arial"/>
    </w:rPr>
  </w:style>
  <w:style w:type="paragraph" w:customStyle="1" w:styleId="Normal1">
    <w:name w:val="Normal1"/>
    <w:basedOn w:val="Standard"/>
    <w:pPr>
      <w:spacing w:before="120"/>
      <w:ind w:left="284"/>
      <w:jc w:val="both"/>
    </w:pPr>
    <w:rPr>
      <w:rFonts w:ascii="Arial" w:hAnsi="Arial"/>
      <w:sz w:val="22"/>
    </w:rPr>
  </w:style>
  <w:style w:type="paragraph" w:customStyle="1" w:styleId="Normal2">
    <w:name w:val="Normal2"/>
    <w:basedOn w:val="Standard"/>
    <w:pPr>
      <w:spacing w:before="120"/>
      <w:ind w:left="283" w:hanging="283"/>
      <w:jc w:val="both"/>
    </w:pPr>
    <w:rPr>
      <w:rFonts w:ascii="Arial" w:hAnsi="Arial"/>
    </w:rPr>
  </w:style>
  <w:style w:type="paragraph" w:customStyle="1" w:styleId="Textbodyindent">
    <w:name w:val="Text body indent"/>
    <w:basedOn w:val="Standard"/>
    <w:pPr>
      <w:ind w:left="720"/>
    </w:pPr>
    <w:rPr>
      <w:rFonts w:ascii="Arial" w:hAnsi="Arial"/>
      <w:sz w:val="22"/>
    </w:rPr>
  </w:style>
  <w:style w:type="paragraph" w:styleId="Zkladntext3">
    <w:name w:val="Body Text 3"/>
    <w:basedOn w:val="Standard"/>
    <w:pPr>
      <w:jc w:val="both"/>
    </w:pPr>
  </w:style>
  <w:style w:type="paragraph" w:styleId="Zkladntextodsazen3">
    <w:name w:val="Body Text Indent 3"/>
    <w:basedOn w:val="Standard"/>
    <w:pPr>
      <w:ind w:left="567"/>
      <w:jc w:val="both"/>
    </w:pPr>
  </w:style>
  <w:style w:type="paragraph" w:styleId="Textbubliny">
    <w:name w:val="Balloon Text"/>
    <w:basedOn w:val="Standar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Standard"/>
    <w:pPr>
      <w:ind w:left="708"/>
    </w:pPr>
  </w:style>
  <w:style w:type="paragraph" w:customStyle="1" w:styleId="4sltext">
    <w:name w:val="4 čísl. text"/>
    <w:basedOn w:val="Standard"/>
    <w:pPr>
      <w:spacing w:after="120"/>
      <w:ind w:left="1134" w:hanging="1134"/>
      <w:jc w:val="both"/>
    </w:pPr>
    <w:rPr>
      <w:rFonts w:ascii="Arial" w:hAnsi="Arial" w:cs="Arial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Odkaznakoment">
    <w:name w:val="annotation reference"/>
    <w:rPr>
      <w:sz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character" w:styleId="slostrnky">
    <w:name w:val="page number"/>
    <w:basedOn w:val="Standardnpsmoodstavce"/>
  </w:style>
  <w:style w:type="character" w:customStyle="1" w:styleId="ZhlavChar">
    <w:name w:val="Záhlaví Char"/>
    <w:basedOn w:val="Standardnpsmoodstavce"/>
    <w:rPr>
      <w:rFonts w:ascii="OfficinaSanItcTEE" w:hAnsi="OfficinaSanItcTEE"/>
      <w:sz w:val="22"/>
    </w:rPr>
  </w:style>
  <w:style w:type="character" w:customStyle="1" w:styleId="ZpatChar">
    <w:name w:val="Zápatí Char"/>
    <w:basedOn w:val="Standardnpsmoodstavce"/>
  </w:style>
  <w:style w:type="character" w:customStyle="1" w:styleId="Nadpis9Char">
    <w:name w:val="Nadpis 9 Char"/>
    <w:basedOn w:val="Standardnpsmoodstavce"/>
    <w:rPr>
      <w:rFonts w:ascii="Arial" w:hAnsi="Arial"/>
      <w:b/>
      <w:sz w:val="22"/>
    </w:rPr>
  </w:style>
  <w:style w:type="character" w:customStyle="1" w:styleId="Zkladntext2Char">
    <w:name w:val="Základní text 2 Char"/>
    <w:basedOn w:val="Standardnpsmoodstavce"/>
    <w:rPr>
      <w:rFonts w:ascii="Arial" w:hAnsi="Arial"/>
      <w:b/>
      <w:smallCaps/>
      <w:sz w:val="24"/>
    </w:rPr>
  </w:style>
  <w:style w:type="character" w:customStyle="1" w:styleId="ZkladntextChar">
    <w:name w:val="Základní text Char"/>
    <w:basedOn w:val="Standardnpsmoodstavce"/>
    <w:rPr>
      <w:sz w:val="22"/>
    </w:rPr>
  </w:style>
  <w:style w:type="character" w:customStyle="1" w:styleId="Zkladntextodsazen3Char">
    <w:name w:val="Základní text odsazený 3 Char"/>
    <w:basedOn w:val="Standardnpsmoodstavce"/>
  </w:style>
  <w:style w:type="character" w:customStyle="1" w:styleId="ListLabel1">
    <w:name w:val="ListLabel 1"/>
    <w:rPr>
      <w:b/>
      <w:i w:val="0"/>
      <w:caps/>
      <w:sz w:val="24"/>
      <w:u w:val="none"/>
    </w:rPr>
  </w:style>
  <w:style w:type="character" w:customStyle="1" w:styleId="ListLabel2">
    <w:name w:val="ListLabel 2"/>
    <w:rPr>
      <w:sz w:val="22"/>
    </w:rPr>
  </w:style>
  <w:style w:type="character" w:customStyle="1" w:styleId="ListLabel3">
    <w:name w:val="ListLabel 3"/>
    <w:rPr>
      <w:rFonts w:cs="Arial"/>
      <w:b w:val="0"/>
      <w:i w:val="0"/>
      <w:sz w:val="22"/>
      <w:u w:val="none"/>
    </w:rPr>
  </w:style>
  <w:style w:type="character" w:customStyle="1" w:styleId="ListLabel4">
    <w:name w:val="ListLabel 4"/>
    <w:rPr>
      <w:b/>
      <w:i w:val="0"/>
      <w:sz w:val="22"/>
      <w:u w:val="none"/>
    </w:rPr>
  </w:style>
  <w:style w:type="character" w:customStyle="1" w:styleId="ListLabel5">
    <w:name w:val="ListLabel 5"/>
    <w:rPr>
      <w:b w:val="0"/>
      <w:i w:val="0"/>
      <w:sz w:val="22"/>
      <w:u w:val="none"/>
    </w:rPr>
  </w:style>
  <w:style w:type="character" w:customStyle="1" w:styleId="ListLabel6">
    <w:name w:val="ListLabel 6"/>
    <w:rPr>
      <w:b w:val="0"/>
      <w:i w:val="0"/>
      <w:sz w:val="20"/>
    </w:rPr>
  </w:style>
  <w:style w:type="character" w:customStyle="1" w:styleId="ListLabel7">
    <w:name w:val="ListLabel 7"/>
    <w:rPr>
      <w:b/>
      <w:i w:val="0"/>
      <w:sz w:val="24"/>
      <w:u w:val="none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2"/>
      <w:szCs w:val="22"/>
    </w:rPr>
  </w:style>
  <w:style w:type="character" w:customStyle="1" w:styleId="ListLabel10">
    <w:name w:val="ListLabel 10"/>
    <w:rPr>
      <w:b/>
      <w:i w:val="0"/>
    </w:rPr>
  </w:style>
  <w:style w:type="character" w:customStyle="1" w:styleId="ListLabel11">
    <w:name w:val="ListLabel 11"/>
    <w:rPr>
      <w:rFonts w:eastAsia="Times New Roman" w:cs="Arial"/>
      <w:b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numbering" w:customStyle="1" w:styleId="WWNum5">
    <w:name w:val="WWNum5"/>
    <w:basedOn w:val="Bezseznamu"/>
    <w:pPr>
      <w:numPr>
        <w:numId w:val="5"/>
      </w:numPr>
    </w:pPr>
  </w:style>
  <w:style w:type="numbering" w:customStyle="1" w:styleId="WWNum6">
    <w:name w:val="WWNum6"/>
    <w:basedOn w:val="Bezseznamu"/>
    <w:pPr>
      <w:numPr>
        <w:numId w:val="6"/>
      </w:numPr>
    </w:pPr>
  </w:style>
  <w:style w:type="numbering" w:customStyle="1" w:styleId="WWNum7">
    <w:name w:val="WWNum7"/>
    <w:basedOn w:val="Bezseznamu"/>
    <w:pPr>
      <w:numPr>
        <w:numId w:val="7"/>
      </w:numPr>
    </w:pPr>
  </w:style>
  <w:style w:type="numbering" w:customStyle="1" w:styleId="WWNum8">
    <w:name w:val="WWNum8"/>
    <w:basedOn w:val="Bezseznamu"/>
    <w:pPr>
      <w:numPr>
        <w:numId w:val="8"/>
      </w:numPr>
    </w:pPr>
  </w:style>
  <w:style w:type="numbering" w:customStyle="1" w:styleId="WWNum9">
    <w:name w:val="WWNum9"/>
    <w:basedOn w:val="Bezseznamu"/>
    <w:pPr>
      <w:numPr>
        <w:numId w:val="9"/>
      </w:numPr>
    </w:pPr>
  </w:style>
  <w:style w:type="numbering" w:customStyle="1" w:styleId="WWNum10">
    <w:name w:val="WWNum10"/>
    <w:basedOn w:val="Bezseznamu"/>
    <w:pPr>
      <w:numPr>
        <w:numId w:val="10"/>
      </w:numPr>
    </w:pPr>
  </w:style>
  <w:style w:type="numbering" w:customStyle="1" w:styleId="WWNum11">
    <w:name w:val="WWNum11"/>
    <w:basedOn w:val="Bezseznamu"/>
    <w:pPr>
      <w:numPr>
        <w:numId w:val="11"/>
      </w:numPr>
    </w:pPr>
  </w:style>
  <w:style w:type="numbering" w:customStyle="1" w:styleId="WWNum12">
    <w:name w:val="WWNum12"/>
    <w:basedOn w:val="Bezseznamu"/>
    <w:pPr>
      <w:numPr>
        <w:numId w:val="12"/>
      </w:numPr>
    </w:pPr>
  </w:style>
  <w:style w:type="numbering" w:customStyle="1" w:styleId="WWNum13">
    <w:name w:val="WWNum13"/>
    <w:basedOn w:val="Bezseznamu"/>
    <w:pPr>
      <w:numPr>
        <w:numId w:val="13"/>
      </w:numPr>
    </w:pPr>
  </w:style>
  <w:style w:type="numbering" w:customStyle="1" w:styleId="WWNum14">
    <w:name w:val="WWNum14"/>
    <w:basedOn w:val="Bezseznamu"/>
    <w:pPr>
      <w:numPr>
        <w:numId w:val="14"/>
      </w:numPr>
    </w:pPr>
  </w:style>
  <w:style w:type="numbering" w:customStyle="1" w:styleId="WWNum15">
    <w:name w:val="WWNum15"/>
    <w:basedOn w:val="Bezseznamu"/>
    <w:pPr>
      <w:numPr>
        <w:numId w:val="15"/>
      </w:numPr>
    </w:pPr>
  </w:style>
  <w:style w:type="numbering" w:customStyle="1" w:styleId="WWNum16">
    <w:name w:val="WWNum16"/>
    <w:basedOn w:val="Bezseznamu"/>
    <w:pPr>
      <w:numPr>
        <w:numId w:val="16"/>
      </w:numPr>
    </w:pPr>
  </w:style>
  <w:style w:type="numbering" w:customStyle="1" w:styleId="WWNum17">
    <w:name w:val="WWNum17"/>
    <w:basedOn w:val="Bezseznamu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cs-CZ" w:eastAsia="cs-CZ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Textbody"/>
    <w:pPr>
      <w:spacing w:before="480"/>
      <w:jc w:val="both"/>
      <w:outlineLvl w:val="0"/>
    </w:pPr>
    <w:rPr>
      <w:rFonts w:ascii="Arial" w:hAnsi="Arial"/>
      <w:b/>
      <w:caps/>
      <w:sz w:val="22"/>
      <w:u w:val="single"/>
    </w:rPr>
  </w:style>
  <w:style w:type="paragraph" w:styleId="Nadpis2">
    <w:name w:val="heading 2"/>
    <w:basedOn w:val="Standard"/>
    <w:next w:val="Textbody"/>
    <w:pPr>
      <w:spacing w:before="360"/>
      <w:outlineLvl w:val="1"/>
    </w:pPr>
    <w:rPr>
      <w:rFonts w:ascii="Arial" w:hAnsi="Arial"/>
      <w:b/>
      <w:sz w:val="22"/>
      <w:u w:val="single"/>
    </w:rPr>
  </w:style>
  <w:style w:type="paragraph" w:styleId="Nadpis3">
    <w:name w:val="heading 3"/>
    <w:basedOn w:val="Standard"/>
    <w:next w:val="Textbody"/>
    <w:pPr>
      <w:jc w:val="both"/>
      <w:outlineLvl w:val="2"/>
    </w:pPr>
    <w:rPr>
      <w:rFonts w:ascii="Arial" w:hAnsi="Arial"/>
      <w:sz w:val="22"/>
    </w:rPr>
  </w:style>
  <w:style w:type="paragraph" w:styleId="Nadpis4">
    <w:name w:val="heading 4"/>
    <w:basedOn w:val="Standard"/>
    <w:next w:val="Textbody"/>
    <w:pPr>
      <w:jc w:val="both"/>
      <w:outlineLvl w:val="3"/>
    </w:pPr>
    <w:rPr>
      <w:rFonts w:ascii="Arial" w:hAnsi="Arial"/>
      <w:sz w:val="22"/>
    </w:rPr>
  </w:style>
  <w:style w:type="paragraph" w:styleId="Nadpis5">
    <w:name w:val="heading 5"/>
    <w:basedOn w:val="Standard"/>
    <w:next w:val="Textbody"/>
    <w:pPr>
      <w:outlineLvl w:val="4"/>
    </w:pPr>
    <w:rPr>
      <w:rFonts w:ascii="Arial" w:hAnsi="Arial"/>
      <w:sz w:val="22"/>
    </w:rPr>
  </w:style>
  <w:style w:type="paragraph" w:styleId="Nadpis6">
    <w:name w:val="heading 6"/>
    <w:basedOn w:val="Standard"/>
    <w:next w:val="Textbody"/>
    <w:p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Standard"/>
    <w:next w:val="Textbody"/>
    <w:p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Standard"/>
    <w:next w:val="Textbody"/>
    <w:p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Standard"/>
    <w:next w:val="Textbody"/>
    <w:pPr>
      <w:pageBreakBefore/>
      <w:spacing w:before="240" w:after="60"/>
      <w:jc w:val="right"/>
      <w:outlineLvl w:val="8"/>
    </w:pPr>
    <w:rPr>
      <w:rFonts w:ascii="Arial" w:hAnsi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sz w:val="22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ormal4">
    <w:name w:val="Normal4"/>
    <w:basedOn w:val="Standard"/>
    <w:pPr>
      <w:spacing w:before="120"/>
      <w:ind w:left="851"/>
    </w:pPr>
    <w:rPr>
      <w:rFonts w:ascii="Arial" w:hAnsi="Arial"/>
      <w:sz w:val="22"/>
    </w:rPr>
  </w:style>
  <w:style w:type="paragraph" w:styleId="Zkladntext2">
    <w:name w:val="Body Text 2"/>
    <w:basedOn w:val="Standard"/>
    <w:pPr>
      <w:jc w:val="both"/>
    </w:pPr>
    <w:rPr>
      <w:rFonts w:ascii="Arial" w:hAnsi="Arial"/>
      <w:b/>
      <w:smallCaps/>
      <w:sz w:val="24"/>
    </w:rPr>
  </w:style>
  <w:style w:type="paragraph" w:customStyle="1" w:styleId="odstavec3">
    <w:name w:val="odstavec3"/>
    <w:basedOn w:val="Standard"/>
    <w:pPr>
      <w:tabs>
        <w:tab w:val="left" w:pos="2581"/>
      </w:tabs>
      <w:spacing w:before="120"/>
      <w:ind w:left="426"/>
      <w:jc w:val="both"/>
    </w:pPr>
    <w:rPr>
      <w:rFonts w:ascii="Arial" w:hAnsi="Arial"/>
    </w:rPr>
  </w:style>
  <w:style w:type="paragraph" w:styleId="Zhlav">
    <w:name w:val="header"/>
    <w:basedOn w:val="Standard"/>
    <w:pPr>
      <w:suppressLineNumbers/>
      <w:tabs>
        <w:tab w:val="center" w:pos="5954"/>
        <w:tab w:val="right" w:pos="10490"/>
      </w:tabs>
      <w:spacing w:after="60"/>
      <w:ind w:left="1418"/>
      <w:jc w:val="both"/>
    </w:pPr>
    <w:rPr>
      <w:rFonts w:ascii="OfficinaSanItcTEE" w:hAnsi="OfficinaSanItcTEE"/>
      <w:sz w:val="22"/>
    </w:rPr>
  </w:style>
  <w:style w:type="paragraph" w:styleId="Normlnodsazen">
    <w:name w:val="Normal Indent"/>
    <w:basedOn w:val="Standard"/>
    <w:pPr>
      <w:ind w:left="709"/>
      <w:jc w:val="both"/>
    </w:pPr>
    <w:rPr>
      <w:rFonts w:ascii="Arial" w:hAnsi="Arial"/>
    </w:rPr>
  </w:style>
  <w:style w:type="paragraph" w:customStyle="1" w:styleId="Preformatted">
    <w:name w:val="Preformatted"/>
    <w:basedOn w:val="Standar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xtkomente">
    <w:name w:val="annotation text"/>
    <w:basedOn w:val="Standard"/>
  </w:style>
  <w:style w:type="paragraph" w:customStyle="1" w:styleId="Normal3">
    <w:name w:val="Normal3"/>
    <w:basedOn w:val="Standard"/>
    <w:pPr>
      <w:spacing w:before="120"/>
      <w:ind w:left="639" w:hanging="283"/>
      <w:jc w:val="both"/>
    </w:pPr>
    <w:rPr>
      <w:rFonts w:ascii="Arial" w:hAnsi="Arial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before="360"/>
    </w:pPr>
    <w:rPr>
      <w:rFonts w:ascii="Arial" w:hAnsi="Arial"/>
      <w:b/>
      <w:caps/>
      <w:sz w:val="24"/>
      <w:lang w:val="en-US"/>
    </w:rPr>
  </w:style>
  <w:style w:type="paragraph" w:styleId="Zkladntextodsazen2">
    <w:name w:val="Body Text Indent 2"/>
    <w:basedOn w:val="Standard"/>
    <w:pPr>
      <w:ind w:left="567"/>
    </w:pPr>
    <w:rPr>
      <w:rFonts w:ascii="Arial" w:hAnsi="Arial"/>
      <w:sz w:val="22"/>
      <w:lang w:val="en-US"/>
    </w:rPr>
  </w:style>
  <w:style w:type="paragraph" w:customStyle="1" w:styleId="Odstavec0">
    <w:name w:val="Odstavec0"/>
    <w:basedOn w:val="Standard"/>
    <w:pPr>
      <w:tabs>
        <w:tab w:val="left" w:pos="993"/>
      </w:tabs>
      <w:spacing w:before="120"/>
      <w:ind w:left="284"/>
      <w:jc w:val="both"/>
    </w:pPr>
    <w:rPr>
      <w:rFonts w:ascii="Arial" w:hAnsi="Arial"/>
    </w:rPr>
  </w:style>
  <w:style w:type="paragraph" w:customStyle="1" w:styleId="Normal1">
    <w:name w:val="Normal1"/>
    <w:basedOn w:val="Standard"/>
    <w:pPr>
      <w:spacing w:before="120"/>
      <w:ind w:left="284"/>
      <w:jc w:val="both"/>
    </w:pPr>
    <w:rPr>
      <w:rFonts w:ascii="Arial" w:hAnsi="Arial"/>
      <w:sz w:val="22"/>
    </w:rPr>
  </w:style>
  <w:style w:type="paragraph" w:customStyle="1" w:styleId="Normal2">
    <w:name w:val="Normal2"/>
    <w:basedOn w:val="Standard"/>
    <w:pPr>
      <w:spacing w:before="120"/>
      <w:ind w:left="283" w:hanging="283"/>
      <w:jc w:val="both"/>
    </w:pPr>
    <w:rPr>
      <w:rFonts w:ascii="Arial" w:hAnsi="Arial"/>
    </w:rPr>
  </w:style>
  <w:style w:type="paragraph" w:customStyle="1" w:styleId="Textbodyindent">
    <w:name w:val="Text body indent"/>
    <w:basedOn w:val="Standard"/>
    <w:pPr>
      <w:ind w:left="720"/>
    </w:pPr>
    <w:rPr>
      <w:rFonts w:ascii="Arial" w:hAnsi="Arial"/>
      <w:sz w:val="22"/>
    </w:rPr>
  </w:style>
  <w:style w:type="paragraph" w:styleId="Zkladntext3">
    <w:name w:val="Body Text 3"/>
    <w:basedOn w:val="Standard"/>
    <w:pPr>
      <w:jc w:val="both"/>
    </w:pPr>
  </w:style>
  <w:style w:type="paragraph" w:styleId="Zkladntextodsazen3">
    <w:name w:val="Body Text Indent 3"/>
    <w:basedOn w:val="Standard"/>
    <w:pPr>
      <w:ind w:left="567"/>
      <w:jc w:val="both"/>
    </w:pPr>
  </w:style>
  <w:style w:type="paragraph" w:styleId="Textbubliny">
    <w:name w:val="Balloon Text"/>
    <w:basedOn w:val="Standar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Standard"/>
    <w:pPr>
      <w:ind w:left="708"/>
    </w:pPr>
  </w:style>
  <w:style w:type="paragraph" w:customStyle="1" w:styleId="4sltext">
    <w:name w:val="4 čísl. text"/>
    <w:basedOn w:val="Standard"/>
    <w:pPr>
      <w:spacing w:after="120"/>
      <w:ind w:left="1134" w:hanging="1134"/>
      <w:jc w:val="both"/>
    </w:pPr>
    <w:rPr>
      <w:rFonts w:ascii="Arial" w:hAnsi="Arial" w:cs="Arial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Odkaznakoment">
    <w:name w:val="annotation reference"/>
    <w:rPr>
      <w:sz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character" w:styleId="slostrnky">
    <w:name w:val="page number"/>
    <w:basedOn w:val="Standardnpsmoodstavce"/>
  </w:style>
  <w:style w:type="character" w:customStyle="1" w:styleId="ZhlavChar">
    <w:name w:val="Záhlaví Char"/>
    <w:basedOn w:val="Standardnpsmoodstavce"/>
    <w:rPr>
      <w:rFonts w:ascii="OfficinaSanItcTEE" w:hAnsi="OfficinaSanItcTEE"/>
      <w:sz w:val="22"/>
    </w:rPr>
  </w:style>
  <w:style w:type="character" w:customStyle="1" w:styleId="ZpatChar">
    <w:name w:val="Zápatí Char"/>
    <w:basedOn w:val="Standardnpsmoodstavce"/>
  </w:style>
  <w:style w:type="character" w:customStyle="1" w:styleId="Nadpis9Char">
    <w:name w:val="Nadpis 9 Char"/>
    <w:basedOn w:val="Standardnpsmoodstavce"/>
    <w:rPr>
      <w:rFonts w:ascii="Arial" w:hAnsi="Arial"/>
      <w:b/>
      <w:sz w:val="22"/>
    </w:rPr>
  </w:style>
  <w:style w:type="character" w:customStyle="1" w:styleId="Zkladntext2Char">
    <w:name w:val="Základní text 2 Char"/>
    <w:basedOn w:val="Standardnpsmoodstavce"/>
    <w:rPr>
      <w:rFonts w:ascii="Arial" w:hAnsi="Arial"/>
      <w:b/>
      <w:smallCaps/>
      <w:sz w:val="24"/>
    </w:rPr>
  </w:style>
  <w:style w:type="character" w:customStyle="1" w:styleId="ZkladntextChar">
    <w:name w:val="Základní text Char"/>
    <w:basedOn w:val="Standardnpsmoodstavce"/>
    <w:rPr>
      <w:sz w:val="22"/>
    </w:rPr>
  </w:style>
  <w:style w:type="character" w:customStyle="1" w:styleId="Zkladntextodsazen3Char">
    <w:name w:val="Základní text odsazený 3 Char"/>
    <w:basedOn w:val="Standardnpsmoodstavce"/>
  </w:style>
  <w:style w:type="character" w:customStyle="1" w:styleId="ListLabel1">
    <w:name w:val="ListLabel 1"/>
    <w:rPr>
      <w:b/>
      <w:i w:val="0"/>
      <w:caps/>
      <w:sz w:val="24"/>
      <w:u w:val="none"/>
    </w:rPr>
  </w:style>
  <w:style w:type="character" w:customStyle="1" w:styleId="ListLabel2">
    <w:name w:val="ListLabel 2"/>
    <w:rPr>
      <w:sz w:val="22"/>
    </w:rPr>
  </w:style>
  <w:style w:type="character" w:customStyle="1" w:styleId="ListLabel3">
    <w:name w:val="ListLabel 3"/>
    <w:rPr>
      <w:rFonts w:cs="Arial"/>
      <w:b w:val="0"/>
      <w:i w:val="0"/>
      <w:sz w:val="22"/>
      <w:u w:val="none"/>
    </w:rPr>
  </w:style>
  <w:style w:type="character" w:customStyle="1" w:styleId="ListLabel4">
    <w:name w:val="ListLabel 4"/>
    <w:rPr>
      <w:b/>
      <w:i w:val="0"/>
      <w:sz w:val="22"/>
      <w:u w:val="none"/>
    </w:rPr>
  </w:style>
  <w:style w:type="character" w:customStyle="1" w:styleId="ListLabel5">
    <w:name w:val="ListLabel 5"/>
    <w:rPr>
      <w:b w:val="0"/>
      <w:i w:val="0"/>
      <w:sz w:val="22"/>
      <w:u w:val="none"/>
    </w:rPr>
  </w:style>
  <w:style w:type="character" w:customStyle="1" w:styleId="ListLabel6">
    <w:name w:val="ListLabel 6"/>
    <w:rPr>
      <w:b w:val="0"/>
      <w:i w:val="0"/>
      <w:sz w:val="20"/>
    </w:rPr>
  </w:style>
  <w:style w:type="character" w:customStyle="1" w:styleId="ListLabel7">
    <w:name w:val="ListLabel 7"/>
    <w:rPr>
      <w:b/>
      <w:i w:val="0"/>
      <w:sz w:val="24"/>
      <w:u w:val="none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2"/>
      <w:szCs w:val="22"/>
    </w:rPr>
  </w:style>
  <w:style w:type="character" w:customStyle="1" w:styleId="ListLabel10">
    <w:name w:val="ListLabel 10"/>
    <w:rPr>
      <w:b/>
      <w:i w:val="0"/>
    </w:rPr>
  </w:style>
  <w:style w:type="character" w:customStyle="1" w:styleId="ListLabel11">
    <w:name w:val="ListLabel 11"/>
    <w:rPr>
      <w:rFonts w:eastAsia="Times New Roman" w:cs="Arial"/>
      <w:b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numbering" w:customStyle="1" w:styleId="WWNum5">
    <w:name w:val="WWNum5"/>
    <w:basedOn w:val="Bezseznamu"/>
    <w:pPr>
      <w:numPr>
        <w:numId w:val="5"/>
      </w:numPr>
    </w:pPr>
  </w:style>
  <w:style w:type="numbering" w:customStyle="1" w:styleId="WWNum6">
    <w:name w:val="WWNum6"/>
    <w:basedOn w:val="Bezseznamu"/>
    <w:pPr>
      <w:numPr>
        <w:numId w:val="6"/>
      </w:numPr>
    </w:pPr>
  </w:style>
  <w:style w:type="numbering" w:customStyle="1" w:styleId="WWNum7">
    <w:name w:val="WWNum7"/>
    <w:basedOn w:val="Bezseznamu"/>
    <w:pPr>
      <w:numPr>
        <w:numId w:val="7"/>
      </w:numPr>
    </w:pPr>
  </w:style>
  <w:style w:type="numbering" w:customStyle="1" w:styleId="WWNum8">
    <w:name w:val="WWNum8"/>
    <w:basedOn w:val="Bezseznamu"/>
    <w:pPr>
      <w:numPr>
        <w:numId w:val="8"/>
      </w:numPr>
    </w:pPr>
  </w:style>
  <w:style w:type="numbering" w:customStyle="1" w:styleId="WWNum9">
    <w:name w:val="WWNum9"/>
    <w:basedOn w:val="Bezseznamu"/>
    <w:pPr>
      <w:numPr>
        <w:numId w:val="9"/>
      </w:numPr>
    </w:pPr>
  </w:style>
  <w:style w:type="numbering" w:customStyle="1" w:styleId="WWNum10">
    <w:name w:val="WWNum10"/>
    <w:basedOn w:val="Bezseznamu"/>
    <w:pPr>
      <w:numPr>
        <w:numId w:val="10"/>
      </w:numPr>
    </w:pPr>
  </w:style>
  <w:style w:type="numbering" w:customStyle="1" w:styleId="WWNum11">
    <w:name w:val="WWNum11"/>
    <w:basedOn w:val="Bezseznamu"/>
    <w:pPr>
      <w:numPr>
        <w:numId w:val="11"/>
      </w:numPr>
    </w:pPr>
  </w:style>
  <w:style w:type="numbering" w:customStyle="1" w:styleId="WWNum12">
    <w:name w:val="WWNum12"/>
    <w:basedOn w:val="Bezseznamu"/>
    <w:pPr>
      <w:numPr>
        <w:numId w:val="12"/>
      </w:numPr>
    </w:pPr>
  </w:style>
  <w:style w:type="numbering" w:customStyle="1" w:styleId="WWNum13">
    <w:name w:val="WWNum13"/>
    <w:basedOn w:val="Bezseznamu"/>
    <w:pPr>
      <w:numPr>
        <w:numId w:val="13"/>
      </w:numPr>
    </w:pPr>
  </w:style>
  <w:style w:type="numbering" w:customStyle="1" w:styleId="WWNum14">
    <w:name w:val="WWNum14"/>
    <w:basedOn w:val="Bezseznamu"/>
    <w:pPr>
      <w:numPr>
        <w:numId w:val="14"/>
      </w:numPr>
    </w:pPr>
  </w:style>
  <w:style w:type="numbering" w:customStyle="1" w:styleId="WWNum15">
    <w:name w:val="WWNum15"/>
    <w:basedOn w:val="Bezseznamu"/>
    <w:pPr>
      <w:numPr>
        <w:numId w:val="15"/>
      </w:numPr>
    </w:pPr>
  </w:style>
  <w:style w:type="numbering" w:customStyle="1" w:styleId="WWNum16">
    <w:name w:val="WWNum16"/>
    <w:basedOn w:val="Bezseznamu"/>
    <w:pPr>
      <w:numPr>
        <w:numId w:val="16"/>
      </w:numPr>
    </w:pPr>
  </w:style>
  <w:style w:type="numbering" w:customStyle="1" w:styleId="WWNum17">
    <w:name w:val="WWNum17"/>
    <w:basedOn w:val="Bezseznamu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dnarek@poh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1760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NABÍDKY NA DODÁVKU  (př.T815) PRO STATNÍ PODNIK POVODÍ Ohře</vt:lpstr>
    </vt:vector>
  </TitlesOfParts>
  <Company/>
  <LinksUpToDate>false</LinksUpToDate>
  <CharactersWithSpaces>12122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NABÍDKY NA DODÁVKU  (př.T815) PRO STATNÍ PODNIK POVODÍ Ohře</dc:title>
  <dc:creator>pražáková</dc:creator>
  <cp:lastModifiedBy>Chmelík Martin</cp:lastModifiedBy>
  <cp:revision>8</cp:revision>
  <cp:lastPrinted>2016-10-04T06:59:00Z</cp:lastPrinted>
  <dcterms:created xsi:type="dcterms:W3CDTF">2016-09-30T12:25:00Z</dcterms:created>
  <dcterms:modified xsi:type="dcterms:W3CDTF">2016-10-04T06:59:00Z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Povodi Vltavy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Výběrové řízení</vt:lpwstr>
  </property>
</Properties>
</file>