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57" w:rsidRPr="002A2C57" w:rsidRDefault="002A2C57" w:rsidP="002A2C57">
      <w:pPr>
        <w:spacing w:after="240" w:line="240" w:lineRule="auto"/>
        <w:ind w:left="7080" w:firstLine="708"/>
        <w:jc w:val="both"/>
        <w:rPr>
          <w:b/>
          <w:sz w:val="28"/>
          <w:szCs w:val="28"/>
        </w:rPr>
      </w:pPr>
      <w:permStart w:id="847853572" w:edGrp="everyone"/>
      <w:permEnd w:id="847853572"/>
      <w:r w:rsidRPr="002A2C57">
        <w:rPr>
          <w:b/>
          <w:sz w:val="28"/>
          <w:szCs w:val="28"/>
        </w:rPr>
        <w:t xml:space="preserve">P </w:t>
      </w:r>
      <w:r w:rsidR="005A0F32">
        <w:rPr>
          <w:b/>
          <w:sz w:val="28"/>
          <w:szCs w:val="28"/>
        </w:rPr>
        <w:t>78/17</w:t>
      </w:r>
    </w:p>
    <w:p w:rsidR="002A2C57" w:rsidRDefault="002A2C57" w:rsidP="00820902">
      <w:pPr>
        <w:spacing w:after="240" w:line="240" w:lineRule="auto"/>
        <w:jc w:val="both"/>
      </w:pPr>
    </w:p>
    <w:p w:rsidR="009C2E70" w:rsidRPr="00C927E6" w:rsidRDefault="009C2E70" w:rsidP="00820902">
      <w:pPr>
        <w:spacing w:after="240" w:line="240" w:lineRule="auto"/>
        <w:jc w:val="both"/>
      </w:pPr>
      <w:r w:rsidRPr="00C927E6">
        <w:t>Níže uvedeného dne, měsíce a roku uzavřely smluvní strany</w:t>
      </w:r>
    </w:p>
    <w:p w:rsidR="009C2E70" w:rsidRPr="003D67DA" w:rsidRDefault="009C2E70" w:rsidP="003D67DA">
      <w:pPr>
        <w:spacing w:after="120" w:line="240" w:lineRule="auto"/>
        <w:jc w:val="both"/>
        <w:rPr>
          <w:b/>
        </w:rPr>
      </w:pPr>
      <w:r w:rsidRPr="003D67DA">
        <w:rPr>
          <w:b/>
        </w:rPr>
        <w:t xml:space="preserve">Plzeň 2015, </w:t>
      </w:r>
      <w:r w:rsidR="00B17D9B">
        <w:rPr>
          <w:b/>
        </w:rPr>
        <w:t>zapsaný ústav</w:t>
      </w:r>
    </w:p>
    <w:p w:rsidR="009C2E70" w:rsidRPr="003D67DA" w:rsidRDefault="009C2E70" w:rsidP="003D67DA">
      <w:pPr>
        <w:spacing w:after="0" w:line="240" w:lineRule="auto"/>
        <w:jc w:val="both"/>
      </w:pPr>
      <w:r w:rsidRPr="003D67DA">
        <w:t xml:space="preserve">IČO: 29109124, DIČ: CZ29109124, </w:t>
      </w:r>
    </w:p>
    <w:p w:rsidR="009C2E70" w:rsidRPr="003D67DA" w:rsidRDefault="009C2E70" w:rsidP="003D67DA">
      <w:pPr>
        <w:spacing w:after="0" w:line="240" w:lineRule="auto"/>
        <w:jc w:val="both"/>
      </w:pPr>
      <w:r w:rsidRPr="003D67DA">
        <w:t xml:space="preserve">se sídlem </w:t>
      </w:r>
      <w:r w:rsidR="00395E14">
        <w:t>Presslova 14,</w:t>
      </w:r>
      <w:r w:rsidRPr="003D67DA">
        <w:t xml:space="preserve"> </w:t>
      </w:r>
      <w:proofErr w:type="gramStart"/>
      <w:r w:rsidRPr="003D67DA">
        <w:t>301 00  Plzeň</w:t>
      </w:r>
      <w:proofErr w:type="gramEnd"/>
      <w:r w:rsidRPr="003D67DA">
        <w:t xml:space="preserve">, </w:t>
      </w:r>
    </w:p>
    <w:p w:rsidR="009C2E70" w:rsidRPr="003D67DA" w:rsidRDefault="009C2E70" w:rsidP="003D67DA">
      <w:pPr>
        <w:spacing w:after="0" w:line="240" w:lineRule="auto"/>
        <w:jc w:val="both"/>
      </w:pPr>
      <w:r w:rsidRPr="003D67DA">
        <w:t xml:space="preserve">zapsaná v OR vedeném u KS v Plzni, </w:t>
      </w:r>
      <w:proofErr w:type="spellStart"/>
      <w:r w:rsidR="00B17D9B">
        <w:t>sp</w:t>
      </w:r>
      <w:proofErr w:type="spellEnd"/>
      <w:r w:rsidR="00B17D9B">
        <w:t>. značka U 78</w:t>
      </w:r>
    </w:p>
    <w:p w:rsidR="009C2E70" w:rsidRPr="003D67DA" w:rsidRDefault="009C2E70" w:rsidP="003D67DA">
      <w:pPr>
        <w:spacing w:after="0" w:line="240" w:lineRule="auto"/>
        <w:jc w:val="both"/>
      </w:pPr>
      <w:r w:rsidRPr="003D67DA">
        <w:t xml:space="preserve">za společnost </w:t>
      </w:r>
      <w:r>
        <w:t>Václava Sporková</w:t>
      </w:r>
      <w:r w:rsidRPr="003D67DA">
        <w:t>, ředitel</w:t>
      </w:r>
      <w:r>
        <w:t>ka KD Peklo</w:t>
      </w:r>
    </w:p>
    <w:p w:rsidR="009C2E70" w:rsidRDefault="009C2E70" w:rsidP="003D67DA">
      <w:pPr>
        <w:spacing w:after="0" w:line="240" w:lineRule="auto"/>
        <w:jc w:val="both"/>
      </w:pPr>
      <w:r w:rsidRPr="003D67DA">
        <w:t xml:space="preserve">bank. </w:t>
      </w:r>
      <w:proofErr w:type="gramStart"/>
      <w:r w:rsidRPr="003D67DA">
        <w:t>spojení</w:t>
      </w:r>
      <w:proofErr w:type="gramEnd"/>
      <w:r w:rsidRPr="003D67DA">
        <w:t xml:space="preserve">: </w:t>
      </w:r>
      <w:r w:rsidR="00320BDE">
        <w:t xml:space="preserve"> Komerční banka, a.</w:t>
      </w:r>
      <w:r>
        <w:t>s</w:t>
      </w:r>
      <w:r w:rsidR="00320BDE">
        <w:t>.</w:t>
      </w:r>
    </w:p>
    <w:p w:rsidR="009C2E70" w:rsidRPr="003D67DA" w:rsidRDefault="009C2E70" w:rsidP="003D67DA">
      <w:pPr>
        <w:spacing w:after="0" w:line="240" w:lineRule="auto"/>
        <w:jc w:val="both"/>
      </w:pPr>
      <w:r>
        <w:t xml:space="preserve">číslo účtu: </w:t>
      </w:r>
      <w:r w:rsidR="00395E14">
        <w:t>115-315540247/0100</w:t>
      </w:r>
    </w:p>
    <w:p w:rsidR="009C2E70" w:rsidRPr="00C927E6" w:rsidRDefault="009C2E70" w:rsidP="00F87D0C">
      <w:pPr>
        <w:spacing w:after="0" w:line="240" w:lineRule="auto"/>
        <w:jc w:val="both"/>
      </w:pPr>
    </w:p>
    <w:p w:rsidR="009C2E70" w:rsidRPr="00C927E6" w:rsidRDefault="009C2E70" w:rsidP="00820902">
      <w:pPr>
        <w:spacing w:before="120" w:after="0" w:line="240" w:lineRule="auto"/>
        <w:jc w:val="both"/>
      </w:pPr>
      <w:r w:rsidRPr="00C927E6">
        <w:t xml:space="preserve">(dále v textu jen </w:t>
      </w:r>
      <w:r>
        <w:rPr>
          <w:b/>
        </w:rPr>
        <w:t>Pronajímatel</w:t>
      </w:r>
      <w:r w:rsidRPr="00C927E6">
        <w:t>)</w:t>
      </w:r>
    </w:p>
    <w:p w:rsidR="009C2E70" w:rsidRPr="00C927E6" w:rsidRDefault="009C2E70" w:rsidP="00EF285D">
      <w:pPr>
        <w:spacing w:before="240" w:after="240" w:line="240" w:lineRule="auto"/>
        <w:jc w:val="both"/>
      </w:pPr>
      <w:r w:rsidRPr="00C927E6">
        <w:t>a</w:t>
      </w:r>
    </w:p>
    <w:p w:rsidR="009C2E70" w:rsidRPr="00C927E6" w:rsidRDefault="009C2E70" w:rsidP="00EF285D">
      <w:pPr>
        <w:spacing w:after="120" w:line="240" w:lineRule="auto"/>
        <w:jc w:val="both"/>
      </w:pPr>
    </w:p>
    <w:tbl>
      <w:tblPr>
        <w:tblW w:w="9828" w:type="dxa"/>
        <w:tblLayout w:type="fixed"/>
        <w:tblLook w:val="0000" w:firstRow="0" w:lastRow="0" w:firstColumn="0" w:lastColumn="0" w:noHBand="0" w:noVBand="0"/>
      </w:tblPr>
      <w:tblGrid>
        <w:gridCol w:w="3708"/>
        <w:gridCol w:w="360"/>
        <w:gridCol w:w="360"/>
        <w:gridCol w:w="5400"/>
      </w:tblGrid>
      <w:tr w:rsidR="009C2E70" w:rsidRPr="00993FC6" w:rsidTr="00027190">
        <w:trPr>
          <w:trHeight w:val="284"/>
        </w:trPr>
        <w:tc>
          <w:tcPr>
            <w:tcW w:w="3708" w:type="dxa"/>
            <w:vAlign w:val="center"/>
          </w:tcPr>
          <w:p w:rsidR="009C2E70" w:rsidRPr="00993FC6" w:rsidRDefault="009C2E70" w:rsidP="0071198F">
            <w:pPr>
              <w:spacing w:after="120" w:line="240" w:lineRule="auto"/>
              <w:rPr>
                <w:sz w:val="24"/>
                <w:szCs w:val="24"/>
              </w:rPr>
            </w:pPr>
            <w:r w:rsidRPr="00993FC6">
              <w:rPr>
                <w:sz w:val="24"/>
                <w:szCs w:val="24"/>
              </w:rPr>
              <w:t>Obchodní firma (u fyzických osob jméno a příjmení)</w:t>
            </w:r>
          </w:p>
        </w:tc>
        <w:tc>
          <w:tcPr>
            <w:tcW w:w="360" w:type="dxa"/>
          </w:tcPr>
          <w:p w:rsidR="009C2E70" w:rsidRPr="00993FC6" w:rsidRDefault="009C2E70" w:rsidP="0071198F">
            <w:pPr>
              <w:spacing w:after="120" w:line="240" w:lineRule="auto"/>
              <w:rPr>
                <w:sz w:val="24"/>
                <w:szCs w:val="24"/>
              </w:rPr>
            </w:pPr>
          </w:p>
        </w:tc>
        <w:tc>
          <w:tcPr>
            <w:tcW w:w="360" w:type="dxa"/>
          </w:tcPr>
          <w:p w:rsidR="009C2E70" w:rsidRPr="00993FC6" w:rsidRDefault="009C2E70" w:rsidP="0071198F">
            <w:pPr>
              <w:spacing w:after="120" w:line="240" w:lineRule="auto"/>
              <w:rPr>
                <w:sz w:val="24"/>
                <w:szCs w:val="24"/>
              </w:rPr>
            </w:pPr>
            <w:r w:rsidRPr="00993FC6">
              <w:rPr>
                <w:sz w:val="24"/>
                <w:szCs w:val="24"/>
              </w:rPr>
              <w:t>:</w:t>
            </w:r>
          </w:p>
        </w:tc>
        <w:tc>
          <w:tcPr>
            <w:tcW w:w="5400" w:type="dxa"/>
            <w:shd w:val="pct5" w:color="auto" w:fill="FFFFFF"/>
          </w:tcPr>
          <w:p w:rsidR="009C2E70" w:rsidRPr="008177FA" w:rsidRDefault="00B17D9B" w:rsidP="0071198F">
            <w:pPr>
              <w:spacing w:after="120" w:line="240" w:lineRule="auto"/>
              <w:rPr>
                <w:b/>
                <w:sz w:val="24"/>
                <w:szCs w:val="24"/>
              </w:rPr>
            </w:pPr>
            <w:r>
              <w:rPr>
                <w:b/>
                <w:sz w:val="24"/>
                <w:szCs w:val="24"/>
              </w:rPr>
              <w:t xml:space="preserve">JP </w:t>
            </w:r>
            <w:proofErr w:type="spellStart"/>
            <w:r>
              <w:rPr>
                <w:b/>
                <w:sz w:val="24"/>
                <w:szCs w:val="24"/>
              </w:rPr>
              <w:t>Entertaiment</w:t>
            </w:r>
            <w:proofErr w:type="spellEnd"/>
            <w:r>
              <w:rPr>
                <w:b/>
                <w:sz w:val="24"/>
                <w:szCs w:val="24"/>
              </w:rPr>
              <w:t xml:space="preserve"> s. r. o.</w:t>
            </w:r>
          </w:p>
        </w:tc>
      </w:tr>
      <w:tr w:rsidR="009C2E70" w:rsidRPr="00993FC6" w:rsidTr="00027190">
        <w:trPr>
          <w:trHeight w:val="284"/>
        </w:trPr>
        <w:tc>
          <w:tcPr>
            <w:tcW w:w="3708" w:type="dxa"/>
            <w:vAlign w:val="center"/>
          </w:tcPr>
          <w:p w:rsidR="009C2E70" w:rsidRPr="00993FC6" w:rsidRDefault="009C2E70" w:rsidP="0071198F">
            <w:pPr>
              <w:spacing w:after="120" w:line="240" w:lineRule="auto"/>
              <w:rPr>
                <w:sz w:val="24"/>
                <w:szCs w:val="24"/>
              </w:rPr>
            </w:pPr>
            <w:r w:rsidRPr="00993FC6">
              <w:rPr>
                <w:sz w:val="24"/>
                <w:szCs w:val="24"/>
              </w:rPr>
              <w:t xml:space="preserve">Oprávněná jednající osoba </w:t>
            </w:r>
          </w:p>
        </w:tc>
        <w:tc>
          <w:tcPr>
            <w:tcW w:w="360" w:type="dxa"/>
          </w:tcPr>
          <w:p w:rsidR="009C2E70" w:rsidRPr="00993FC6" w:rsidRDefault="009C2E70" w:rsidP="0071198F">
            <w:pPr>
              <w:spacing w:after="120" w:line="240" w:lineRule="auto"/>
              <w:rPr>
                <w:sz w:val="24"/>
                <w:szCs w:val="24"/>
              </w:rPr>
            </w:pPr>
          </w:p>
        </w:tc>
        <w:tc>
          <w:tcPr>
            <w:tcW w:w="360" w:type="dxa"/>
          </w:tcPr>
          <w:p w:rsidR="009C2E70" w:rsidRPr="00993FC6" w:rsidRDefault="009C2E70" w:rsidP="0071198F">
            <w:pPr>
              <w:spacing w:after="120" w:line="240" w:lineRule="auto"/>
              <w:rPr>
                <w:sz w:val="24"/>
                <w:szCs w:val="24"/>
              </w:rPr>
            </w:pPr>
            <w:r w:rsidRPr="00993FC6">
              <w:rPr>
                <w:sz w:val="24"/>
                <w:szCs w:val="24"/>
              </w:rPr>
              <w:t xml:space="preserve">: </w:t>
            </w:r>
          </w:p>
        </w:tc>
        <w:tc>
          <w:tcPr>
            <w:tcW w:w="5400" w:type="dxa"/>
            <w:shd w:val="pct5" w:color="auto" w:fill="FFFFFF"/>
          </w:tcPr>
          <w:p w:rsidR="009C2E70" w:rsidRPr="00993FC6" w:rsidRDefault="00B17D9B" w:rsidP="00892899">
            <w:pPr>
              <w:spacing w:after="120" w:line="240" w:lineRule="auto"/>
              <w:rPr>
                <w:sz w:val="24"/>
                <w:szCs w:val="24"/>
              </w:rPr>
            </w:pPr>
            <w:r>
              <w:rPr>
                <w:sz w:val="24"/>
                <w:szCs w:val="24"/>
              </w:rPr>
              <w:t xml:space="preserve">Pavel </w:t>
            </w:r>
            <w:proofErr w:type="spellStart"/>
            <w:r>
              <w:rPr>
                <w:sz w:val="24"/>
                <w:szCs w:val="24"/>
              </w:rPr>
              <w:t>Razým</w:t>
            </w:r>
            <w:proofErr w:type="spellEnd"/>
            <w:r>
              <w:rPr>
                <w:sz w:val="24"/>
                <w:szCs w:val="24"/>
              </w:rPr>
              <w:t xml:space="preserve"> (773 369 569, </w:t>
            </w:r>
            <w:proofErr w:type="spellStart"/>
            <w:r>
              <w:rPr>
                <w:sz w:val="24"/>
                <w:szCs w:val="24"/>
              </w:rPr>
              <w:t>pavel.razym@jpent,cz</w:t>
            </w:r>
            <w:proofErr w:type="spellEnd"/>
            <w:r>
              <w:rPr>
                <w:sz w:val="24"/>
                <w:szCs w:val="24"/>
              </w:rPr>
              <w:t>)</w:t>
            </w:r>
          </w:p>
        </w:tc>
      </w:tr>
      <w:tr w:rsidR="009C2E70" w:rsidRPr="00993FC6" w:rsidTr="00027190">
        <w:trPr>
          <w:trHeight w:val="284"/>
        </w:trPr>
        <w:tc>
          <w:tcPr>
            <w:tcW w:w="3708" w:type="dxa"/>
            <w:vAlign w:val="center"/>
          </w:tcPr>
          <w:p w:rsidR="009C2E70" w:rsidRPr="00993FC6" w:rsidRDefault="009C2E70" w:rsidP="0071198F">
            <w:pPr>
              <w:spacing w:after="120" w:line="240" w:lineRule="auto"/>
              <w:rPr>
                <w:sz w:val="24"/>
                <w:szCs w:val="24"/>
              </w:rPr>
            </w:pPr>
            <w:r w:rsidRPr="00993FC6">
              <w:rPr>
                <w:sz w:val="24"/>
                <w:szCs w:val="24"/>
              </w:rPr>
              <w:t>Kontaktní osoba</w:t>
            </w:r>
          </w:p>
        </w:tc>
        <w:tc>
          <w:tcPr>
            <w:tcW w:w="360" w:type="dxa"/>
          </w:tcPr>
          <w:p w:rsidR="009C2E70" w:rsidRPr="00993FC6" w:rsidRDefault="009C2E70" w:rsidP="0071198F">
            <w:pPr>
              <w:spacing w:after="120" w:line="240" w:lineRule="auto"/>
              <w:rPr>
                <w:sz w:val="24"/>
                <w:szCs w:val="24"/>
              </w:rPr>
            </w:pPr>
          </w:p>
        </w:tc>
        <w:tc>
          <w:tcPr>
            <w:tcW w:w="360" w:type="dxa"/>
          </w:tcPr>
          <w:p w:rsidR="009C2E70" w:rsidRPr="00993FC6" w:rsidRDefault="009C2E70" w:rsidP="0071198F">
            <w:pPr>
              <w:spacing w:after="120" w:line="240" w:lineRule="auto"/>
              <w:rPr>
                <w:sz w:val="24"/>
                <w:szCs w:val="24"/>
              </w:rPr>
            </w:pPr>
            <w:r w:rsidRPr="00993FC6">
              <w:rPr>
                <w:sz w:val="24"/>
                <w:szCs w:val="24"/>
              </w:rPr>
              <w:t>:</w:t>
            </w:r>
          </w:p>
        </w:tc>
        <w:tc>
          <w:tcPr>
            <w:tcW w:w="5400" w:type="dxa"/>
            <w:shd w:val="pct5" w:color="auto" w:fill="FFFFFF"/>
          </w:tcPr>
          <w:p w:rsidR="009C2E70" w:rsidRPr="00993FC6" w:rsidRDefault="009C2E70" w:rsidP="00892899">
            <w:pPr>
              <w:spacing w:after="120" w:line="240" w:lineRule="auto"/>
              <w:rPr>
                <w:sz w:val="24"/>
                <w:szCs w:val="24"/>
              </w:rPr>
            </w:pPr>
          </w:p>
        </w:tc>
      </w:tr>
      <w:tr w:rsidR="009C2E70" w:rsidRPr="00993FC6" w:rsidTr="00027190">
        <w:trPr>
          <w:trHeight w:val="284"/>
        </w:trPr>
        <w:tc>
          <w:tcPr>
            <w:tcW w:w="3708" w:type="dxa"/>
            <w:vAlign w:val="center"/>
          </w:tcPr>
          <w:p w:rsidR="009C2E70" w:rsidRPr="00993FC6" w:rsidRDefault="009C2E70" w:rsidP="0071198F">
            <w:pPr>
              <w:spacing w:after="120" w:line="240" w:lineRule="auto"/>
              <w:rPr>
                <w:sz w:val="24"/>
                <w:szCs w:val="24"/>
              </w:rPr>
            </w:pPr>
            <w:r w:rsidRPr="00993FC6">
              <w:rPr>
                <w:sz w:val="24"/>
                <w:szCs w:val="24"/>
              </w:rPr>
              <w:t>Sídlo, místo podnikání či bydliště</w:t>
            </w:r>
          </w:p>
        </w:tc>
        <w:tc>
          <w:tcPr>
            <w:tcW w:w="360" w:type="dxa"/>
          </w:tcPr>
          <w:p w:rsidR="009C2E70" w:rsidRPr="00993FC6" w:rsidRDefault="009C2E70" w:rsidP="0071198F">
            <w:pPr>
              <w:spacing w:after="120" w:line="240" w:lineRule="auto"/>
              <w:rPr>
                <w:sz w:val="24"/>
                <w:szCs w:val="24"/>
              </w:rPr>
            </w:pPr>
          </w:p>
        </w:tc>
        <w:tc>
          <w:tcPr>
            <w:tcW w:w="360" w:type="dxa"/>
          </w:tcPr>
          <w:p w:rsidR="009C2E70" w:rsidRPr="00993FC6" w:rsidRDefault="009C2E70" w:rsidP="0071198F">
            <w:pPr>
              <w:spacing w:after="120" w:line="240" w:lineRule="auto"/>
              <w:rPr>
                <w:sz w:val="24"/>
                <w:szCs w:val="24"/>
              </w:rPr>
            </w:pPr>
            <w:r w:rsidRPr="00993FC6">
              <w:rPr>
                <w:sz w:val="24"/>
                <w:szCs w:val="24"/>
              </w:rPr>
              <w:t>:</w:t>
            </w:r>
          </w:p>
        </w:tc>
        <w:tc>
          <w:tcPr>
            <w:tcW w:w="5400" w:type="dxa"/>
            <w:shd w:val="pct5" w:color="auto" w:fill="FFFFFF"/>
          </w:tcPr>
          <w:p w:rsidR="009C2E70" w:rsidRPr="00993FC6" w:rsidRDefault="00B17D9B" w:rsidP="00892899">
            <w:pPr>
              <w:spacing w:after="120" w:line="240" w:lineRule="auto"/>
              <w:rPr>
                <w:sz w:val="24"/>
                <w:szCs w:val="24"/>
              </w:rPr>
            </w:pPr>
            <w:r>
              <w:rPr>
                <w:sz w:val="24"/>
                <w:szCs w:val="24"/>
              </w:rPr>
              <w:t xml:space="preserve">Skrétova </w:t>
            </w:r>
            <w:proofErr w:type="gramStart"/>
            <w:r>
              <w:rPr>
                <w:sz w:val="24"/>
                <w:szCs w:val="24"/>
              </w:rPr>
              <w:t>475/8,  301 00</w:t>
            </w:r>
            <w:proofErr w:type="gramEnd"/>
            <w:r>
              <w:rPr>
                <w:sz w:val="24"/>
                <w:szCs w:val="24"/>
              </w:rPr>
              <w:t xml:space="preserve"> Plzeň</w:t>
            </w:r>
          </w:p>
        </w:tc>
      </w:tr>
      <w:tr w:rsidR="009C2E70" w:rsidRPr="00993FC6" w:rsidTr="00027190">
        <w:trPr>
          <w:trHeight w:val="284"/>
        </w:trPr>
        <w:tc>
          <w:tcPr>
            <w:tcW w:w="3708" w:type="dxa"/>
            <w:vAlign w:val="center"/>
          </w:tcPr>
          <w:p w:rsidR="009C2E70" w:rsidRPr="00993FC6" w:rsidRDefault="009C2E70" w:rsidP="0071198F">
            <w:pPr>
              <w:spacing w:after="120" w:line="240" w:lineRule="auto"/>
              <w:rPr>
                <w:sz w:val="24"/>
                <w:szCs w:val="24"/>
              </w:rPr>
            </w:pPr>
            <w:r w:rsidRPr="00993FC6">
              <w:rPr>
                <w:sz w:val="24"/>
                <w:szCs w:val="24"/>
              </w:rPr>
              <w:t>Fakturační adresa</w:t>
            </w:r>
          </w:p>
        </w:tc>
        <w:tc>
          <w:tcPr>
            <w:tcW w:w="360" w:type="dxa"/>
          </w:tcPr>
          <w:p w:rsidR="009C2E70" w:rsidRPr="00993FC6" w:rsidRDefault="009C2E70" w:rsidP="0071198F">
            <w:pPr>
              <w:spacing w:after="120" w:line="240" w:lineRule="auto"/>
              <w:rPr>
                <w:sz w:val="24"/>
                <w:szCs w:val="24"/>
              </w:rPr>
            </w:pPr>
          </w:p>
        </w:tc>
        <w:tc>
          <w:tcPr>
            <w:tcW w:w="360" w:type="dxa"/>
          </w:tcPr>
          <w:p w:rsidR="009C2E70" w:rsidRPr="00993FC6" w:rsidRDefault="009C2E70" w:rsidP="0071198F">
            <w:pPr>
              <w:spacing w:after="120" w:line="240" w:lineRule="auto"/>
              <w:rPr>
                <w:sz w:val="24"/>
                <w:szCs w:val="24"/>
              </w:rPr>
            </w:pPr>
            <w:r w:rsidRPr="00993FC6">
              <w:rPr>
                <w:sz w:val="24"/>
                <w:szCs w:val="24"/>
              </w:rPr>
              <w:t>:</w:t>
            </w:r>
          </w:p>
        </w:tc>
        <w:tc>
          <w:tcPr>
            <w:tcW w:w="5400" w:type="dxa"/>
            <w:shd w:val="pct5" w:color="auto" w:fill="FFFFFF"/>
          </w:tcPr>
          <w:p w:rsidR="009C2E70" w:rsidRPr="00993FC6" w:rsidRDefault="009C2E70" w:rsidP="0071198F">
            <w:pPr>
              <w:spacing w:after="120" w:line="240" w:lineRule="auto"/>
              <w:rPr>
                <w:sz w:val="24"/>
                <w:szCs w:val="24"/>
              </w:rPr>
            </w:pPr>
          </w:p>
        </w:tc>
      </w:tr>
      <w:tr w:rsidR="009C2E70" w:rsidRPr="00993FC6" w:rsidTr="00027190">
        <w:trPr>
          <w:trHeight w:val="284"/>
        </w:trPr>
        <w:tc>
          <w:tcPr>
            <w:tcW w:w="3708" w:type="dxa"/>
            <w:vAlign w:val="center"/>
          </w:tcPr>
          <w:p w:rsidR="009C2E70" w:rsidRPr="00993FC6" w:rsidRDefault="009C2E70" w:rsidP="0071198F">
            <w:pPr>
              <w:spacing w:after="120" w:line="240" w:lineRule="auto"/>
              <w:rPr>
                <w:sz w:val="24"/>
                <w:szCs w:val="24"/>
              </w:rPr>
            </w:pPr>
            <w:r w:rsidRPr="00993FC6">
              <w:rPr>
                <w:sz w:val="24"/>
                <w:szCs w:val="24"/>
              </w:rPr>
              <w:t>Rodné číslo (u fyzických osob)</w:t>
            </w:r>
          </w:p>
        </w:tc>
        <w:tc>
          <w:tcPr>
            <w:tcW w:w="360" w:type="dxa"/>
          </w:tcPr>
          <w:p w:rsidR="009C2E70" w:rsidRPr="00993FC6" w:rsidRDefault="009C2E70" w:rsidP="0071198F">
            <w:pPr>
              <w:spacing w:after="120" w:line="240" w:lineRule="auto"/>
              <w:rPr>
                <w:sz w:val="24"/>
                <w:szCs w:val="24"/>
              </w:rPr>
            </w:pPr>
          </w:p>
        </w:tc>
        <w:tc>
          <w:tcPr>
            <w:tcW w:w="360" w:type="dxa"/>
          </w:tcPr>
          <w:p w:rsidR="009C2E70" w:rsidRPr="00993FC6" w:rsidRDefault="009C2E70" w:rsidP="0071198F">
            <w:pPr>
              <w:spacing w:after="120" w:line="240" w:lineRule="auto"/>
              <w:rPr>
                <w:sz w:val="24"/>
                <w:szCs w:val="24"/>
              </w:rPr>
            </w:pPr>
            <w:r w:rsidRPr="00993FC6">
              <w:rPr>
                <w:sz w:val="24"/>
                <w:szCs w:val="24"/>
              </w:rPr>
              <w:t>:</w:t>
            </w:r>
          </w:p>
        </w:tc>
        <w:tc>
          <w:tcPr>
            <w:tcW w:w="5400" w:type="dxa"/>
            <w:shd w:val="pct5" w:color="auto" w:fill="FFFFFF"/>
          </w:tcPr>
          <w:p w:rsidR="009C2E70" w:rsidRPr="00993FC6" w:rsidRDefault="009C2E70" w:rsidP="0071198F">
            <w:pPr>
              <w:spacing w:after="120" w:line="240" w:lineRule="auto"/>
              <w:rPr>
                <w:sz w:val="24"/>
                <w:szCs w:val="24"/>
              </w:rPr>
            </w:pPr>
          </w:p>
        </w:tc>
      </w:tr>
      <w:tr w:rsidR="009C2E70" w:rsidRPr="00993FC6" w:rsidTr="00027190">
        <w:trPr>
          <w:trHeight w:val="284"/>
        </w:trPr>
        <w:tc>
          <w:tcPr>
            <w:tcW w:w="3708" w:type="dxa"/>
            <w:vAlign w:val="center"/>
          </w:tcPr>
          <w:p w:rsidR="009C2E70" w:rsidRPr="00993FC6" w:rsidRDefault="009C2E70" w:rsidP="0071198F">
            <w:pPr>
              <w:spacing w:after="120" w:line="240" w:lineRule="auto"/>
              <w:rPr>
                <w:sz w:val="24"/>
                <w:szCs w:val="24"/>
              </w:rPr>
            </w:pPr>
            <w:r w:rsidRPr="00993FC6">
              <w:rPr>
                <w:sz w:val="24"/>
                <w:szCs w:val="24"/>
              </w:rPr>
              <w:t>IČ (u právnických i podnikajících fyzických osob)</w:t>
            </w:r>
          </w:p>
        </w:tc>
        <w:tc>
          <w:tcPr>
            <w:tcW w:w="360" w:type="dxa"/>
          </w:tcPr>
          <w:p w:rsidR="009C2E70" w:rsidRPr="00993FC6" w:rsidRDefault="009C2E70" w:rsidP="0071198F">
            <w:pPr>
              <w:spacing w:after="120" w:line="240" w:lineRule="auto"/>
              <w:rPr>
                <w:sz w:val="24"/>
                <w:szCs w:val="24"/>
              </w:rPr>
            </w:pPr>
          </w:p>
        </w:tc>
        <w:tc>
          <w:tcPr>
            <w:tcW w:w="360" w:type="dxa"/>
          </w:tcPr>
          <w:p w:rsidR="009C2E70" w:rsidRPr="00993FC6" w:rsidRDefault="009C2E70" w:rsidP="0071198F">
            <w:pPr>
              <w:spacing w:after="120" w:line="240" w:lineRule="auto"/>
              <w:rPr>
                <w:sz w:val="24"/>
                <w:szCs w:val="24"/>
              </w:rPr>
            </w:pPr>
            <w:r w:rsidRPr="00993FC6">
              <w:rPr>
                <w:sz w:val="24"/>
                <w:szCs w:val="24"/>
              </w:rPr>
              <w:t>:</w:t>
            </w:r>
          </w:p>
        </w:tc>
        <w:tc>
          <w:tcPr>
            <w:tcW w:w="5400" w:type="dxa"/>
            <w:shd w:val="pct5" w:color="auto" w:fill="FFFFFF"/>
          </w:tcPr>
          <w:p w:rsidR="009C2E70" w:rsidRPr="00993FC6" w:rsidRDefault="00B17D9B" w:rsidP="0071198F">
            <w:pPr>
              <w:spacing w:after="120" w:line="240" w:lineRule="auto"/>
              <w:rPr>
                <w:sz w:val="24"/>
                <w:szCs w:val="24"/>
              </w:rPr>
            </w:pPr>
            <w:r>
              <w:rPr>
                <w:sz w:val="24"/>
                <w:szCs w:val="24"/>
              </w:rPr>
              <w:t>03833852</w:t>
            </w:r>
          </w:p>
        </w:tc>
      </w:tr>
      <w:tr w:rsidR="009C2E70" w:rsidRPr="00993FC6" w:rsidTr="00027190">
        <w:trPr>
          <w:trHeight w:val="284"/>
        </w:trPr>
        <w:tc>
          <w:tcPr>
            <w:tcW w:w="3708" w:type="dxa"/>
            <w:vAlign w:val="center"/>
          </w:tcPr>
          <w:p w:rsidR="009C2E70" w:rsidRPr="00993FC6" w:rsidRDefault="009C2E70" w:rsidP="0071198F">
            <w:pPr>
              <w:spacing w:after="120" w:line="240" w:lineRule="auto"/>
              <w:rPr>
                <w:sz w:val="24"/>
                <w:szCs w:val="24"/>
              </w:rPr>
            </w:pPr>
            <w:proofErr w:type="gramStart"/>
            <w:r w:rsidRPr="00993FC6">
              <w:rPr>
                <w:sz w:val="24"/>
                <w:szCs w:val="24"/>
              </w:rPr>
              <w:t>Zapsaná  v</w:t>
            </w:r>
            <w:proofErr w:type="gramEnd"/>
          </w:p>
        </w:tc>
        <w:tc>
          <w:tcPr>
            <w:tcW w:w="360" w:type="dxa"/>
          </w:tcPr>
          <w:p w:rsidR="009C2E70" w:rsidRPr="00993FC6" w:rsidRDefault="009C2E70" w:rsidP="0071198F">
            <w:pPr>
              <w:spacing w:after="120" w:line="240" w:lineRule="auto"/>
              <w:rPr>
                <w:sz w:val="24"/>
                <w:szCs w:val="24"/>
              </w:rPr>
            </w:pPr>
          </w:p>
        </w:tc>
        <w:tc>
          <w:tcPr>
            <w:tcW w:w="360" w:type="dxa"/>
          </w:tcPr>
          <w:p w:rsidR="009C2E70" w:rsidRPr="00993FC6" w:rsidRDefault="009C2E70" w:rsidP="0071198F">
            <w:pPr>
              <w:spacing w:after="120" w:line="240" w:lineRule="auto"/>
              <w:rPr>
                <w:sz w:val="24"/>
                <w:szCs w:val="24"/>
              </w:rPr>
            </w:pPr>
            <w:r w:rsidRPr="00993FC6">
              <w:rPr>
                <w:sz w:val="24"/>
                <w:szCs w:val="24"/>
              </w:rPr>
              <w:t>:</w:t>
            </w:r>
          </w:p>
        </w:tc>
        <w:tc>
          <w:tcPr>
            <w:tcW w:w="5400" w:type="dxa"/>
            <w:shd w:val="pct5" w:color="auto" w:fill="FFFFFF"/>
          </w:tcPr>
          <w:p w:rsidR="009C2E70" w:rsidRPr="00993FC6" w:rsidRDefault="00B17D9B" w:rsidP="0071198F">
            <w:pPr>
              <w:spacing w:after="120" w:line="240" w:lineRule="auto"/>
              <w:rPr>
                <w:sz w:val="24"/>
                <w:szCs w:val="24"/>
              </w:rPr>
            </w:pPr>
            <w:r>
              <w:rPr>
                <w:sz w:val="24"/>
                <w:szCs w:val="24"/>
              </w:rPr>
              <w:t>Krajským soudem v Plzni, oddíl C, vložka 30802</w:t>
            </w:r>
          </w:p>
        </w:tc>
      </w:tr>
    </w:tbl>
    <w:p w:rsidR="009C2E70" w:rsidRPr="00842025" w:rsidRDefault="009C2E70" w:rsidP="003D67DA">
      <w:pPr>
        <w:rPr>
          <w:sz w:val="24"/>
        </w:rPr>
      </w:pPr>
      <w:r w:rsidRPr="00842025">
        <w:rPr>
          <w:sz w:val="24"/>
        </w:rPr>
        <w:t>dále jen „</w:t>
      </w:r>
      <w:r w:rsidRPr="00842025">
        <w:rPr>
          <w:b/>
          <w:sz w:val="24"/>
        </w:rPr>
        <w:t>Nájemce</w:t>
      </w:r>
      <w:r w:rsidRPr="00842025">
        <w:rPr>
          <w:sz w:val="24"/>
        </w:rPr>
        <w:t>“</w:t>
      </w:r>
    </w:p>
    <w:p w:rsidR="009C2E70" w:rsidRPr="00C927E6" w:rsidRDefault="009C2E70" w:rsidP="007E6135">
      <w:pPr>
        <w:spacing w:before="240" w:after="120" w:line="240" w:lineRule="auto"/>
        <w:jc w:val="both"/>
      </w:pPr>
      <w:r w:rsidRPr="00C927E6">
        <w:t>tuto</w:t>
      </w:r>
    </w:p>
    <w:p w:rsidR="009C2E70" w:rsidRPr="00C927E6" w:rsidRDefault="009C2E70" w:rsidP="0070272D">
      <w:pPr>
        <w:pStyle w:val="StylSmluvNadpis"/>
        <w:rPr>
          <w:b w:val="0"/>
          <w:sz w:val="22"/>
          <w:szCs w:val="22"/>
        </w:rPr>
      </w:pPr>
      <w:r w:rsidRPr="00C927E6">
        <w:rPr>
          <w:sz w:val="44"/>
          <w:szCs w:val="44"/>
        </w:rPr>
        <w:t>NÁJEMNÍ SMLOUVU</w:t>
      </w:r>
      <w:r w:rsidRPr="00C927E6">
        <w:rPr>
          <w:sz w:val="44"/>
          <w:szCs w:val="44"/>
        </w:rPr>
        <w:br/>
      </w:r>
      <w:r w:rsidRPr="00C927E6">
        <w:rPr>
          <w:b w:val="0"/>
          <w:sz w:val="22"/>
          <w:szCs w:val="22"/>
        </w:rPr>
        <w:t xml:space="preserve">ve smyslu ustanovení § </w:t>
      </w:r>
      <w:smartTag w:uri="urn:schemas-microsoft-com:office:smarttags" w:element="metricconverter">
        <w:smartTagPr>
          <w:attr w:name="ProductID" w:val="2201 a"/>
        </w:smartTagPr>
        <w:r w:rsidRPr="00C927E6">
          <w:rPr>
            <w:b w:val="0"/>
            <w:sz w:val="22"/>
            <w:szCs w:val="22"/>
          </w:rPr>
          <w:t>2201 a</w:t>
        </w:r>
      </w:smartTag>
      <w:r w:rsidRPr="00C927E6">
        <w:rPr>
          <w:b w:val="0"/>
          <w:sz w:val="22"/>
          <w:szCs w:val="22"/>
        </w:rPr>
        <w:t xml:space="preserve"> násl. zák. č. 89/2012 Sb., občanský zákoník</w:t>
      </w:r>
      <w:r>
        <w:rPr>
          <w:b w:val="0"/>
          <w:sz w:val="22"/>
          <w:szCs w:val="22"/>
        </w:rPr>
        <w:t xml:space="preserve"> („NOZ“)</w:t>
      </w:r>
    </w:p>
    <w:p w:rsidR="009C2E70" w:rsidRPr="00C927E6" w:rsidRDefault="009C2E70" w:rsidP="0044745D">
      <w:pPr>
        <w:pStyle w:val="StylSmluvPodnadpis"/>
        <w:tabs>
          <w:tab w:val="center" w:pos="5017"/>
          <w:tab w:val="left" w:pos="8900"/>
        </w:tabs>
        <w:spacing w:after="600"/>
        <w:jc w:val="left"/>
      </w:pPr>
      <w:r w:rsidRPr="00C927E6">
        <w:tab/>
        <w:t xml:space="preserve">(dále jen </w:t>
      </w:r>
      <w:r w:rsidRPr="00C927E6">
        <w:rPr>
          <w:b/>
        </w:rPr>
        <w:t>SMLOUVA</w:t>
      </w:r>
      <w:r w:rsidRPr="00C927E6">
        <w:t>)</w:t>
      </w:r>
      <w:r w:rsidRPr="00C927E6">
        <w:tab/>
      </w:r>
    </w:p>
    <w:p w:rsidR="009C2E70" w:rsidRPr="00C927E6" w:rsidRDefault="009C2E70" w:rsidP="00172960">
      <w:pPr>
        <w:pStyle w:val="StylSmluv1"/>
        <w:rPr>
          <w:rFonts w:ascii="Calibri" w:hAnsi="Calibri"/>
        </w:rPr>
      </w:pPr>
      <w:r w:rsidRPr="00C927E6">
        <w:rPr>
          <w:rFonts w:ascii="Calibri" w:hAnsi="Calibri"/>
        </w:rPr>
        <w:br/>
        <w:t>Základní ustanovení</w:t>
      </w:r>
    </w:p>
    <w:p w:rsidR="009C2E70" w:rsidRDefault="009C2E70" w:rsidP="0044745D">
      <w:pPr>
        <w:pStyle w:val="StylSmluv2"/>
      </w:pPr>
      <w:r w:rsidRPr="00C927E6">
        <w:t xml:space="preserve">Pronajímatel se zavazuje přenechat Nájemci níže specifikovanou </w:t>
      </w:r>
      <w:r w:rsidRPr="00E642DC">
        <w:t>část nemovité věci</w:t>
      </w:r>
      <w:r w:rsidRPr="00C927E6">
        <w:t xml:space="preserve"> (dále jen Předmět nájmu) k dočasnému užívání a Nájemce se zavazuje platit za to Pronajímateli nájemné. </w:t>
      </w:r>
    </w:p>
    <w:p w:rsidR="009C2E70" w:rsidRPr="00E642DC" w:rsidRDefault="009C2E70" w:rsidP="00E642DC">
      <w:pPr>
        <w:pStyle w:val="StylSmluv2"/>
      </w:pPr>
      <w:r w:rsidRPr="00E642DC">
        <w:lastRenderedPageBreak/>
        <w:t>Pronajímatel je neziskovou organizací založenou Statutárním městem Plzní jako jedi</w:t>
      </w:r>
      <w:bookmarkStart w:id="0" w:name="_GoBack"/>
      <w:bookmarkEnd w:id="0"/>
      <w:r w:rsidRPr="00E642DC">
        <w:t>ným zakladatelem za účelem realizace projektu Plzeň Evropské hlavní město kultury 2015. Pronajímatel je na základě smlouvy o výpůjčce nemovitosti uzavřené se Statutár</w:t>
      </w:r>
      <w:r>
        <w:t xml:space="preserve">ním městem Plzeň dne </w:t>
      </w:r>
      <w:r w:rsidRPr="007A6975">
        <w:t>30. 12. 2013</w:t>
      </w:r>
      <w:r w:rsidRPr="00C332F3">
        <w:rPr>
          <w:color w:val="FF0000"/>
        </w:rPr>
        <w:t xml:space="preserve"> </w:t>
      </w:r>
      <w:r w:rsidRPr="00E642DC">
        <w:t xml:space="preserve">oprávněn vypůjčené prostory specifikované v odst. </w:t>
      </w:r>
      <w:r>
        <w:t>2</w:t>
      </w:r>
      <w:r w:rsidRPr="00E642DC">
        <w:t>.</w:t>
      </w:r>
      <w:r>
        <w:t>1</w:t>
      </w:r>
      <w:r w:rsidRPr="00E642DC">
        <w:t>. přenechat do užívání třetím osobám pro sportovní a kulturní činnosti a realizaci</w:t>
      </w:r>
    </w:p>
    <w:p w:rsidR="009C2E70" w:rsidRPr="003D67DA" w:rsidRDefault="009C2E70" w:rsidP="00E642DC">
      <w:pPr>
        <w:pStyle w:val="rove2"/>
        <w:numPr>
          <w:ilvl w:val="1"/>
          <w:numId w:val="6"/>
        </w:numPr>
        <w:spacing w:before="100" w:beforeAutospacing="1" w:after="100" w:afterAutospacing="1"/>
        <w:ind w:hanging="565"/>
        <w:rPr>
          <w:sz w:val="22"/>
        </w:rPr>
      </w:pPr>
      <w:r w:rsidRPr="003D67DA">
        <w:rPr>
          <w:sz w:val="22"/>
        </w:rPr>
        <w:t>komunitních projektů pro veřejnost</w:t>
      </w:r>
    </w:p>
    <w:p w:rsidR="009C2E70" w:rsidRPr="003D67DA" w:rsidRDefault="009C2E70" w:rsidP="00E642DC">
      <w:pPr>
        <w:pStyle w:val="rove2"/>
        <w:numPr>
          <w:ilvl w:val="1"/>
          <w:numId w:val="6"/>
        </w:numPr>
        <w:spacing w:before="100" w:beforeAutospacing="1" w:after="100" w:afterAutospacing="1"/>
        <w:ind w:hanging="565"/>
        <w:rPr>
          <w:sz w:val="22"/>
        </w:rPr>
      </w:pPr>
      <w:r w:rsidRPr="003D67DA">
        <w:rPr>
          <w:sz w:val="22"/>
        </w:rPr>
        <w:t>volnočasových tvůrčích aktivit pro děti a mládež</w:t>
      </w:r>
    </w:p>
    <w:p w:rsidR="009C2E70" w:rsidRPr="003D67DA" w:rsidRDefault="009C2E70" w:rsidP="00E642DC">
      <w:pPr>
        <w:pStyle w:val="rove2"/>
        <w:numPr>
          <w:ilvl w:val="1"/>
          <w:numId w:val="6"/>
        </w:numPr>
        <w:spacing w:before="100" w:beforeAutospacing="1" w:after="100" w:afterAutospacing="1"/>
        <w:ind w:hanging="565"/>
        <w:rPr>
          <w:sz w:val="22"/>
        </w:rPr>
      </w:pPr>
      <w:r w:rsidRPr="003D67DA">
        <w:rPr>
          <w:sz w:val="22"/>
        </w:rPr>
        <w:t>klubových, vzdělávacích a komunitních aktivit pro seniory</w:t>
      </w:r>
    </w:p>
    <w:p w:rsidR="009C2E70" w:rsidRPr="003D67DA" w:rsidRDefault="009C2E70" w:rsidP="00E642DC">
      <w:pPr>
        <w:pStyle w:val="rove2"/>
        <w:numPr>
          <w:ilvl w:val="1"/>
          <w:numId w:val="6"/>
        </w:numPr>
        <w:spacing w:before="100" w:beforeAutospacing="1" w:after="100" w:afterAutospacing="1"/>
        <w:ind w:hanging="565"/>
        <w:rPr>
          <w:sz w:val="22"/>
        </w:rPr>
      </w:pPr>
      <w:r w:rsidRPr="003D67DA">
        <w:rPr>
          <w:sz w:val="22"/>
        </w:rPr>
        <w:t>alternativní vzdělávací a výchovné činnosti pro děti, mládež a dospělé</w:t>
      </w:r>
    </w:p>
    <w:p w:rsidR="009C2E70" w:rsidRPr="003D67DA" w:rsidRDefault="009C2E70" w:rsidP="00E642DC">
      <w:pPr>
        <w:pStyle w:val="rove2"/>
        <w:numPr>
          <w:ilvl w:val="1"/>
          <w:numId w:val="6"/>
        </w:numPr>
        <w:spacing w:before="100" w:beforeAutospacing="1" w:after="100" w:afterAutospacing="1"/>
        <w:ind w:hanging="565"/>
        <w:rPr>
          <w:sz w:val="22"/>
        </w:rPr>
      </w:pPr>
      <w:r w:rsidRPr="003D67DA">
        <w:rPr>
          <w:sz w:val="22"/>
        </w:rPr>
        <w:t>kurzů, školení, seminářů, konferencí</w:t>
      </w:r>
    </w:p>
    <w:p w:rsidR="009C2E70" w:rsidRPr="003D67DA" w:rsidRDefault="009C2E70" w:rsidP="00E642DC">
      <w:pPr>
        <w:pStyle w:val="rove2"/>
        <w:numPr>
          <w:ilvl w:val="1"/>
          <w:numId w:val="6"/>
        </w:numPr>
        <w:spacing w:before="100" w:beforeAutospacing="1" w:after="100" w:afterAutospacing="1"/>
        <w:ind w:hanging="565"/>
        <w:rPr>
          <w:sz w:val="22"/>
        </w:rPr>
      </w:pPr>
      <w:r w:rsidRPr="003D67DA">
        <w:rPr>
          <w:sz w:val="22"/>
        </w:rPr>
        <w:t>informačních, propagačních a publikačních aktivit</w:t>
      </w:r>
    </w:p>
    <w:p w:rsidR="009C2E70" w:rsidRPr="003D67DA" w:rsidRDefault="009C2E70" w:rsidP="00E642DC">
      <w:pPr>
        <w:pStyle w:val="rove2"/>
        <w:numPr>
          <w:ilvl w:val="1"/>
          <w:numId w:val="6"/>
        </w:numPr>
        <w:spacing w:before="100" w:beforeAutospacing="1" w:after="100" w:afterAutospacing="1"/>
        <w:ind w:hanging="565"/>
        <w:rPr>
          <w:sz w:val="22"/>
        </w:rPr>
      </w:pPr>
      <w:r w:rsidRPr="003D67DA">
        <w:rPr>
          <w:sz w:val="22"/>
        </w:rPr>
        <w:t xml:space="preserve">vzdělávacích aktivit a poradenského servisu pro členy sdružení </w:t>
      </w:r>
    </w:p>
    <w:p w:rsidR="009C2E70" w:rsidRPr="003D67DA" w:rsidRDefault="009C2E70" w:rsidP="00E642DC">
      <w:pPr>
        <w:pStyle w:val="rove2"/>
        <w:numPr>
          <w:ilvl w:val="1"/>
          <w:numId w:val="6"/>
        </w:numPr>
        <w:spacing w:before="100" w:beforeAutospacing="1" w:after="100" w:afterAutospacing="1"/>
        <w:ind w:hanging="565"/>
        <w:rPr>
          <w:sz w:val="22"/>
        </w:rPr>
      </w:pPr>
      <w:r w:rsidRPr="003D67DA">
        <w:rPr>
          <w:sz w:val="22"/>
        </w:rPr>
        <w:t>spolupráce se společenskými, vzdělávacími a zájmovými organizacemi, se státními orgány, s vědeckými, uměleckými, hospodářskými i podnikatelskými kruhy i s jednotlivými občany, jakož i fyzickými a právnickými osobami v zahraničí nejdéle na dobu trvání výpůjčky.</w:t>
      </w:r>
    </w:p>
    <w:p w:rsidR="009C2E70" w:rsidRDefault="009C2E70" w:rsidP="00E642DC">
      <w:pPr>
        <w:pStyle w:val="StylSmluv2"/>
      </w:pPr>
      <w:r w:rsidRPr="00E642DC">
        <w:t>Předmětem výpůjčky dle smlouvy o výpůjčce nemovitosti podle odst. 1.</w:t>
      </w:r>
      <w:r>
        <w:t>2</w:t>
      </w:r>
      <w:r w:rsidRPr="00E642DC">
        <w:t xml:space="preserve">. je mimo jiné </w:t>
      </w:r>
      <w:r>
        <w:t>stavba</w:t>
      </w:r>
      <w:r w:rsidRPr="00E642DC">
        <w:t xml:space="preserve"> č.p. 43 postavená na parcele č. </w:t>
      </w:r>
      <w:proofErr w:type="spellStart"/>
      <w:r w:rsidRPr="00E642DC">
        <w:t>parc</w:t>
      </w:r>
      <w:proofErr w:type="spellEnd"/>
      <w:r w:rsidRPr="00E642DC">
        <w:t xml:space="preserve">. 10266 v obci Plzeň, </w:t>
      </w:r>
      <w:r>
        <w:t xml:space="preserve">část obce Jižní předměstí, </w:t>
      </w:r>
      <w:proofErr w:type="spellStart"/>
      <w:r w:rsidRPr="00E642DC">
        <w:t>k.ú</w:t>
      </w:r>
      <w:proofErr w:type="spellEnd"/>
      <w:r w:rsidRPr="00E642DC">
        <w:t>. Plzeň, zapsaná v KN vedeném Katastrálním úřadem pro Plzeňský kraj, KP Plzeň-město, nazvaná Peklo, na adrese Plzeň, Pobřežní 10, PSČ 301 00 (dále jen „</w:t>
      </w:r>
      <w:r>
        <w:t>B</w:t>
      </w:r>
      <w:r w:rsidRPr="00E642DC">
        <w:t xml:space="preserve">udova“). </w:t>
      </w:r>
    </w:p>
    <w:p w:rsidR="009C2E70" w:rsidRPr="00C332F3" w:rsidRDefault="009C2E70" w:rsidP="00C332F3">
      <w:pPr>
        <w:pStyle w:val="StylSmluv1"/>
        <w:rPr>
          <w:rFonts w:ascii="Calibri" w:hAnsi="Calibri"/>
        </w:rPr>
      </w:pPr>
      <w:r w:rsidRPr="00C332F3">
        <w:rPr>
          <w:rFonts w:ascii="Calibri" w:hAnsi="Calibri"/>
        </w:rPr>
        <w:br/>
        <w:t xml:space="preserve">Předmět nájmu </w:t>
      </w:r>
    </w:p>
    <w:p w:rsidR="009C2E70" w:rsidRPr="00C927E6" w:rsidRDefault="009C2E70" w:rsidP="00293AB0">
      <w:pPr>
        <w:pStyle w:val="StylSmluv2"/>
      </w:pPr>
      <w:r w:rsidRPr="00C927E6">
        <w:t>Př</w:t>
      </w:r>
      <w:r>
        <w:t xml:space="preserve">edmět nájmu tvoří část nemovité  věci - pozemku č.p. 10266 o výměře </w:t>
      </w:r>
      <w:smartTag w:uri="urn:schemas-microsoft-com:office:smarttags" w:element="metricconverter">
        <w:smartTagPr>
          <w:attr w:name="ProductID" w:val="877 m2"/>
        </w:smartTagPr>
        <w:r>
          <w:t>877 m2</w:t>
        </w:r>
      </w:smartTag>
      <w:r>
        <w:t>, druh pozemku zastavěná plocha a nádvoří, jehož součástí je Budova, vše zapsané</w:t>
      </w:r>
      <w:r w:rsidRPr="00C927E6">
        <w:t xml:space="preserve"> na LV č. </w:t>
      </w:r>
      <w:r>
        <w:t>1</w:t>
      </w:r>
      <w:r w:rsidRPr="00C927E6">
        <w:t xml:space="preserve"> pro </w:t>
      </w:r>
      <w:proofErr w:type="spellStart"/>
      <w:r w:rsidRPr="00C927E6">
        <w:t>k.ú</w:t>
      </w:r>
      <w:proofErr w:type="spellEnd"/>
      <w:r>
        <w:t xml:space="preserve">. Plzeň, obec </w:t>
      </w:r>
      <w:r w:rsidRPr="00E642DC">
        <w:t xml:space="preserve">Plzeň, </w:t>
      </w:r>
      <w:r>
        <w:t>část obce Jižní předměstí,</w:t>
      </w:r>
      <w:r w:rsidRPr="00C927E6">
        <w:t xml:space="preserve"> u Katastrálního úřadu</w:t>
      </w:r>
      <w:r w:rsidRPr="00293AB0">
        <w:t xml:space="preserve"> </w:t>
      </w:r>
      <w:r>
        <w:t xml:space="preserve">pro Plzeňský kraj, katastrální pracoviště </w:t>
      </w:r>
      <w:r w:rsidRPr="00E642DC">
        <w:t>Plzeň-město</w:t>
      </w:r>
      <w:r w:rsidR="002A2C57">
        <w:t xml:space="preserve"> </w:t>
      </w:r>
      <w:r w:rsidR="002A2C57" w:rsidRPr="002A2C57">
        <w:rPr>
          <w:b/>
        </w:rPr>
        <w:t>V</w:t>
      </w:r>
      <w:r w:rsidR="00FA4469">
        <w:rPr>
          <w:b/>
        </w:rPr>
        <w:t>ELKÝ SÁL</w:t>
      </w:r>
      <w:r w:rsidR="00BE43CF">
        <w:rPr>
          <w:b/>
        </w:rPr>
        <w:t xml:space="preserve"> </w:t>
      </w:r>
      <w:r>
        <w:t xml:space="preserve">dále v příloze č. 1 specifikovaná (dále jen Předmět nájmu). </w:t>
      </w:r>
    </w:p>
    <w:p w:rsidR="009C2E70" w:rsidRPr="003D67DA" w:rsidRDefault="009C2E70" w:rsidP="0044745D">
      <w:pPr>
        <w:pStyle w:val="StylSmluv2"/>
      </w:pPr>
      <w:r w:rsidRPr="003D67DA">
        <w:t>Příslušenství věci, která je předmětem nájmu, tvoří ty věci, které tvoří příslušenství podle zvyklostí.</w:t>
      </w:r>
    </w:p>
    <w:p w:rsidR="009C2E70" w:rsidRPr="00C927E6" w:rsidRDefault="009C2E70" w:rsidP="00BC7721">
      <w:pPr>
        <w:pStyle w:val="StylSmluv2"/>
      </w:pPr>
      <w:r w:rsidRPr="003D67DA">
        <w:t>Pronajímatel</w:t>
      </w:r>
      <w:r w:rsidRPr="00C927E6">
        <w:t xml:space="preserve"> tímto výslovně prohlašuje, že je oprávněn přenechat Předmět nájmu do užívání Nájemci.</w:t>
      </w:r>
    </w:p>
    <w:p w:rsidR="009C2E70" w:rsidRPr="00C927E6" w:rsidRDefault="009C2E70" w:rsidP="00172960">
      <w:pPr>
        <w:pStyle w:val="StylSmluv1"/>
        <w:rPr>
          <w:rFonts w:ascii="Calibri" w:hAnsi="Calibri"/>
        </w:rPr>
      </w:pPr>
      <w:r>
        <w:rPr>
          <w:rFonts w:ascii="Calibri" w:hAnsi="Calibri"/>
        </w:rPr>
        <w:br/>
      </w:r>
      <w:r w:rsidRPr="00C927E6">
        <w:rPr>
          <w:rFonts w:ascii="Calibri" w:hAnsi="Calibri"/>
        </w:rPr>
        <w:t>Účel nájmu</w:t>
      </w:r>
    </w:p>
    <w:p w:rsidR="009C2E70" w:rsidRPr="00C927E6" w:rsidRDefault="009C2E70" w:rsidP="00C927E6">
      <w:pPr>
        <w:pStyle w:val="StylSmluv2"/>
      </w:pPr>
      <w:r w:rsidRPr="00C927E6">
        <w:t xml:space="preserve">Nájemce je oprávněn </w:t>
      </w:r>
      <w:r>
        <w:t xml:space="preserve">a povinen </w:t>
      </w:r>
      <w:r w:rsidRPr="00C927E6">
        <w:t xml:space="preserve">využít </w:t>
      </w:r>
      <w:r>
        <w:t>P</w:t>
      </w:r>
      <w:r w:rsidRPr="00C927E6">
        <w:t xml:space="preserve">ředmět nájmu pouze k účelu sjednanému v této smlouvě. </w:t>
      </w:r>
    </w:p>
    <w:p w:rsidR="009C2E70" w:rsidRPr="00C927E6" w:rsidRDefault="009C2E70" w:rsidP="00C927E6">
      <w:pPr>
        <w:pStyle w:val="StylSmluv2"/>
      </w:pPr>
      <w:r w:rsidRPr="00C927E6">
        <w:t>Nájemce je oprávněn</w:t>
      </w:r>
      <w:r>
        <w:t xml:space="preserve"> a povinen</w:t>
      </w:r>
      <w:r w:rsidRPr="00C927E6">
        <w:t xml:space="preserve"> využít </w:t>
      </w:r>
      <w:r>
        <w:t>P</w:t>
      </w:r>
      <w:r w:rsidRPr="00C927E6">
        <w:t>ředmět nájmu</w:t>
      </w:r>
      <w:r>
        <w:t xml:space="preserve"> výhradně</w:t>
      </w:r>
      <w:r w:rsidRPr="00C927E6">
        <w:t xml:space="preserve"> za účelem</w:t>
      </w:r>
      <w:r>
        <w:t xml:space="preserve"> pořádání </w:t>
      </w:r>
      <w:r w:rsidR="00616D2E">
        <w:rPr>
          <w:b/>
          <w:caps/>
        </w:rPr>
        <w:t>Hallowen in hlell</w:t>
      </w:r>
      <w:r w:rsidR="00553C4E">
        <w:rPr>
          <w:b/>
        </w:rPr>
        <w:t xml:space="preserve"> (</w:t>
      </w:r>
      <w:r>
        <w:t>dále jen „kulturní akce“).</w:t>
      </w:r>
    </w:p>
    <w:p w:rsidR="009C2E70" w:rsidRPr="00C927E6" w:rsidRDefault="009C2E70" w:rsidP="00C927E6">
      <w:pPr>
        <w:pStyle w:val="StylSmluv2"/>
      </w:pPr>
      <w:r>
        <w:t>Jiné využití P</w:t>
      </w:r>
      <w:r w:rsidRPr="00C927E6">
        <w:t xml:space="preserve">ředmětu nájmu je možné pouze na základě předchozího písemného souhlasu Pronajímatele. Porušení povinnosti Nájemce využít </w:t>
      </w:r>
      <w:r>
        <w:t>P</w:t>
      </w:r>
      <w:r w:rsidRPr="00C927E6">
        <w:t xml:space="preserve">ředmět k nájmu k účelu sjednanému v této smlouvě zakládá právo Pronajímatele odstoupit od této </w:t>
      </w:r>
      <w:r>
        <w:t>s</w:t>
      </w:r>
      <w:r w:rsidRPr="00C927E6">
        <w:t>mlouvy.</w:t>
      </w:r>
    </w:p>
    <w:p w:rsidR="009C2E70" w:rsidRDefault="009C2E70" w:rsidP="00BC7721">
      <w:pPr>
        <w:pStyle w:val="StylSmluv2"/>
      </w:pPr>
      <w:r w:rsidRPr="00C927E6">
        <w:t xml:space="preserve">V případě pochybností o účelu a způsobu využití Předmětu nájmu, bude účel nájmu a způsob využití vykládán tak, jak lze obvykle v dané situaci spravedlivě očekávat.  </w:t>
      </w:r>
    </w:p>
    <w:p w:rsidR="00024907" w:rsidRDefault="00024907" w:rsidP="002A2C57">
      <w:pPr>
        <w:pStyle w:val="StylSmluv2"/>
        <w:numPr>
          <w:ilvl w:val="0"/>
          <w:numId w:val="0"/>
        </w:numPr>
      </w:pPr>
    </w:p>
    <w:p w:rsidR="00FA26ED" w:rsidRDefault="00FA26ED" w:rsidP="002A2C57">
      <w:pPr>
        <w:pStyle w:val="StylSmluv2"/>
        <w:numPr>
          <w:ilvl w:val="0"/>
          <w:numId w:val="0"/>
        </w:numPr>
      </w:pPr>
    </w:p>
    <w:p w:rsidR="00FA26ED" w:rsidRPr="00C927E6" w:rsidRDefault="00FA26ED" w:rsidP="002A2C57">
      <w:pPr>
        <w:pStyle w:val="StylSmluv2"/>
        <w:numPr>
          <w:ilvl w:val="0"/>
          <w:numId w:val="0"/>
        </w:numPr>
      </w:pPr>
    </w:p>
    <w:p w:rsidR="009C2E70" w:rsidRPr="00C927E6" w:rsidRDefault="009C2E70" w:rsidP="00C927E6">
      <w:pPr>
        <w:pStyle w:val="StylSmluv1"/>
        <w:rPr>
          <w:rFonts w:ascii="Calibri" w:hAnsi="Calibri"/>
        </w:rPr>
      </w:pPr>
      <w:r>
        <w:rPr>
          <w:rFonts w:ascii="Calibri" w:hAnsi="Calibri"/>
        </w:rPr>
        <w:lastRenderedPageBreak/>
        <w:br/>
      </w:r>
      <w:r w:rsidRPr="00C927E6">
        <w:rPr>
          <w:rFonts w:ascii="Calibri" w:hAnsi="Calibri"/>
        </w:rPr>
        <w:t xml:space="preserve">Stav </w:t>
      </w:r>
      <w:r>
        <w:rPr>
          <w:rFonts w:ascii="Calibri" w:hAnsi="Calibri"/>
        </w:rPr>
        <w:t>P</w:t>
      </w:r>
      <w:r w:rsidRPr="00C927E6">
        <w:rPr>
          <w:rFonts w:ascii="Calibri" w:hAnsi="Calibri"/>
        </w:rPr>
        <w:t>ředmětu nájmu</w:t>
      </w:r>
    </w:p>
    <w:p w:rsidR="009C2E70" w:rsidRPr="00C927E6" w:rsidRDefault="009C2E70" w:rsidP="00BC7721">
      <w:pPr>
        <w:pStyle w:val="StylSmluv2"/>
      </w:pPr>
      <w:r w:rsidRPr="00C927E6">
        <w:t>Nájemce prohlašuje, že se řádně seznámil se stavem Předmětu nájmu, jsou mu známy vady Předmětu nájmu, v tomto stavu jej do nájmu přijímá a tento stav shledává vyhovující pro účel nájmu.</w:t>
      </w:r>
    </w:p>
    <w:p w:rsidR="009C2E70" w:rsidRPr="00C927E6" w:rsidRDefault="009C2E70" w:rsidP="00C927E6">
      <w:pPr>
        <w:pStyle w:val="StylSmluv1"/>
        <w:rPr>
          <w:rFonts w:ascii="Calibri" w:hAnsi="Calibri"/>
        </w:rPr>
      </w:pPr>
      <w:r>
        <w:rPr>
          <w:rFonts w:ascii="Calibri" w:hAnsi="Calibri"/>
        </w:rPr>
        <w:br/>
      </w:r>
      <w:r w:rsidRPr="00C927E6">
        <w:rPr>
          <w:rFonts w:ascii="Calibri" w:hAnsi="Calibri"/>
        </w:rPr>
        <w:t xml:space="preserve">Odevzdání </w:t>
      </w:r>
      <w:r>
        <w:rPr>
          <w:rFonts w:ascii="Calibri" w:hAnsi="Calibri"/>
        </w:rPr>
        <w:t>P</w:t>
      </w:r>
      <w:r w:rsidRPr="00C927E6">
        <w:rPr>
          <w:rFonts w:ascii="Calibri" w:hAnsi="Calibri"/>
        </w:rPr>
        <w:t>ředmětu nájmu</w:t>
      </w:r>
    </w:p>
    <w:p w:rsidR="009C2E70" w:rsidRDefault="009C2E70" w:rsidP="00B7565A">
      <w:pPr>
        <w:pStyle w:val="StylSmluv2"/>
        <w:rPr>
          <w:lang w:eastAsia="cs-CZ"/>
        </w:rPr>
      </w:pPr>
      <w:r w:rsidRPr="00C927E6">
        <w:rPr>
          <w:lang w:eastAsia="cs-CZ"/>
        </w:rPr>
        <w:t xml:space="preserve">Pronajímatel </w:t>
      </w:r>
      <w:r w:rsidRPr="00335CC9">
        <w:rPr>
          <w:lang w:eastAsia="cs-CZ"/>
        </w:rPr>
        <w:t>odevzdá</w:t>
      </w:r>
      <w:r w:rsidRPr="00C927E6">
        <w:rPr>
          <w:lang w:eastAsia="cs-CZ"/>
        </w:rPr>
        <w:t xml:space="preserve"> </w:t>
      </w:r>
      <w:r>
        <w:rPr>
          <w:lang w:eastAsia="cs-CZ"/>
        </w:rPr>
        <w:t>Předmět nájmu</w:t>
      </w:r>
      <w:r w:rsidRPr="00C927E6">
        <w:rPr>
          <w:lang w:eastAsia="cs-CZ"/>
        </w:rPr>
        <w:t xml:space="preserve"> Nájemci dne</w:t>
      </w:r>
      <w:r>
        <w:rPr>
          <w:lang w:eastAsia="cs-CZ"/>
        </w:rPr>
        <w:t xml:space="preserve"> </w:t>
      </w:r>
      <w:r w:rsidR="00B17D9B">
        <w:rPr>
          <w:b/>
          <w:lang w:eastAsia="cs-CZ"/>
        </w:rPr>
        <w:t>2</w:t>
      </w:r>
      <w:r w:rsidR="00395E14">
        <w:rPr>
          <w:b/>
          <w:lang w:eastAsia="cs-CZ"/>
        </w:rPr>
        <w:t>8</w:t>
      </w:r>
      <w:r w:rsidR="00B17D9B">
        <w:rPr>
          <w:b/>
          <w:lang w:eastAsia="cs-CZ"/>
        </w:rPr>
        <w:t>. 10. 201</w:t>
      </w:r>
      <w:r w:rsidR="00395E14">
        <w:rPr>
          <w:b/>
          <w:lang w:eastAsia="cs-CZ"/>
        </w:rPr>
        <w:t>7</w:t>
      </w:r>
      <w:r w:rsidR="00B17D9B">
        <w:rPr>
          <w:b/>
          <w:lang w:eastAsia="cs-CZ"/>
        </w:rPr>
        <w:t>.</w:t>
      </w:r>
      <w:r w:rsidR="00BE43CF">
        <w:rPr>
          <w:lang w:eastAsia="cs-CZ"/>
        </w:rPr>
        <w:t xml:space="preserve">                        </w:t>
      </w:r>
      <w:r w:rsidR="00553C4E">
        <w:rPr>
          <w:lang w:eastAsia="cs-CZ"/>
        </w:rPr>
        <w:t xml:space="preserve">    </w:t>
      </w:r>
    </w:p>
    <w:p w:rsidR="009C2E70" w:rsidRDefault="009C2E70" w:rsidP="00B7565A">
      <w:pPr>
        <w:pStyle w:val="StylSmluv2"/>
        <w:rPr>
          <w:lang w:eastAsia="cs-CZ"/>
        </w:rPr>
      </w:pPr>
      <w:r w:rsidRPr="00C927E6">
        <w:rPr>
          <w:lang w:eastAsia="cs-CZ"/>
        </w:rPr>
        <w:t xml:space="preserve">Odevzdání Předmětu nájmu je řádné, pokud Pronajímatel odevzdá Nájemci Předmět nájmu, jeho příslušenství, které má být předmětem nájmu dle této </w:t>
      </w:r>
      <w:r>
        <w:rPr>
          <w:lang w:eastAsia="cs-CZ"/>
        </w:rPr>
        <w:t>s</w:t>
      </w:r>
      <w:r w:rsidRPr="00C927E6">
        <w:rPr>
          <w:lang w:eastAsia="cs-CZ"/>
        </w:rPr>
        <w:t>mlouvy, a veškeré další věci, které jsou třeba k řádnému užívání věci.</w:t>
      </w:r>
    </w:p>
    <w:p w:rsidR="009C2E70" w:rsidRPr="00C927E6" w:rsidRDefault="009C2E70" w:rsidP="00536E25">
      <w:pPr>
        <w:pStyle w:val="StylSmluv2"/>
      </w:pPr>
      <w:r>
        <w:t xml:space="preserve">O předání a převzetí </w:t>
      </w:r>
      <w:r w:rsidRPr="00C927E6">
        <w:rPr>
          <w:lang w:eastAsia="cs-CZ"/>
        </w:rPr>
        <w:t xml:space="preserve">Předmětu nájmu </w:t>
      </w:r>
      <w:r>
        <w:t xml:space="preserve">bude sepsán protokol před zahájením kulturní akce a po jejím skončení, který bude podepsán Pronajímatelem a Nájemcem. Za Pronajímatele je tento protokol oprávněn uzavřít </w:t>
      </w:r>
      <w:r w:rsidR="00553C4E" w:rsidRPr="00ED3394">
        <w:rPr>
          <w:b/>
        </w:rPr>
        <w:t xml:space="preserve">p. </w:t>
      </w:r>
      <w:r w:rsidR="00B17D9B">
        <w:rPr>
          <w:b/>
        </w:rPr>
        <w:t xml:space="preserve">Pavlem </w:t>
      </w:r>
      <w:proofErr w:type="spellStart"/>
      <w:r w:rsidR="00B17D9B">
        <w:rPr>
          <w:b/>
        </w:rPr>
        <w:t>Razýmem</w:t>
      </w:r>
      <w:proofErr w:type="spellEnd"/>
      <w:r w:rsidR="00B17D9B">
        <w:rPr>
          <w:b/>
        </w:rPr>
        <w:t xml:space="preserve">. </w:t>
      </w:r>
      <w:r w:rsidR="00B17D9B" w:rsidRPr="00B17D9B">
        <w:t>V</w:t>
      </w:r>
      <w:r>
        <w:t xml:space="preserve"> protokolu bude zachycen zejména stav </w:t>
      </w:r>
      <w:r w:rsidRPr="00C927E6">
        <w:rPr>
          <w:lang w:eastAsia="cs-CZ"/>
        </w:rPr>
        <w:t xml:space="preserve">Předmětu nájmu </w:t>
      </w:r>
      <w:r>
        <w:t>ke dni předání Nájemci a ke dni předání zpět Pronajímateli.  Součástí protokolu bude seznam příslušenství (věcí předaných Nájemci, např. počet klíčů apod.). Tento protokol bude v jednom vyhotovení založen u Pronajímatele a jeden stejnopis obdrží Nájemce. Protokol bude obsahovat zjištěné závady a nedostatky.</w:t>
      </w:r>
    </w:p>
    <w:p w:rsidR="009C2E70" w:rsidRPr="00C927E6" w:rsidRDefault="009C2E70" w:rsidP="00C927E6">
      <w:pPr>
        <w:pStyle w:val="StylSmluv1"/>
        <w:rPr>
          <w:rFonts w:ascii="Calibri" w:hAnsi="Calibri"/>
        </w:rPr>
      </w:pPr>
      <w:r>
        <w:rPr>
          <w:rFonts w:ascii="Calibri" w:hAnsi="Calibri"/>
        </w:rPr>
        <w:br/>
      </w:r>
      <w:r w:rsidRPr="00C927E6">
        <w:rPr>
          <w:rFonts w:ascii="Calibri" w:hAnsi="Calibri"/>
        </w:rPr>
        <w:t>Zápis práva nájmu do veřejného seznamu</w:t>
      </w:r>
    </w:p>
    <w:p w:rsidR="009C2E70" w:rsidRPr="00C927E6" w:rsidRDefault="009C2E70" w:rsidP="00536E25">
      <w:pPr>
        <w:pStyle w:val="StylSmluv2"/>
        <w:rPr>
          <w:lang w:eastAsia="cs-CZ"/>
        </w:rPr>
      </w:pPr>
      <w:r w:rsidRPr="00C927E6">
        <w:rPr>
          <w:lang w:eastAsia="cs-CZ"/>
        </w:rPr>
        <w:t>Pronajímatel a nájemce se dohodli, že právo nájmu zřízené touto smlouvou nebude zapsáno do veřejného seznamu.</w:t>
      </w:r>
    </w:p>
    <w:p w:rsidR="009C2E70" w:rsidRPr="00C927E6" w:rsidRDefault="009C2E70" w:rsidP="00C927E6">
      <w:pPr>
        <w:pStyle w:val="StylSmluv1"/>
        <w:rPr>
          <w:rFonts w:ascii="Calibri" w:hAnsi="Calibri"/>
        </w:rPr>
      </w:pPr>
      <w:r>
        <w:rPr>
          <w:rFonts w:ascii="Calibri" w:hAnsi="Calibri"/>
        </w:rPr>
        <w:br/>
      </w:r>
      <w:r w:rsidRPr="00C927E6">
        <w:rPr>
          <w:rFonts w:ascii="Calibri" w:hAnsi="Calibri"/>
        </w:rPr>
        <w:t>Doba trvání nájmu</w:t>
      </w:r>
    </w:p>
    <w:p w:rsidR="009C2E70" w:rsidRPr="00EA3F75" w:rsidRDefault="009C2E70" w:rsidP="00536E25">
      <w:pPr>
        <w:pStyle w:val="StylSmluv2"/>
        <w:rPr>
          <w:b/>
        </w:rPr>
      </w:pPr>
      <w:r w:rsidRPr="00C927E6">
        <w:t>Nájem se sjednává na dobu určitou</w:t>
      </w:r>
      <w:r>
        <w:t xml:space="preserve">, a to na </w:t>
      </w:r>
      <w:r w:rsidR="00B17D9B" w:rsidRPr="00B17D9B">
        <w:rPr>
          <w:b/>
        </w:rPr>
        <w:t>2</w:t>
      </w:r>
      <w:r w:rsidR="00395E14">
        <w:rPr>
          <w:b/>
        </w:rPr>
        <w:t>8</w:t>
      </w:r>
      <w:r w:rsidR="00B17D9B" w:rsidRPr="00B17D9B">
        <w:rPr>
          <w:b/>
        </w:rPr>
        <w:t>. 10. 201</w:t>
      </w:r>
      <w:r w:rsidR="00395E14">
        <w:rPr>
          <w:b/>
        </w:rPr>
        <w:t>7</w:t>
      </w:r>
      <w:r w:rsidR="00B17D9B" w:rsidRPr="00B17D9B">
        <w:rPr>
          <w:b/>
        </w:rPr>
        <w:t xml:space="preserve"> od 1</w:t>
      </w:r>
      <w:r w:rsidR="00395E14">
        <w:rPr>
          <w:b/>
        </w:rPr>
        <w:t>2.00</w:t>
      </w:r>
      <w:r w:rsidR="00B17D9B" w:rsidRPr="00B17D9B">
        <w:rPr>
          <w:b/>
        </w:rPr>
        <w:t xml:space="preserve"> do </w:t>
      </w:r>
      <w:r w:rsidR="00395E14">
        <w:rPr>
          <w:b/>
        </w:rPr>
        <w:t>29</w:t>
      </w:r>
      <w:r w:rsidR="00B17D9B" w:rsidRPr="00B17D9B">
        <w:rPr>
          <w:b/>
        </w:rPr>
        <w:t>. 10. 201</w:t>
      </w:r>
      <w:r w:rsidR="00395E14">
        <w:rPr>
          <w:b/>
        </w:rPr>
        <w:t>7</w:t>
      </w:r>
      <w:r w:rsidR="00B17D9B" w:rsidRPr="00B17D9B">
        <w:rPr>
          <w:b/>
        </w:rPr>
        <w:t xml:space="preserve"> do </w:t>
      </w:r>
      <w:r w:rsidR="00395E14">
        <w:rPr>
          <w:b/>
        </w:rPr>
        <w:t>0</w:t>
      </w:r>
      <w:r w:rsidR="004D6651">
        <w:rPr>
          <w:b/>
        </w:rPr>
        <w:t>6</w:t>
      </w:r>
      <w:r w:rsidR="00395E14">
        <w:rPr>
          <w:b/>
        </w:rPr>
        <w:t>.00</w:t>
      </w:r>
      <w:r w:rsidR="00B17D9B" w:rsidRPr="00B17D9B">
        <w:rPr>
          <w:b/>
        </w:rPr>
        <w:t xml:space="preserve"> hodin.</w:t>
      </w:r>
      <w:r w:rsidR="00BE43CF">
        <w:rPr>
          <w:b/>
        </w:rPr>
        <w:t xml:space="preserve">              </w:t>
      </w:r>
    </w:p>
    <w:p w:rsidR="009C2E70" w:rsidRPr="00C927E6" w:rsidRDefault="009C2E70" w:rsidP="00C927E6">
      <w:pPr>
        <w:pStyle w:val="StylSmluv1"/>
        <w:rPr>
          <w:rFonts w:ascii="Calibri" w:hAnsi="Calibri"/>
        </w:rPr>
      </w:pPr>
      <w:r>
        <w:rPr>
          <w:rFonts w:ascii="Calibri" w:hAnsi="Calibri"/>
        </w:rPr>
        <w:br/>
      </w:r>
      <w:r w:rsidRPr="00C927E6">
        <w:rPr>
          <w:rFonts w:ascii="Calibri" w:hAnsi="Calibri"/>
        </w:rPr>
        <w:t>Nájemné</w:t>
      </w:r>
      <w:r>
        <w:rPr>
          <w:rFonts w:ascii="Calibri" w:hAnsi="Calibri"/>
        </w:rPr>
        <w:t>,</w:t>
      </w:r>
      <w:r w:rsidRPr="00C927E6">
        <w:rPr>
          <w:rFonts w:ascii="Calibri" w:hAnsi="Calibri"/>
        </w:rPr>
        <w:t xml:space="preserve"> </w:t>
      </w:r>
      <w:r>
        <w:rPr>
          <w:rFonts w:ascii="Calibri" w:hAnsi="Calibri"/>
        </w:rPr>
        <w:t>platby za plnění související s nájmem</w:t>
      </w:r>
    </w:p>
    <w:p w:rsidR="009E68A3" w:rsidRPr="00A16178" w:rsidRDefault="009E68A3" w:rsidP="009E68A3">
      <w:pPr>
        <w:pStyle w:val="StylSmluv2"/>
        <w:rPr>
          <w:b/>
        </w:rPr>
      </w:pPr>
      <w:r w:rsidRPr="00A16178">
        <w:rPr>
          <w:b/>
        </w:rPr>
        <w:t xml:space="preserve">Nájemce se zavazuje uhradit zálohu nájemné takto: </w:t>
      </w:r>
    </w:p>
    <w:p w:rsidR="009E68A3" w:rsidRPr="00A16178" w:rsidRDefault="009E68A3" w:rsidP="009E68A3">
      <w:pPr>
        <w:pStyle w:val="rove2"/>
        <w:numPr>
          <w:ilvl w:val="0"/>
          <w:numId w:val="0"/>
        </w:numPr>
        <w:ind w:left="1788"/>
        <w:rPr>
          <w:b/>
          <w:sz w:val="24"/>
          <w:szCs w:val="24"/>
        </w:rPr>
      </w:pPr>
      <w:r w:rsidRPr="00A16178">
        <w:rPr>
          <w:b/>
          <w:sz w:val="24"/>
          <w:szCs w:val="24"/>
        </w:rPr>
        <w:t xml:space="preserve">Záloha na nájemné činí: </w:t>
      </w:r>
      <w:r w:rsidRPr="00A16178">
        <w:rPr>
          <w:b/>
          <w:sz w:val="24"/>
          <w:szCs w:val="24"/>
        </w:rPr>
        <w:tab/>
      </w:r>
      <w:r w:rsidRPr="00A16178">
        <w:rPr>
          <w:b/>
          <w:sz w:val="24"/>
          <w:szCs w:val="24"/>
        </w:rPr>
        <w:tab/>
      </w:r>
      <w:r w:rsidR="004D6651" w:rsidRPr="00F37C7A">
        <w:rPr>
          <w:b/>
          <w:sz w:val="24"/>
          <w:szCs w:val="24"/>
          <w:highlight w:val="black"/>
        </w:rPr>
        <w:t>40</w:t>
      </w:r>
      <w:r w:rsidRPr="00F37C7A">
        <w:rPr>
          <w:b/>
          <w:sz w:val="24"/>
          <w:szCs w:val="24"/>
          <w:highlight w:val="black"/>
        </w:rPr>
        <w:t xml:space="preserve"> 000,00</w:t>
      </w:r>
      <w:r w:rsidRPr="00A16178">
        <w:rPr>
          <w:b/>
          <w:sz w:val="24"/>
          <w:szCs w:val="24"/>
        </w:rPr>
        <w:t xml:space="preserve"> Kč</w:t>
      </w:r>
    </w:p>
    <w:p w:rsidR="009E68A3" w:rsidRPr="00A16178" w:rsidRDefault="009E68A3" w:rsidP="009E68A3">
      <w:pPr>
        <w:pStyle w:val="StylSmluv2"/>
        <w:rPr>
          <w:b/>
        </w:rPr>
      </w:pPr>
      <w:r w:rsidRPr="00A16178">
        <w:rPr>
          <w:b/>
        </w:rPr>
        <w:t xml:space="preserve">Nájemné je splatné tak, že na účet Pronajímatele uvedený v záhlaví této smlouvy, variabilní symbol P </w:t>
      </w:r>
      <w:r w:rsidR="005A0F32">
        <w:rPr>
          <w:b/>
        </w:rPr>
        <w:t>78/17</w:t>
      </w:r>
      <w:r w:rsidRPr="00A16178">
        <w:rPr>
          <w:b/>
        </w:rPr>
        <w:t xml:space="preserve"> bude nejpozději do </w:t>
      </w:r>
      <w:r w:rsidR="00B17D9B">
        <w:rPr>
          <w:b/>
        </w:rPr>
        <w:t>2</w:t>
      </w:r>
      <w:r w:rsidR="004D6651">
        <w:rPr>
          <w:b/>
        </w:rPr>
        <w:t>3</w:t>
      </w:r>
      <w:r w:rsidR="00B17D9B">
        <w:rPr>
          <w:b/>
        </w:rPr>
        <w:t xml:space="preserve">. 10. </w:t>
      </w:r>
      <w:r w:rsidR="008177FA">
        <w:rPr>
          <w:b/>
        </w:rPr>
        <w:t>201</w:t>
      </w:r>
      <w:r w:rsidR="004D6651">
        <w:rPr>
          <w:b/>
        </w:rPr>
        <w:t>7</w:t>
      </w:r>
      <w:r w:rsidR="008177FA">
        <w:rPr>
          <w:b/>
        </w:rPr>
        <w:t xml:space="preserve"> </w:t>
      </w:r>
      <w:r w:rsidRPr="00A16178">
        <w:rPr>
          <w:b/>
        </w:rPr>
        <w:t xml:space="preserve"> složena částka odpovídající záloze na nájemném sjednanému v čl. 8.1. a zbývající část bude uhrazena nejpozději do 14 dnů od skončení doby nájmu.</w:t>
      </w:r>
    </w:p>
    <w:p w:rsidR="00783066" w:rsidRPr="00783066" w:rsidRDefault="00783066" w:rsidP="004439F7">
      <w:pPr>
        <w:pStyle w:val="StylSmluv2"/>
      </w:pPr>
      <w:r w:rsidRPr="00783066">
        <w:t>Nájemné je řádně zaplaceno, pokud je př</w:t>
      </w:r>
      <w:r>
        <w:t xml:space="preserve">ipsáno na účet Pronajímatele </w:t>
      </w:r>
      <w:r w:rsidRPr="00783066">
        <w:t xml:space="preserve">v den splatnosti. </w:t>
      </w:r>
    </w:p>
    <w:p w:rsidR="009C2E70" w:rsidRPr="00C927E6" w:rsidRDefault="009C2E70" w:rsidP="00C927E6">
      <w:pPr>
        <w:pStyle w:val="StylSmluv2"/>
      </w:pPr>
      <w:r w:rsidRPr="00C927E6">
        <w:t xml:space="preserve">Dojde-li kdykoliv za účinnosti této nájemní smlouvy, resp. v období platnosti příslušného splátkového kalendáře,  ke změně zákonné sazby DPH, změní se automaticky ke dni účinnosti změny sazby DPH odpovídajícím způsobem i celková výše  nájemného.  </w:t>
      </w:r>
    </w:p>
    <w:p w:rsidR="009C2E70" w:rsidRDefault="009C2E70" w:rsidP="00C927E6">
      <w:pPr>
        <w:pStyle w:val="StylSmluv2"/>
      </w:pPr>
      <w:r w:rsidRPr="00C927E6">
        <w:t xml:space="preserve">Nájemné zahrnuje platby za </w:t>
      </w:r>
      <w:r>
        <w:t xml:space="preserve">běžné </w:t>
      </w:r>
      <w:r w:rsidRPr="00C927E6">
        <w:t xml:space="preserve">služby spojené s užíváním </w:t>
      </w:r>
      <w:r>
        <w:t>Předmět</w:t>
      </w:r>
      <w:r w:rsidRPr="00C927E6">
        <w:t>u nájmu</w:t>
      </w:r>
      <w:r>
        <w:t>, tj. el. energie, voda, odvoz a odvádění odpadních vod, odvoz komunálního odpadu, dodávky tepla. Způsob úhrady běžných služeb dle tohoto článku smlouvy je upraven v čl. 9</w:t>
      </w:r>
      <w:r w:rsidRPr="00C927E6">
        <w:t>.</w:t>
      </w:r>
    </w:p>
    <w:p w:rsidR="00024907" w:rsidRDefault="009C2E70" w:rsidP="00024907">
      <w:pPr>
        <w:pStyle w:val="StylSmluv2"/>
      </w:pPr>
      <w:r>
        <w:t>Specifikace dalších služeb (nikoliv běžných, zahrnutých v nájemném) a ceny za tyto služby (např. zajištění občerstvení, nápojů, zvláštní výzdoby, apod.) jsou uvedeny v příloze č. 1 této smlouvy (dále jen „Další služby“).</w:t>
      </w:r>
    </w:p>
    <w:p w:rsidR="009C2E70" w:rsidRPr="00DC243A" w:rsidRDefault="009C2E70" w:rsidP="00C927E6">
      <w:pPr>
        <w:pStyle w:val="StylSmluv1"/>
        <w:rPr>
          <w:rFonts w:ascii="Calibri" w:hAnsi="Calibri"/>
        </w:rPr>
      </w:pPr>
      <w:r>
        <w:rPr>
          <w:rFonts w:ascii="Calibri" w:hAnsi="Calibri"/>
        </w:rPr>
        <w:lastRenderedPageBreak/>
        <w:br/>
      </w:r>
      <w:r w:rsidRPr="00DC243A">
        <w:rPr>
          <w:rFonts w:ascii="Calibri" w:hAnsi="Calibri"/>
        </w:rPr>
        <w:t xml:space="preserve">Skončení nájmu </w:t>
      </w:r>
    </w:p>
    <w:p w:rsidR="009C2E70" w:rsidRPr="00093DE3" w:rsidRDefault="009C2E70" w:rsidP="00C927E6">
      <w:pPr>
        <w:pStyle w:val="StylSmluv2"/>
      </w:pPr>
      <w:r w:rsidRPr="00093DE3">
        <w:t xml:space="preserve">Nájemní vztah založený smlouvou končí uplynutí doby, na kterou byl nájem sjednán a neprolonguje se (smluvní strany vylučují aplikaci </w:t>
      </w:r>
      <w:proofErr w:type="spellStart"/>
      <w:r w:rsidRPr="00093DE3">
        <w:t>ust</w:t>
      </w:r>
      <w:proofErr w:type="spellEnd"/>
      <w:r w:rsidRPr="00093DE3">
        <w:t>. § 2230 OZ).</w:t>
      </w:r>
    </w:p>
    <w:p w:rsidR="009C2E70" w:rsidRPr="00093DE3" w:rsidRDefault="009C2E70" w:rsidP="00C927E6">
      <w:pPr>
        <w:pStyle w:val="StylSmluv2"/>
      </w:pPr>
      <w:r w:rsidRPr="00093DE3">
        <w:t>Smlouva může být ukončena na základě písemné dohody obou smluvních stran nebo výpovědí.</w:t>
      </w:r>
    </w:p>
    <w:p w:rsidR="009C2E70" w:rsidRPr="00093DE3" w:rsidRDefault="009C2E70" w:rsidP="00C927E6">
      <w:pPr>
        <w:pStyle w:val="StylSmluv2"/>
      </w:pPr>
      <w:r w:rsidRPr="00093DE3">
        <w:t xml:space="preserve">Pronajímatel je oprávněn </w:t>
      </w:r>
      <w:r>
        <w:t xml:space="preserve">okamžitě </w:t>
      </w:r>
      <w:r w:rsidRPr="00093DE3">
        <w:t xml:space="preserve">vypovědět </w:t>
      </w:r>
      <w:r>
        <w:t>s</w:t>
      </w:r>
      <w:r w:rsidRPr="00093DE3">
        <w:t>mlouvu před uplynutím sjednané doby nájmu, a to z důvodů, které jsou níže sjednány.</w:t>
      </w:r>
    </w:p>
    <w:p w:rsidR="009C2E70" w:rsidRPr="00093DE3" w:rsidRDefault="009C2E70" w:rsidP="00147CC5">
      <w:pPr>
        <w:pStyle w:val="StylSmluv2"/>
        <w:numPr>
          <w:ilvl w:val="0"/>
          <w:numId w:val="0"/>
        </w:numPr>
        <w:ind w:left="567"/>
      </w:pPr>
      <w:r w:rsidRPr="00093DE3">
        <w:t xml:space="preserve">Pronajímatel je oprávněn vypovědět </w:t>
      </w:r>
      <w:r>
        <w:t>s</w:t>
      </w:r>
      <w:r w:rsidRPr="00093DE3">
        <w:t xml:space="preserve">mlouvu před uplynutím sjednané doby nájmu v případě, že: </w:t>
      </w:r>
    </w:p>
    <w:p w:rsidR="009C2E70" w:rsidRDefault="009C2E70" w:rsidP="00CD22F5">
      <w:pPr>
        <w:pStyle w:val="StylSmmluv3"/>
        <w:spacing w:after="120"/>
      </w:pPr>
      <w:r>
        <w:t>Nájemce užívá Předmět nájmu v rozporu se smlouvou</w:t>
      </w:r>
    </w:p>
    <w:p w:rsidR="009C2E70" w:rsidRDefault="009C2E70" w:rsidP="00CD22F5">
      <w:pPr>
        <w:pStyle w:val="StylSmmluv3"/>
        <w:spacing w:after="120"/>
      </w:pPr>
      <w:r>
        <w:t>Nájemce neplní své povinnosti vyplývající z  této smlouvy a provozního řádu, který je přílohou č. 2 této smlouvy</w:t>
      </w:r>
    </w:p>
    <w:p w:rsidR="009C2E70" w:rsidRDefault="009C2E70" w:rsidP="00CD22F5">
      <w:pPr>
        <w:pStyle w:val="StylSmmluv3"/>
        <w:spacing w:after="120"/>
      </w:pPr>
      <w:r>
        <w:t xml:space="preserve">Nájemce je v prodlení s placením úhrad dle čl. 8 této smlouvy </w:t>
      </w:r>
    </w:p>
    <w:p w:rsidR="009C2E70" w:rsidRDefault="009C2E70" w:rsidP="00CD22F5">
      <w:pPr>
        <w:pStyle w:val="StylSmmluv3"/>
        <w:spacing w:after="120"/>
      </w:pPr>
      <w:r>
        <w:t>Nájemce nebo osoby, které s ním užívají Předmět nájmu hrubě porušují klid a pořádek</w:t>
      </w:r>
    </w:p>
    <w:p w:rsidR="009C2E70" w:rsidRDefault="009C2E70" w:rsidP="00CD22F5">
      <w:pPr>
        <w:pStyle w:val="StylSmmluv3"/>
        <w:spacing w:after="120"/>
      </w:pPr>
      <w:r>
        <w:t xml:space="preserve">nastanou okolnosti, které budou objektivně bránit konání naplnění účelu dle této smlouvy (např. okolnosti vis maior apod.)  </w:t>
      </w:r>
    </w:p>
    <w:p w:rsidR="009C2E70" w:rsidRPr="009F1790" w:rsidRDefault="009C2E70" w:rsidP="009F1790">
      <w:pPr>
        <w:pStyle w:val="StylSmluv2"/>
      </w:pPr>
      <w:r>
        <w:t xml:space="preserve">Nájemce je oprávněn vypovědět tuto smlouvu i bez udání důvodu s tím, že v </w:t>
      </w:r>
      <w:r w:rsidRPr="009F1790">
        <w:t xml:space="preserve">případě, že </w:t>
      </w:r>
      <w:r>
        <w:t>N</w:t>
      </w:r>
      <w:r w:rsidRPr="009F1790">
        <w:t>ájemce vypov</w:t>
      </w:r>
      <w:r w:rsidR="00443B6F">
        <w:t>í tuto smlouvu</w:t>
      </w:r>
    </w:p>
    <w:p w:rsidR="009C2E70" w:rsidRDefault="009C2E70" w:rsidP="009F1790">
      <w:pPr>
        <w:pStyle w:val="StylSmmluv3"/>
      </w:pPr>
      <w:r>
        <w:t>do 2 měsíců před dohodnutým termínem konání kulturní akce zavazuje se uhradit Pronajímateli smluvní pokutu ve výši 30 % z celkové výše sjednaného nájemného</w:t>
      </w:r>
    </w:p>
    <w:p w:rsidR="009C2E70" w:rsidRDefault="009C2E70" w:rsidP="009F1790">
      <w:pPr>
        <w:pStyle w:val="StylSmmluv3"/>
      </w:pPr>
      <w:r>
        <w:t>do 1 měsíce před dohodnutým termínem konání kulturní akce zavazuje se uhradit Pronajímateli smluvní pokutu ve výši 40 % z celkové výše sjednaného nájemného</w:t>
      </w:r>
    </w:p>
    <w:p w:rsidR="009C2E70" w:rsidRDefault="009C2E70" w:rsidP="009F1790">
      <w:pPr>
        <w:pStyle w:val="StylSmmluv3"/>
      </w:pPr>
      <w:r>
        <w:t>do 8 pracovních dnů před dohodnutým termínem konání kulturní akce zavazuje se uhradit Pronajímateli smluvní pokutu ve výši 70 % z celkové výše sjednaného nájemného</w:t>
      </w:r>
    </w:p>
    <w:p w:rsidR="009C2E70" w:rsidRPr="00A90319" w:rsidRDefault="009C2E70" w:rsidP="00A90319">
      <w:pPr>
        <w:pStyle w:val="StylSmluv2"/>
        <w:numPr>
          <w:ilvl w:val="0"/>
          <w:numId w:val="0"/>
        </w:numPr>
        <w:ind w:left="567"/>
      </w:pPr>
      <w:r w:rsidRPr="003D7446">
        <w:t xml:space="preserve">Ujednáními této </w:t>
      </w:r>
      <w:r>
        <w:t>s</w:t>
      </w:r>
      <w:r w:rsidRPr="003D7446">
        <w:t xml:space="preserve">mlouvy o smluvních pokutách ani jejich zaplacením není dotčeno právo </w:t>
      </w:r>
      <w:r>
        <w:t>Pronajímatele</w:t>
      </w:r>
      <w:r w:rsidRPr="003D7446">
        <w:t xml:space="preserve"> na náhradu škody v plné výši.</w:t>
      </w:r>
    </w:p>
    <w:p w:rsidR="009C2E70" w:rsidRPr="00DC243A" w:rsidRDefault="009C2E70" w:rsidP="005C6588">
      <w:pPr>
        <w:pStyle w:val="StylSmluv1"/>
        <w:rPr>
          <w:rFonts w:ascii="Calibri" w:hAnsi="Calibri"/>
        </w:rPr>
      </w:pPr>
      <w:r>
        <w:rPr>
          <w:rFonts w:ascii="Calibri" w:hAnsi="Calibri"/>
        </w:rPr>
        <w:br/>
      </w:r>
      <w:r w:rsidRPr="00DC243A">
        <w:rPr>
          <w:rFonts w:ascii="Calibri" w:hAnsi="Calibri"/>
        </w:rPr>
        <w:t>Podnájem</w:t>
      </w:r>
    </w:p>
    <w:p w:rsidR="009C2E70" w:rsidRPr="00C927E6" w:rsidRDefault="009C2E70" w:rsidP="005C6588">
      <w:pPr>
        <w:pStyle w:val="StylSmluv2"/>
      </w:pPr>
      <w:r w:rsidRPr="00C927E6">
        <w:t xml:space="preserve">Nájemce je oprávněn přenechat předmět nájmu jako celek nebo jeho část do podnájmu nebo jiným obdobným způsobem umožnit úplatně či bezúplatně jejich užívání třetí osobě či osobám pouze na základě předchozího písemného souhlasu Pronajímatele. Žádost Nájemce o přenechání </w:t>
      </w:r>
      <w:r>
        <w:t>Předmět</w:t>
      </w:r>
      <w:r w:rsidRPr="00C927E6">
        <w:t>u nájmu nebo jeho části do podnájmu musí obsahovat identifikaci podnájemce, dobu podnájmu a účel podnájmu. Uzavření podnájemní nebo jiné obdobné smlouvy v rozporu s údaji uvedenými v žádosti (je-li vydán souhlas) je porušením povinností</w:t>
      </w:r>
      <w:r>
        <w:t xml:space="preserve"> dle této s</w:t>
      </w:r>
      <w:r w:rsidRPr="00C927E6">
        <w:t xml:space="preserve">mlouvy. Nájemce je povinen zavázat podnájemce či jiného obdobného uživatele k plnění povinností dle této </w:t>
      </w:r>
      <w:r>
        <w:t>s</w:t>
      </w:r>
      <w:r w:rsidRPr="00C927E6">
        <w:t xml:space="preserve">mlouvy. Za plnění povinností podnájemcem odpovídá vůči Pronajímateli Nájemce. Případná podnájemní nebo jiná obdobná smlouva uzavřená ve smyslu tohoto článku musí mít písemnou formu. </w:t>
      </w:r>
    </w:p>
    <w:p w:rsidR="009C2E70" w:rsidRPr="003A6681" w:rsidRDefault="009C2E70" w:rsidP="003A6681">
      <w:pPr>
        <w:pStyle w:val="StylSmluv2"/>
      </w:pPr>
      <w:r w:rsidRPr="00C927E6">
        <w:t>Umožní-li Nájemce užívat věc třetí osobě, odpovídá Pronajímateli za jednání této osoby stejně, jako kdyby věc užíval sám.</w:t>
      </w:r>
    </w:p>
    <w:p w:rsidR="009C2E70" w:rsidRPr="00B33817" w:rsidRDefault="009C2E70" w:rsidP="005C6588">
      <w:pPr>
        <w:pStyle w:val="StylSmluv1"/>
        <w:rPr>
          <w:rFonts w:ascii="Calibri" w:hAnsi="Calibri"/>
        </w:rPr>
      </w:pPr>
      <w:r>
        <w:rPr>
          <w:rFonts w:ascii="Calibri" w:hAnsi="Calibri"/>
        </w:rPr>
        <w:br/>
      </w:r>
      <w:r w:rsidRPr="00B33817">
        <w:rPr>
          <w:rFonts w:ascii="Calibri" w:hAnsi="Calibri"/>
        </w:rPr>
        <w:t>Úklid, opravy a údržba Předmětu nájmu</w:t>
      </w:r>
    </w:p>
    <w:p w:rsidR="009C2E70" w:rsidRDefault="009C2E70" w:rsidP="005C6588">
      <w:pPr>
        <w:pStyle w:val="StylSmluv2"/>
      </w:pPr>
      <w:r w:rsidRPr="00B33817">
        <w:t>Nájemce je povinen na své náklady zajistit</w:t>
      </w:r>
      <w:r>
        <w:t xml:space="preserve"> úklid v případě nadměrného znečištění Předmětu nájmu; nadměrným znečištěním se rozumí každé viditelné znečištění Předmětu nájmu</w:t>
      </w:r>
    </w:p>
    <w:p w:rsidR="009C2E70" w:rsidRPr="00B33817" w:rsidRDefault="009C2E70" w:rsidP="005C6588">
      <w:pPr>
        <w:pStyle w:val="StylSmluv2"/>
      </w:pPr>
      <w:r w:rsidRPr="00B33817">
        <w:lastRenderedPageBreak/>
        <w:t xml:space="preserve">Nájemce jej povinen bez zbytečného odkladu ohlásit Pronajímateli potřebu činností na Předmětu nájmu, které má provést Pronajímatel a umožní Pronajímateli či jím pověřeným osobám přístup k/do Předmětu nájmu a provedení nezbytných činností, a to s přihlédnutím k provozním potřebám Nájemce. </w:t>
      </w:r>
    </w:p>
    <w:p w:rsidR="009C2E70" w:rsidRPr="00B33817" w:rsidRDefault="009C2E70" w:rsidP="005C6588">
      <w:pPr>
        <w:pStyle w:val="StylSmluv2"/>
      </w:pPr>
      <w:r w:rsidRPr="00B33817">
        <w:t>Nájemce není oprávněn činnosti, k nimž je povinen Pronajímatel, provést sám na náklady Pronajímatele, a to ani tehdy, je-li Pronajímatel v prodlení. Nájemce dále není v takovém a obdobném případě oprávněn požadovat a Pronajímatel nemá povinnost Nájemci dočasně poskytnout po dobu provádění činností k užívání jinou věc. Zde obě strany deklarují vědomost o specifické povaze Předmětu nájmu, kdy je stranám zřejmé, že po Pronajímateli by nebylo lze spravedlivě požadovat i bez vyloučení povinnosti v předchozí větě náhradní Předmět nájmu – jinou věc.</w:t>
      </w:r>
    </w:p>
    <w:p w:rsidR="009C2E70" w:rsidRPr="00B33817" w:rsidRDefault="009C2E70" w:rsidP="005C6588">
      <w:pPr>
        <w:pStyle w:val="StylSmluv2"/>
      </w:pPr>
      <w:r w:rsidRPr="00B33817">
        <w:t>Nájemce je povinen provádět úklid</w:t>
      </w:r>
      <w:r w:rsidR="002A2C57">
        <w:t xml:space="preserve"> dle čl. 11</w:t>
      </w:r>
      <w:r>
        <w:t>.1.</w:t>
      </w:r>
      <w:r w:rsidRPr="00B33817">
        <w:t xml:space="preserve"> Smlouvy bez zbytečného odkladu a v nejkratší možné době. Pokud Nájemce v přiměřené době po obdržení písemného upozornění nesplní svoji povinnost, je Pronajímatel oprávněn provést úklid</w:t>
      </w:r>
      <w:r>
        <w:t xml:space="preserve"> </w:t>
      </w:r>
      <w:r w:rsidRPr="00B33817">
        <w:t>na náklady Nájemce a Nájemce je povinen tyto náklady Pronajímateli uhradit.</w:t>
      </w:r>
    </w:p>
    <w:p w:rsidR="009C2E70" w:rsidRPr="001E6FA2" w:rsidRDefault="009C2E70" w:rsidP="009A0087">
      <w:pPr>
        <w:pStyle w:val="StylSmluv1"/>
        <w:rPr>
          <w:rFonts w:ascii="Calibri" w:hAnsi="Calibri"/>
        </w:rPr>
      </w:pPr>
      <w:r>
        <w:rPr>
          <w:rFonts w:ascii="Calibri" w:hAnsi="Calibri"/>
        </w:rPr>
        <w:br/>
      </w:r>
      <w:r w:rsidRPr="001E6FA2">
        <w:rPr>
          <w:rFonts w:ascii="Calibri" w:hAnsi="Calibri"/>
        </w:rPr>
        <w:t>Právo kontroly</w:t>
      </w:r>
    </w:p>
    <w:p w:rsidR="009C2E70" w:rsidRPr="00C927E6" w:rsidRDefault="009C2E70" w:rsidP="002B7E13">
      <w:pPr>
        <w:pStyle w:val="StylSmluv2"/>
      </w:pPr>
      <w:r>
        <w:t>Nájemce je povinen umožnit Pronajímateli nebo jím pověřenému subjektu kdykoli p</w:t>
      </w:r>
      <w:r w:rsidRPr="00C927E6">
        <w:t xml:space="preserve">rohlídku </w:t>
      </w:r>
      <w:r>
        <w:t>Předmět</w:t>
      </w:r>
      <w:r w:rsidRPr="00C927E6">
        <w:t xml:space="preserve">u </w:t>
      </w:r>
      <w:r>
        <w:t xml:space="preserve">nájmu a realizovat přístup k a do něj, a to </w:t>
      </w:r>
      <w:r w:rsidRPr="00C927E6">
        <w:t xml:space="preserve">za účelem kontroly stavu </w:t>
      </w:r>
      <w:r>
        <w:t>Předmět</w:t>
      </w:r>
      <w:r w:rsidRPr="00C927E6">
        <w:t xml:space="preserve">u </w:t>
      </w:r>
      <w:r>
        <w:t>nájmu</w:t>
      </w:r>
      <w:r w:rsidRPr="00C927E6">
        <w:t>,</w:t>
      </w:r>
      <w:r>
        <w:t xml:space="preserve"> </w:t>
      </w:r>
      <w:r w:rsidRPr="00C927E6">
        <w:t xml:space="preserve">způsobu jeho užívání ze strany </w:t>
      </w:r>
      <w:r>
        <w:t>Nájemce</w:t>
      </w:r>
      <w:r w:rsidRPr="00C927E6">
        <w:t xml:space="preserve"> a plnění povinností </w:t>
      </w:r>
      <w:r>
        <w:t>Nájemce</w:t>
      </w:r>
      <w:r w:rsidRPr="00C927E6">
        <w:t xml:space="preserve"> dle této smlouvy a právních předpisů,</w:t>
      </w:r>
      <w:r>
        <w:t xml:space="preserve"> či k provedení opatření, k němuž je Pronajímatel oprávněn či povinen. </w:t>
      </w:r>
    </w:p>
    <w:p w:rsidR="009C2E70" w:rsidRPr="00C927E6" w:rsidRDefault="009C2E70" w:rsidP="002B7E13">
      <w:pPr>
        <w:pStyle w:val="StylSmluv2"/>
      </w:pPr>
      <w:r w:rsidRPr="00C927E6">
        <w:t xml:space="preserve">Pověří-li </w:t>
      </w:r>
      <w:r>
        <w:t>Pronajímatel</w:t>
      </w:r>
      <w:r w:rsidRPr="00C927E6">
        <w:t xml:space="preserve"> prováděním </w:t>
      </w:r>
      <w:r>
        <w:t xml:space="preserve">práva dle odst. 1. tohoto článku </w:t>
      </w:r>
      <w:r w:rsidRPr="00C927E6">
        <w:t xml:space="preserve">jiný subjekt, má tento subjekt všechna práva </w:t>
      </w:r>
      <w:r>
        <w:t>Pronajímatel</w:t>
      </w:r>
      <w:r w:rsidRPr="00C927E6">
        <w:t xml:space="preserve">e uvedená v tomto článku a </w:t>
      </w:r>
      <w:r>
        <w:t>Nájemce</w:t>
      </w:r>
      <w:r w:rsidRPr="00C927E6">
        <w:t xml:space="preserve"> má vůči němu tytéž povinnosti, jako vůči </w:t>
      </w:r>
      <w:r>
        <w:t>Pronajímatel</w:t>
      </w:r>
      <w:r w:rsidRPr="00C927E6">
        <w:t xml:space="preserve">i, nebude-li </w:t>
      </w:r>
      <w:r>
        <w:t>Pronajímatel</w:t>
      </w:r>
      <w:r w:rsidRPr="00C927E6">
        <w:t xml:space="preserve">em určeno jinak. Pověření třetí osoby je tato osoba povinna </w:t>
      </w:r>
      <w:r>
        <w:t>Nájemci</w:t>
      </w:r>
      <w:r w:rsidRPr="00C927E6">
        <w:t xml:space="preserve"> na požádání prokázat. </w:t>
      </w:r>
    </w:p>
    <w:p w:rsidR="009C2E70" w:rsidRPr="00C927E6" w:rsidRDefault="009C2E70" w:rsidP="002B7E13">
      <w:pPr>
        <w:pStyle w:val="StylSmluv2"/>
      </w:pPr>
      <w:r>
        <w:t>Za účelem realizace práva dle odst. 1. tohoto článku má</w:t>
      </w:r>
      <w:r w:rsidRPr="00C927E6">
        <w:t xml:space="preserve"> </w:t>
      </w:r>
      <w:r>
        <w:t>Pronajímatel</w:t>
      </w:r>
      <w:r w:rsidRPr="00C927E6">
        <w:t xml:space="preserve"> právo přístupu ke všem částem </w:t>
      </w:r>
      <w:r>
        <w:t>Předmět</w:t>
      </w:r>
      <w:r w:rsidRPr="00C927E6">
        <w:t xml:space="preserve">u </w:t>
      </w:r>
      <w:r>
        <w:t>nájmu</w:t>
      </w:r>
      <w:r w:rsidRPr="00C927E6">
        <w:t xml:space="preserve">, zejména též do všech staveb a prostor </w:t>
      </w:r>
      <w:r>
        <w:t>Nájemce</w:t>
      </w:r>
      <w:r w:rsidRPr="00C927E6">
        <w:t xml:space="preserve"> užívaným. </w:t>
      </w:r>
    </w:p>
    <w:p w:rsidR="009C2E70" w:rsidRPr="00C927E6" w:rsidRDefault="009C2E70" w:rsidP="002B7E13">
      <w:pPr>
        <w:pStyle w:val="StylSmluv2"/>
      </w:pPr>
      <w:r>
        <w:t>Nájemce</w:t>
      </w:r>
      <w:r w:rsidRPr="00C927E6">
        <w:t xml:space="preserve"> je povinen poskytnout nez</w:t>
      </w:r>
      <w:r>
        <w:t>bytnou součinnost při realizaci práva dle odst. 1. tohoto článku Pronajímatel</w:t>
      </w:r>
      <w:r w:rsidRPr="00C927E6">
        <w:t xml:space="preserve">em, zejména poskytnout </w:t>
      </w:r>
      <w:r>
        <w:t>Pronajímatel</w:t>
      </w:r>
      <w:r w:rsidRPr="00C927E6">
        <w:t>i nezbytné doklady vztahující se k </w:t>
      </w:r>
      <w:r>
        <w:t>Předmět</w:t>
      </w:r>
      <w:r w:rsidRPr="00C927E6">
        <w:t xml:space="preserve">u </w:t>
      </w:r>
      <w:r>
        <w:t>nájmu</w:t>
      </w:r>
      <w:r w:rsidRPr="00C927E6">
        <w:t xml:space="preserve"> a klíče od uzavřených prostor.</w:t>
      </w:r>
    </w:p>
    <w:p w:rsidR="009C2E70" w:rsidRPr="00C927E6" w:rsidRDefault="009C2E70" w:rsidP="00404B6F">
      <w:pPr>
        <w:pStyle w:val="StylSmluv2"/>
      </w:pPr>
      <w:r>
        <w:t>Nájemce</w:t>
      </w:r>
      <w:r w:rsidRPr="00C927E6">
        <w:t xml:space="preserve"> je povinen automaticky poskytovat </w:t>
      </w:r>
      <w:r>
        <w:t>Pronajímatel</w:t>
      </w:r>
      <w:r w:rsidRPr="00C927E6">
        <w:t xml:space="preserve">i informace o mimořádných událostech, k nimž dojde na </w:t>
      </w:r>
      <w:r>
        <w:t>Předmět</w:t>
      </w:r>
      <w:r w:rsidRPr="00C927E6">
        <w:t xml:space="preserve">u </w:t>
      </w:r>
      <w:r>
        <w:t>nájmu</w:t>
      </w:r>
      <w:r w:rsidRPr="00C927E6">
        <w:t>, a to bezodkladně elektronicky (e-mail:</w:t>
      </w:r>
      <w:r w:rsidR="00F0328A">
        <w:t xml:space="preserve"> sporkova@plzen2015.cz</w:t>
      </w:r>
      <w:r w:rsidRPr="00C927E6">
        <w:t>) a telefonem (</w:t>
      </w:r>
      <w:r w:rsidR="00F0328A">
        <w:t>tel.</w:t>
      </w:r>
      <w:r w:rsidR="00783066">
        <w:t xml:space="preserve"> </w:t>
      </w:r>
      <w:r w:rsidR="00F0328A">
        <w:t>číslo: 724 602 893</w:t>
      </w:r>
      <w:r w:rsidRPr="00C927E6">
        <w:t xml:space="preserve">), a v případě nutnosti informovat složky integrovaného záchranného systému. </w:t>
      </w:r>
    </w:p>
    <w:p w:rsidR="009C2E70" w:rsidRPr="001E6FA2" w:rsidRDefault="009C2E70" w:rsidP="009A0087">
      <w:pPr>
        <w:pStyle w:val="StylSmluv1"/>
        <w:rPr>
          <w:rFonts w:ascii="Calibri" w:hAnsi="Calibri"/>
        </w:rPr>
      </w:pPr>
      <w:r>
        <w:rPr>
          <w:rFonts w:ascii="Calibri" w:hAnsi="Calibri"/>
        </w:rPr>
        <w:br/>
      </w:r>
      <w:r w:rsidRPr="001E6FA2">
        <w:rPr>
          <w:rFonts w:ascii="Calibri" w:hAnsi="Calibri"/>
        </w:rPr>
        <w:t xml:space="preserve">Vrácení </w:t>
      </w:r>
      <w:r>
        <w:rPr>
          <w:rFonts w:ascii="Calibri" w:hAnsi="Calibri"/>
        </w:rPr>
        <w:t>Předmět</w:t>
      </w:r>
      <w:r w:rsidRPr="001E6FA2">
        <w:rPr>
          <w:rFonts w:ascii="Calibri" w:hAnsi="Calibri"/>
        </w:rPr>
        <w:t>u nájmu</w:t>
      </w:r>
    </w:p>
    <w:p w:rsidR="009C2E70" w:rsidRPr="00C927E6" w:rsidRDefault="009C2E70" w:rsidP="004B16F3">
      <w:pPr>
        <w:pStyle w:val="StylSmluv2"/>
        <w:rPr>
          <w:i/>
        </w:rPr>
      </w:pPr>
      <w:r w:rsidRPr="00C927E6">
        <w:t xml:space="preserve">Po skončení nájmu dle této </w:t>
      </w:r>
      <w:r>
        <w:t>s</w:t>
      </w:r>
      <w:r w:rsidRPr="00C927E6">
        <w:t xml:space="preserve">mlouvy </w:t>
      </w:r>
      <w:r>
        <w:t>je Nájemce povinen Předmět</w:t>
      </w:r>
      <w:r w:rsidRPr="00C927E6">
        <w:t xml:space="preserve"> nájmu </w:t>
      </w:r>
      <w:r>
        <w:t>odevzdat bezprostředně po skončení nájmu sjednaného v čl. 7</w:t>
      </w:r>
      <w:r w:rsidRPr="00C927E6">
        <w:t xml:space="preserve"> Pronajímateli </w:t>
      </w:r>
      <w:r w:rsidRPr="004B16F3">
        <w:t>v takovém stavu, v jakém byl v době, kdy j</w:t>
      </w:r>
      <w:r>
        <w:t>ej</w:t>
      </w:r>
      <w:r w:rsidRPr="004B16F3">
        <w:t xml:space="preserve"> převzal, s přihlédnutím k obvyklém</w:t>
      </w:r>
      <w:r>
        <w:t xml:space="preserve">u opotřebení při řádném užívání </w:t>
      </w:r>
      <w:r w:rsidR="00F0328A">
        <w:t>a po provedení úklidu dle čl. 11</w:t>
      </w:r>
      <w:r>
        <w:t>.1</w:t>
      </w:r>
      <w:r w:rsidRPr="004B16F3">
        <w:t>.</w:t>
      </w:r>
      <w:r>
        <w:t xml:space="preserve"> </w:t>
      </w:r>
      <w:r w:rsidRPr="00C927E6">
        <w:t xml:space="preserve">O řádném vrácení </w:t>
      </w:r>
      <w:r>
        <w:t>Předmět</w:t>
      </w:r>
      <w:r w:rsidRPr="00C927E6">
        <w:t>u nájmu bude sepsán protokol podepsaný Pronajímatelem.</w:t>
      </w:r>
    </w:p>
    <w:p w:rsidR="009C2E70" w:rsidRDefault="009C2E70" w:rsidP="007310F3">
      <w:pPr>
        <w:pStyle w:val="StylSmluv2"/>
      </w:pPr>
      <w:r w:rsidRPr="00C927E6">
        <w:t xml:space="preserve">Nesplní-li Nájemce tuto svoji povinnost, je Pronajímatel oprávněn vyklidit </w:t>
      </w:r>
      <w:r>
        <w:t xml:space="preserve">Předmět nájmu </w:t>
      </w:r>
      <w:r w:rsidRPr="00C927E6">
        <w:t xml:space="preserve">a uvést jej do původního stavu sám na účet Nájemce. V takovém případě je Nájemce povinen nést veškeré náklady vynaložené Pronajímatelem v této souvislosti. </w:t>
      </w:r>
    </w:p>
    <w:p w:rsidR="00024907" w:rsidRPr="00C927E6" w:rsidRDefault="00024907" w:rsidP="00024907">
      <w:pPr>
        <w:pStyle w:val="StylSmluv2"/>
        <w:numPr>
          <w:ilvl w:val="0"/>
          <w:numId w:val="0"/>
        </w:numPr>
        <w:ind w:left="567"/>
      </w:pPr>
    </w:p>
    <w:p w:rsidR="009C2E70" w:rsidRPr="001E6FA2" w:rsidRDefault="009C2E70" w:rsidP="009A0087">
      <w:pPr>
        <w:pStyle w:val="StylSmluv1"/>
        <w:rPr>
          <w:rFonts w:ascii="Calibri" w:hAnsi="Calibri"/>
        </w:rPr>
      </w:pPr>
      <w:r>
        <w:rPr>
          <w:rFonts w:ascii="Calibri" w:hAnsi="Calibri"/>
        </w:rPr>
        <w:lastRenderedPageBreak/>
        <w:br/>
      </w:r>
      <w:r w:rsidRPr="001E6FA2">
        <w:rPr>
          <w:rFonts w:ascii="Calibri" w:hAnsi="Calibri"/>
        </w:rPr>
        <w:t xml:space="preserve">Pojištění </w:t>
      </w:r>
    </w:p>
    <w:p w:rsidR="009C2E70" w:rsidRPr="00C927E6" w:rsidRDefault="009C2E70" w:rsidP="009A0087">
      <w:pPr>
        <w:pStyle w:val="StylSmluv2"/>
      </w:pPr>
      <w:r>
        <w:t xml:space="preserve">Pronajímatel </w:t>
      </w:r>
      <w:r w:rsidRPr="00C927E6">
        <w:t>Nájemc</w:t>
      </w:r>
      <w:r>
        <w:t>i doporučuje</w:t>
      </w:r>
      <w:r w:rsidRPr="00C927E6">
        <w:t xml:space="preserve"> po dobu trvání nájmu udržovat platné pojištění odpovědnosti za škody na zdraví (zranění nebo úmrtí) a odpovědnosti za škody na majetku třetích osob způsobené na </w:t>
      </w:r>
      <w:r>
        <w:t>Předmět</w:t>
      </w:r>
      <w:r w:rsidRPr="00C927E6">
        <w:t xml:space="preserve">u nájmu nebo v souvislosti s činnostmi prováděnými na </w:t>
      </w:r>
      <w:r>
        <w:t>Předmět</w:t>
      </w:r>
      <w:r w:rsidRPr="00C927E6">
        <w:t>u nájmu.</w:t>
      </w:r>
    </w:p>
    <w:p w:rsidR="009C2E70" w:rsidRDefault="009C2E70" w:rsidP="009A0087">
      <w:pPr>
        <w:pStyle w:val="StylSmluv2"/>
      </w:pPr>
      <w:r>
        <w:t xml:space="preserve">Pronajímatel </w:t>
      </w:r>
      <w:r w:rsidRPr="00C927E6">
        <w:t>Nájemc</w:t>
      </w:r>
      <w:r>
        <w:t>i doporučuje</w:t>
      </w:r>
      <w:r w:rsidRPr="00C927E6">
        <w:t xml:space="preserve"> sjednat a po celou dobu trvání této </w:t>
      </w:r>
      <w:r>
        <w:t>s</w:t>
      </w:r>
      <w:r w:rsidRPr="00C927E6">
        <w:t>mlouvy udržovat v platnosti  pojištění odpovědnosti za škodu způsobenou činností Nájemce.</w:t>
      </w:r>
    </w:p>
    <w:p w:rsidR="009C2E70" w:rsidRPr="00C927E6" w:rsidRDefault="009C2E70" w:rsidP="00F0328A">
      <w:pPr>
        <w:pStyle w:val="StylSmluv2"/>
        <w:numPr>
          <w:ilvl w:val="0"/>
          <w:numId w:val="0"/>
        </w:numPr>
      </w:pPr>
    </w:p>
    <w:p w:rsidR="009C2E70" w:rsidRPr="001E6FA2" w:rsidRDefault="009C2E70" w:rsidP="009A0087">
      <w:pPr>
        <w:pStyle w:val="StylSmluv1"/>
        <w:rPr>
          <w:rFonts w:ascii="Calibri" w:hAnsi="Calibri"/>
        </w:rPr>
      </w:pPr>
      <w:r>
        <w:rPr>
          <w:rFonts w:ascii="Calibri" w:hAnsi="Calibri"/>
        </w:rPr>
        <w:br/>
      </w:r>
      <w:r w:rsidRPr="001E6FA2">
        <w:rPr>
          <w:rFonts w:ascii="Calibri" w:hAnsi="Calibri"/>
        </w:rPr>
        <w:t>Další povinnosti Nájemce</w:t>
      </w:r>
    </w:p>
    <w:p w:rsidR="009C2E70" w:rsidRPr="00C927E6" w:rsidRDefault="009C2E70" w:rsidP="009A0087">
      <w:pPr>
        <w:pStyle w:val="StylSmluv2"/>
      </w:pPr>
      <w:r w:rsidRPr="00C927E6">
        <w:t xml:space="preserve">Nájemce je oprávněn a povinen užívat </w:t>
      </w:r>
      <w:r>
        <w:t>Předmět</w:t>
      </w:r>
      <w:r w:rsidRPr="00C927E6">
        <w:t xml:space="preserve"> nájmu v souladu s právním řádem ČR a EU, tj. v souladu se všemi zákony, nařízeními, vyhláškami a jinými závaznými právními předpisy a výlučně za sjednaným účelem.</w:t>
      </w:r>
    </w:p>
    <w:p w:rsidR="009C2E70" w:rsidRPr="00C927E6" w:rsidRDefault="009C2E70" w:rsidP="009A0087">
      <w:pPr>
        <w:pStyle w:val="StylSmluv2"/>
      </w:pPr>
      <w:r w:rsidRPr="00C927E6">
        <w:t>Nájemce se zavazuje na své náklady plnit veškeré povinnosti stanovené příslušnými právními předpisy a veškeré právní požadavky všech příslušných úřadů a orgánů veřejné moci vztahující se k osobě nebo činnosti Nájemce.</w:t>
      </w:r>
    </w:p>
    <w:p w:rsidR="009C2E70" w:rsidRPr="00C927E6" w:rsidRDefault="009C2E70" w:rsidP="009A0087">
      <w:pPr>
        <w:pStyle w:val="StylSmluv2"/>
      </w:pPr>
      <w:r w:rsidRPr="00C927E6">
        <w:t>Nájemce je povinen dodržovat veškeré hygienické, protipožární a bezpečnostní právní předpisy a plnit povinnosti jimi stanovené ve vztahu k </w:t>
      </w:r>
      <w:r>
        <w:t>Předmět</w:t>
      </w:r>
      <w:r w:rsidRPr="00C927E6">
        <w:t>u nájmu.</w:t>
      </w:r>
    </w:p>
    <w:p w:rsidR="009C2E70" w:rsidRPr="00C927E6" w:rsidRDefault="009C2E70" w:rsidP="009A0087">
      <w:pPr>
        <w:pStyle w:val="StylSmluv2"/>
      </w:pPr>
      <w:r w:rsidRPr="00C927E6">
        <w:t xml:space="preserve">Nájemce je povinen plnit i další, shora výslovně nespecifikované povinnosti, k jejichž plnění je ve vztahu k </w:t>
      </w:r>
      <w:r>
        <w:t>Předmět</w:t>
      </w:r>
      <w:r w:rsidRPr="00C927E6">
        <w:t xml:space="preserve">u nájmu povinen jinak vlastník věci, Nájemce není povinen za Pronajímatele jakožto vlastníka </w:t>
      </w:r>
      <w:r>
        <w:t>Předmět</w:t>
      </w:r>
      <w:r w:rsidRPr="00C927E6">
        <w:t>u nájmu plnit povinnosti daňové, vztahující se k </w:t>
      </w:r>
      <w:r>
        <w:t>Předmět</w:t>
      </w:r>
      <w:r w:rsidRPr="00C927E6">
        <w:t>u nájmu (daň z nemovitosti)</w:t>
      </w:r>
      <w:r>
        <w:t>.</w:t>
      </w:r>
      <w:r w:rsidRPr="00C927E6">
        <w:t xml:space="preserve"> </w:t>
      </w:r>
    </w:p>
    <w:p w:rsidR="009C2E70" w:rsidRDefault="009C2E70" w:rsidP="009A0087">
      <w:pPr>
        <w:pStyle w:val="StylSmluv2"/>
      </w:pPr>
      <w:r w:rsidRPr="00C927E6">
        <w:t xml:space="preserve">Nájemce se zavazuje dbát pokynů Pronajímatele, respektovat požadavky Pronajímatele a splnit povinnosti v této </w:t>
      </w:r>
      <w:r>
        <w:t>s</w:t>
      </w:r>
      <w:r w:rsidRPr="00C927E6">
        <w:t xml:space="preserve">mlouvě výslovně neuvedené, jejichž dodržení či splnění je možné po Nájemci spravedlivě požadovat v souvislosti s řádným užíváním </w:t>
      </w:r>
      <w:r>
        <w:t>Předmět</w:t>
      </w:r>
      <w:r w:rsidRPr="00C927E6">
        <w:t>u nájmu, a to na pokyn a v přiměřené lhůtě odpovídající charakteru požadavku či povinnosti, Pronajímatelem v pokynu vždy stanovené.</w:t>
      </w:r>
    </w:p>
    <w:p w:rsidR="009C2E70" w:rsidRDefault="009C2E70" w:rsidP="00EF63E2">
      <w:pPr>
        <w:pStyle w:val="StylSmluv2"/>
      </w:pPr>
      <w:r w:rsidRPr="00360AD5">
        <w:t>Nájemce nese odpovědnost za veškeré škody způsobené za dobu trvání nájmu, a to jak způsobené jeho činností, tak činností jiných osob, kterým umožnil tuto činnost v</w:t>
      </w:r>
      <w:r>
        <w:t> Předmětu nájmu</w:t>
      </w:r>
      <w:r w:rsidRPr="00360AD5">
        <w:t xml:space="preserve"> vykonávat či osob, kterým umožnil vstup do </w:t>
      </w:r>
      <w:r>
        <w:t>Předmětu nájmu</w:t>
      </w:r>
      <w:r w:rsidRPr="00360AD5">
        <w:t>.</w:t>
      </w:r>
      <w:r>
        <w:t xml:space="preserve"> V případě způsobení škody je Nájemce povinen zajistit odstranění škody anebo ji uhradit Pronajímateli v plné výši.</w:t>
      </w:r>
    </w:p>
    <w:p w:rsidR="009C2E70" w:rsidRPr="00360AD5" w:rsidRDefault="009C2E70" w:rsidP="00EF63E2">
      <w:pPr>
        <w:pStyle w:val="StylSmluv2"/>
      </w:pPr>
      <w:r w:rsidRPr="00360AD5">
        <w:t>Nájemce je povinen zdržet se jakýchkoliv jednání, která by rušila nebo mohla rušit výkon ostatních nájemních a užíva</w:t>
      </w:r>
      <w:r>
        <w:t>cích práv v objektu, v němž je P</w:t>
      </w:r>
      <w:r w:rsidRPr="00360AD5">
        <w:t>ředmět nájmu umístěn.</w:t>
      </w:r>
    </w:p>
    <w:p w:rsidR="009C2E70" w:rsidRPr="00360AD5" w:rsidRDefault="009C2E70" w:rsidP="00360AD5">
      <w:pPr>
        <w:pStyle w:val="StylSmluv2"/>
      </w:pPr>
      <w:r w:rsidRPr="00360AD5">
        <w:t>Nájemce není oprávněn zajišťovat si v </w:t>
      </w:r>
      <w:r>
        <w:t>Předmětu nájmu</w:t>
      </w:r>
      <w:r w:rsidRPr="00360AD5">
        <w:t xml:space="preserve"> gastronomický servis a je povinen zajistit splnění této povinnosti osobami, které se budou pohybovat v prostorách budovy za účelem účasti na jím pořádané</w:t>
      </w:r>
      <w:r>
        <w:t xml:space="preserve"> kulturní</w:t>
      </w:r>
      <w:r w:rsidRPr="00360AD5">
        <w:t xml:space="preserve"> akci v </w:t>
      </w:r>
      <w:r>
        <w:t>Předmětu nájmu. Zejména pak N</w:t>
      </w:r>
      <w:r w:rsidRPr="00360AD5">
        <w:t>ájemce není oprávněn vnášet do budovy žádné vlastní</w:t>
      </w:r>
      <w:r>
        <w:t xml:space="preserve"> gastronomické výrobky a nápoje</w:t>
      </w:r>
      <w:r w:rsidRPr="00360AD5">
        <w:t xml:space="preserve">. </w:t>
      </w:r>
    </w:p>
    <w:p w:rsidR="009C2E70" w:rsidRPr="00360AD5" w:rsidRDefault="009C2E70" w:rsidP="00360AD5">
      <w:pPr>
        <w:pStyle w:val="StylSmluv2"/>
      </w:pPr>
      <w:r w:rsidRPr="00360AD5">
        <w:t xml:space="preserve">Nájemce je povinen poučit hosty o tom, aby si do šaten neukládali cennosti, peníze apod. </w:t>
      </w:r>
    </w:p>
    <w:p w:rsidR="009C2E70" w:rsidRPr="00360AD5" w:rsidRDefault="009C2E70" w:rsidP="00360AD5">
      <w:pPr>
        <w:pStyle w:val="StylSmluv2"/>
      </w:pPr>
      <w:r w:rsidRPr="00360AD5">
        <w:t>Nájemce je povinen zajistit si na své náklady také likvidaci a třídění veškerých odpadů, které při provozování své činnosti v</w:t>
      </w:r>
      <w:r>
        <w:t> Předmětu nájmu</w:t>
      </w:r>
      <w:r w:rsidRPr="00360AD5">
        <w:t xml:space="preserve"> vyprodukuje, v souladu s příslušnými právními předpisy, s výjimkou likvidace komunálního odpadu, kterou zajistí </w:t>
      </w:r>
      <w:r>
        <w:t>P</w:t>
      </w:r>
      <w:r w:rsidRPr="00360AD5">
        <w:t xml:space="preserve">ronajímatel. </w:t>
      </w:r>
    </w:p>
    <w:p w:rsidR="009C2E70" w:rsidRPr="00360AD5" w:rsidRDefault="009C2E70" w:rsidP="00360AD5">
      <w:pPr>
        <w:pStyle w:val="StylSmluv2"/>
      </w:pPr>
      <w:r>
        <w:t>Nájemce je povinen uhradit Pronajímateli náklady, které P</w:t>
      </w:r>
      <w:r w:rsidRPr="00360AD5">
        <w:t>ronajímatel vynaloží v souvislosti s mimořádným výjezdem bezpečnostní agentury či planým poplachem v důsled</w:t>
      </w:r>
      <w:r>
        <w:t>ku nesplnění povinností N</w:t>
      </w:r>
      <w:r w:rsidRPr="00360AD5">
        <w:t xml:space="preserve">ájemce anebo </w:t>
      </w:r>
      <w:r>
        <w:t>nedbalostí, a to jak ze strany N</w:t>
      </w:r>
      <w:r w:rsidRPr="00360AD5">
        <w:t xml:space="preserve">ájemce, tak ze strany jeho hostů. </w:t>
      </w:r>
    </w:p>
    <w:p w:rsidR="009C2E70" w:rsidRPr="00360AD5" w:rsidRDefault="009C2E70" w:rsidP="00360AD5">
      <w:pPr>
        <w:pStyle w:val="StylSmluv2"/>
      </w:pPr>
      <w:r w:rsidRPr="00360AD5">
        <w:t xml:space="preserve">Nájemce je povinen dodržovat provozní řád </w:t>
      </w:r>
      <w:r>
        <w:t>B</w:t>
      </w:r>
      <w:r w:rsidRPr="00360AD5">
        <w:t>udovy.</w:t>
      </w:r>
    </w:p>
    <w:p w:rsidR="009C2E70" w:rsidRPr="00360AD5" w:rsidRDefault="009C2E70" w:rsidP="00360AD5">
      <w:pPr>
        <w:pStyle w:val="StylSmluv2"/>
      </w:pPr>
      <w:r>
        <w:lastRenderedPageBreak/>
        <w:t>Nájemce nesmí bez souhlasu P</w:t>
      </w:r>
      <w:r w:rsidRPr="00360AD5">
        <w:t xml:space="preserve">ronajímatele užívat </w:t>
      </w:r>
      <w:r>
        <w:t>Předmět nájmu</w:t>
      </w:r>
      <w:r w:rsidRPr="00360AD5">
        <w:t xml:space="preserve"> pro umístění propagačních materiálů apod.</w:t>
      </w:r>
    </w:p>
    <w:p w:rsidR="009C2E70" w:rsidRPr="00360AD5" w:rsidRDefault="009C2E70" w:rsidP="00360AD5">
      <w:pPr>
        <w:pStyle w:val="StylSmluv2"/>
      </w:pPr>
      <w:r w:rsidRPr="00360AD5">
        <w:t xml:space="preserve">Nájemce je povinen zajistit, aby nebyla překročena povolená kapacita osob v jednotlivých prostorách </w:t>
      </w:r>
      <w:r>
        <w:t xml:space="preserve">Předmětu nájmu </w:t>
      </w:r>
      <w:r w:rsidRPr="00360AD5">
        <w:t xml:space="preserve">uvedená v provozním řádu </w:t>
      </w:r>
      <w:r>
        <w:t>B</w:t>
      </w:r>
      <w:r w:rsidRPr="00360AD5">
        <w:t xml:space="preserve">udovy. </w:t>
      </w:r>
    </w:p>
    <w:p w:rsidR="009C2E70" w:rsidRDefault="009C2E70" w:rsidP="007310F3">
      <w:pPr>
        <w:pStyle w:val="StylSmluv2"/>
      </w:pPr>
      <w:r w:rsidRPr="00360AD5">
        <w:t>Nájemce se zavazuje k tomu, že jeho akce pořádaná v </w:t>
      </w:r>
      <w:r>
        <w:t>Předmětu nájmu</w:t>
      </w:r>
      <w:r w:rsidRPr="00360AD5">
        <w:t xml:space="preserve"> nebude propagována protiprávním způsobem, zejména nikoli rozhazováním letáků na veřejná prostranství, jejich rozmisťováním v prostorách veřejně přístupných provozoven bez souhlasu provozovatele, výlepem plakátů, letáků, upoutávek či symbolů svých akcí na veřejně prospěšná zařízení a plakátováním na libovolných plochách bez souhlasu vlastníka či jím sjednaného provozovatele, umísťováním upoutávek pod stěrače parkujících automobilů či jiným obdobným způsobem obtěžujícím občany města nebo nerespektujícím cizí vlastnická práva. Nájemce se zavazuje k odstranění všech následků neoprávněného výlepu plakátů upoutávajících na do</w:t>
      </w:r>
      <w:r>
        <w:t>tované akce na vlastní náklady.</w:t>
      </w:r>
    </w:p>
    <w:p w:rsidR="009C2E70" w:rsidRPr="001E6FA2" w:rsidRDefault="009C2E70" w:rsidP="00ED5D07">
      <w:pPr>
        <w:pStyle w:val="StylSmluv1"/>
        <w:rPr>
          <w:rFonts w:ascii="Calibri" w:hAnsi="Calibri"/>
        </w:rPr>
      </w:pPr>
      <w:r>
        <w:rPr>
          <w:rFonts w:ascii="Calibri" w:hAnsi="Calibri"/>
        </w:rPr>
        <w:br/>
      </w:r>
      <w:r w:rsidRPr="001E6FA2">
        <w:rPr>
          <w:rFonts w:ascii="Calibri" w:hAnsi="Calibri"/>
        </w:rPr>
        <w:t>Odpovědnost Nájemce</w:t>
      </w:r>
    </w:p>
    <w:p w:rsidR="009C2E70" w:rsidRPr="00C927E6" w:rsidRDefault="009C2E70" w:rsidP="00281423">
      <w:pPr>
        <w:pStyle w:val="StylSmluv2"/>
      </w:pPr>
      <w:r w:rsidRPr="00C927E6">
        <w:t xml:space="preserve">Nájemce se zavazuje Pronajímatele odškodnit a zprostit odpovědnosti za jakékoli ztráty, závazky z titulu odpovědnosti, náklady, nároky, škody, výdaje nebo požadavky (nebo úkony s nimi související), které Pronajímatel utrpí nebo které mu vzniknou či které budou proti němu uplatněny a které jsou vzhledem k účelu </w:t>
      </w:r>
      <w:r>
        <w:t>s</w:t>
      </w:r>
      <w:r w:rsidRPr="00C927E6">
        <w:t xml:space="preserve">mlouvy a záměru Pronajímatele účelně vynaložené, pokud takové ztráty, závazky z titulu odpovědnosti, náklady, nároky, škody, výdaje (včetně nákladů právního zastoupení) nebo požadavky vzniknou přímo nebo nepřímo z titulu nebo v souvislosti s </w:t>
      </w:r>
    </w:p>
    <w:p w:rsidR="009C2E70" w:rsidRPr="00783066" w:rsidRDefault="009C2E70" w:rsidP="00281423">
      <w:pPr>
        <w:pStyle w:val="StylSmmluv3"/>
        <w:spacing w:after="120"/>
      </w:pPr>
      <w:r w:rsidRPr="00783066">
        <w:t>jakýmkoli nesprávným, nepravdivým nebo zavádějícím prohlášením či ujištěním Nájemce uvedeným v této smlouvě nebo</w:t>
      </w:r>
    </w:p>
    <w:p w:rsidR="009C2E70" w:rsidRPr="00783066" w:rsidRDefault="009C2E70" w:rsidP="00281423">
      <w:pPr>
        <w:pStyle w:val="StylSmmluv3"/>
        <w:spacing w:after="120"/>
      </w:pPr>
      <w:r w:rsidRPr="00783066">
        <w:t>porušením jakéhokoli ujednání nebo závazku Nájemce stanoveného v této Smlouvě;</w:t>
      </w:r>
    </w:p>
    <w:p w:rsidR="009C2E70" w:rsidRPr="00783066" w:rsidRDefault="009C2E70" w:rsidP="007310F3">
      <w:pPr>
        <w:pStyle w:val="rove2"/>
        <w:numPr>
          <w:ilvl w:val="0"/>
          <w:numId w:val="0"/>
        </w:numPr>
        <w:ind w:left="567"/>
        <w:rPr>
          <w:sz w:val="22"/>
          <w:szCs w:val="22"/>
        </w:rPr>
      </w:pPr>
      <w:r w:rsidRPr="00783066">
        <w:rPr>
          <w:sz w:val="22"/>
          <w:szCs w:val="22"/>
        </w:rPr>
        <w:t>a Nájemce nahradí Pronajímateli veškeré náklady, poplatky, platby a výdaje, které jsou vzhledem k účelu smlouvy a záměru Pronajímatele účelně vynaložené,  a které Pronajímatel uhradí nebo které mu vzniknou v souvislosti s vedením jakéhokoli řízení nebo popírání jakéhokoli nároku nebo obhajobou či v souvislosti s vymáháním tohoto závazku Nájemce.</w:t>
      </w:r>
    </w:p>
    <w:p w:rsidR="009C2E70" w:rsidRDefault="009C2E70" w:rsidP="00C77CC8">
      <w:pPr>
        <w:pStyle w:val="StylSmluv1"/>
        <w:rPr>
          <w:rFonts w:ascii="Calibri" w:hAnsi="Calibri"/>
        </w:rPr>
      </w:pPr>
      <w:r>
        <w:rPr>
          <w:rFonts w:ascii="Calibri" w:hAnsi="Calibri"/>
        </w:rPr>
        <w:br/>
        <w:t>Smluvní pokuty</w:t>
      </w:r>
    </w:p>
    <w:p w:rsidR="009C2E70" w:rsidRDefault="009C2E70" w:rsidP="00C77CC8">
      <w:pPr>
        <w:pStyle w:val="StylSmluv2"/>
      </w:pPr>
      <w:r>
        <w:t>Poruší-li Nájemce jakoukoliv povinnost vyplývající mu z této smlouvy, zavazuje se zaplatit Pronajímateli smluvní pokutu ve výši 10.000 Kč za každý jednotlivý případ porušení povinnosti, a to i opakovaně. Splatnost smluvní pokuty se sjednává do 10 dnů ode dne jejího vyúčtování.</w:t>
      </w:r>
    </w:p>
    <w:p w:rsidR="009C2E70" w:rsidRDefault="009C2E70" w:rsidP="00C77CC8">
      <w:pPr>
        <w:pStyle w:val="StylSmluv2"/>
      </w:pPr>
      <w:r>
        <w:t>Pro případ prodlení s kteroukoliv platbou dle této smlouvy je Nájemce povinen uhradit Pronajímateli smluvní pokutu ve výši 0,5 % z dlužné částky za každý den prodlení.</w:t>
      </w:r>
    </w:p>
    <w:p w:rsidR="009C2E70" w:rsidRDefault="009C2E70" w:rsidP="00D03992">
      <w:pPr>
        <w:pStyle w:val="StylSmluv2"/>
      </w:pPr>
      <w:r>
        <w:t xml:space="preserve">Pro případ prodlení Nájemce s vyklizením a předáním Předmětu nájmu je Nájemce povinen uhradit Pronajímateli smluvní pokutu </w:t>
      </w:r>
      <w:r w:rsidRPr="00F0328A">
        <w:t>ve výši odpovídající nájemnému stanovenému ceníkem, který je součástí přílohy č. 1., přičemž smluvní pokuta náleží Nájemci za každou i jen započatou hodinu prodlení. Tuto smluvní pokutu je nájemce povinen zaplatit</w:t>
      </w:r>
      <w:r>
        <w:t xml:space="preserve"> Pronajímateli nejpozději do 10 dnů ode dne jejího vyúčtování. Pronajímatel je oprávněn započíst nájemcem již uhrazené platby (zálohy) na své pohledávky zejm. ze smluvní pokuty, které mu vzniknou vůči Nájemci na základě této smlouvy.</w:t>
      </w:r>
    </w:p>
    <w:p w:rsidR="009C2E70" w:rsidRDefault="009C2E70" w:rsidP="00C77CC8">
      <w:pPr>
        <w:pStyle w:val="StylSmluv2"/>
      </w:pPr>
      <w:r w:rsidRPr="00C77CC8">
        <w:t xml:space="preserve">Dojde-li k porušení povinnosti dle čl. </w:t>
      </w:r>
      <w:r>
        <w:t>1</w:t>
      </w:r>
      <w:r w:rsidR="00AC5F50">
        <w:t>5</w:t>
      </w:r>
      <w:r w:rsidRPr="00C77CC8">
        <w:t>.</w:t>
      </w:r>
      <w:r>
        <w:t>15</w:t>
      </w:r>
      <w:r w:rsidRPr="00C77CC8">
        <w:t xml:space="preserve">. této smlouvy v historickém centru města – městské památkové reservaci, nebo výlepem na nemovitost tvořící kulturní památku, nebo na veřejně prospěšná zařízení či prostředky městské hromadné dopravy, sjednává se smluvní pokuta ve výši 15.000 Kč, splatná do 10 dnů ode dne, v němž dojde k upozornění na porušení smluvní povinnosti. </w:t>
      </w:r>
      <w:r w:rsidRPr="00C77CC8">
        <w:lastRenderedPageBreak/>
        <w:t>Úhrada smluvní pokuty nezbavuje nájemce povinnosti hradit náklady na odstranění následků neoprávněného výlepu.</w:t>
      </w:r>
    </w:p>
    <w:p w:rsidR="009C2E70" w:rsidRDefault="009C2E70" w:rsidP="00EB1788">
      <w:pPr>
        <w:pStyle w:val="StylSmluv2"/>
      </w:pPr>
      <w:r w:rsidRPr="003D7446">
        <w:t xml:space="preserve">Ujednáními této Smlouvy o smluvních pokutách ani jejich zaplacením není dotčeno právo </w:t>
      </w:r>
      <w:r>
        <w:t>Pronajímatele na náhradu škody v plné výši.</w:t>
      </w:r>
    </w:p>
    <w:p w:rsidR="009C2E70" w:rsidRDefault="009C2E70" w:rsidP="006005B1">
      <w:pPr>
        <w:pStyle w:val="StylSmluv2"/>
        <w:numPr>
          <w:ilvl w:val="0"/>
          <w:numId w:val="0"/>
        </w:numPr>
      </w:pPr>
    </w:p>
    <w:p w:rsidR="009C2E70" w:rsidRDefault="009C2E70" w:rsidP="00281423">
      <w:pPr>
        <w:pStyle w:val="StylSmluv1"/>
        <w:rPr>
          <w:rFonts w:ascii="Calibri" w:hAnsi="Calibri"/>
        </w:rPr>
      </w:pPr>
      <w:r>
        <w:rPr>
          <w:rFonts w:ascii="Calibri" w:hAnsi="Calibri"/>
        </w:rPr>
        <w:br/>
        <w:t>Zvláštní ustanovení</w:t>
      </w:r>
    </w:p>
    <w:p w:rsidR="009C2E70" w:rsidRDefault="009C2E70" w:rsidP="00D35B85">
      <w:pPr>
        <w:pStyle w:val="StylSmluv2"/>
      </w:pPr>
      <w:r>
        <w:t xml:space="preserve">Nájemce je oprávněn vnést do Předmětu nájmu v rámci pořádané akce gastronomické výrobky a nápoje uvedené v písemné žádosti a schválené osobou určenou Pronajímatelem. </w:t>
      </w:r>
    </w:p>
    <w:p w:rsidR="009C2E70" w:rsidRDefault="009C2E70" w:rsidP="00D35B85">
      <w:pPr>
        <w:pStyle w:val="StylSmluv2"/>
      </w:pPr>
      <w:r>
        <w:t>Pronajímatel se zavazuje pro nájemce zajistit Předmětu nájmu zvláštní ozvučení, osvětlení apod., a to dle jeho podrobného soupisu technických podmínek a poskytnutí scénáře kulturní akce, včetně jmenného seznamu účinkujících. Rámcový požadavek je obsažen v příloze č. 3  této smlouvy. Podrobné informace je Nájemce povinen poskytnout Pronajímateli nejpozději 14 dní před zahájením kulturní akce. Neposkytnutí těchto informací zprošťuje Pronajímatele povinnosti dle tohoto článku.</w:t>
      </w:r>
    </w:p>
    <w:p w:rsidR="009C2E70" w:rsidRDefault="009C2E70" w:rsidP="00D35B85">
      <w:pPr>
        <w:pStyle w:val="StylSmluv2"/>
      </w:pPr>
      <w:r>
        <w:t>Nájemce je oprávněn použít po schválení požárním technikem v Předmětu nájmu pyrotechnické efekty uvedené v písemné žádosti doručené Pronajímateli před konáním kulturní akce.</w:t>
      </w:r>
    </w:p>
    <w:p w:rsidR="009C2E70" w:rsidRDefault="009C2E70" w:rsidP="00D35B85">
      <w:pPr>
        <w:pStyle w:val="StylSmluv2"/>
      </w:pPr>
      <w:r>
        <w:t>Pronajímatel se zavazuje zajistit výrobu a prodej vstupenek na kulturní akci pořádanou Nájemcem. Cena je součástí ceníku služeb Pronajímatele platném ke dni podpisu této smlouvy, s nímž nájemce souhlasí. V případě, že Pronajímatel zajistí a předá Nájemci vstupenky, je Nájemce povinen použít výhradně tyto vstupenky. Za prodej vstupenek pronajímatelem je účtována provize ve výši 10% z celkové tržby za prodané vstupenky + 21% DPH, není-li dohodnuto jinak.</w:t>
      </w:r>
    </w:p>
    <w:p w:rsidR="009C2E70" w:rsidRDefault="009C2E70" w:rsidP="006005B1">
      <w:pPr>
        <w:pStyle w:val="StylSmluv2"/>
      </w:pPr>
      <w:r>
        <w:t xml:space="preserve">Pronajímatel se zavazuje zajistit pro potřeby Nájemce služby pomocného personálu, techniků, bezpečnostní agentury a pořadatelské služby. Cena je součástí ceníku služeb Pronajímatele platném ke dni podpisu této smlouvy, s nímž byl Nájemce seznámen a vyjadřuje s ním souhlas. </w:t>
      </w:r>
    </w:p>
    <w:p w:rsidR="009C2E70" w:rsidRPr="001E6FA2" w:rsidRDefault="009C2E70" w:rsidP="00281423">
      <w:pPr>
        <w:pStyle w:val="StylSmluv1"/>
        <w:rPr>
          <w:rFonts w:ascii="Calibri" w:hAnsi="Calibri"/>
        </w:rPr>
      </w:pPr>
      <w:r>
        <w:rPr>
          <w:rFonts w:ascii="Calibri" w:hAnsi="Calibri"/>
        </w:rPr>
        <w:br/>
      </w:r>
      <w:r w:rsidRPr="001E6FA2">
        <w:rPr>
          <w:rFonts w:ascii="Calibri" w:hAnsi="Calibri"/>
        </w:rPr>
        <w:t>Doručování</w:t>
      </w:r>
    </w:p>
    <w:p w:rsidR="009C2E70" w:rsidRPr="00C927E6" w:rsidRDefault="009C2E70" w:rsidP="00BE1AEB">
      <w:pPr>
        <w:pStyle w:val="StylSmluv2"/>
      </w:pPr>
      <w:r w:rsidRPr="00C927E6">
        <w:t xml:space="preserve">Smluvní strany se dohodly, že v případě změny adresy pro doručování, budou písemně informovat o této skutečnosti bez zbytečného odkladu druhou smluvní stranu, do doby takového oznámení je účinné doručení písemnosti provedené na původní adresu doručování i na novou adresu doručování. </w:t>
      </w:r>
    </w:p>
    <w:p w:rsidR="009C2E70" w:rsidRPr="00C927E6" w:rsidRDefault="009C2E70" w:rsidP="00BE1AEB">
      <w:pPr>
        <w:pStyle w:val="StylSmluv2"/>
      </w:pPr>
      <w:r w:rsidRPr="00C927E6">
        <w:t>Veškeré listiny, které se doručují smluvním stranám, je třeba doručit osobně, doporučenou listovní zásilkou nebo prostřednictvím datových schránek.</w:t>
      </w:r>
    </w:p>
    <w:p w:rsidR="009C2E70" w:rsidRPr="00ED3394" w:rsidRDefault="009C2E70" w:rsidP="00BE1AEB">
      <w:pPr>
        <w:pStyle w:val="StylSmluv2"/>
      </w:pPr>
      <w:r w:rsidRPr="00ED3394">
        <w:t>Aniž by tím byly dotčeny další prostředky, kterými lze prokázat doručení, má se za to, že účinky doručení mezi smluvními stranami nastaly:</w:t>
      </w:r>
    </w:p>
    <w:p w:rsidR="009C2E70" w:rsidRPr="00ED3394" w:rsidRDefault="009C2E70" w:rsidP="00281423">
      <w:pPr>
        <w:pStyle w:val="StylSmmluv3"/>
        <w:spacing w:after="120"/>
      </w:pPr>
      <w:r w:rsidRPr="00ED3394">
        <w:t>při osobním doručování a při doručování prostřednictvím držitele poštovní licence nebo kurýrní služby:</w:t>
      </w:r>
    </w:p>
    <w:p w:rsidR="009C2E70" w:rsidRPr="00ED3394" w:rsidRDefault="009C2E70" w:rsidP="00E642DC">
      <w:pPr>
        <w:pStyle w:val="rove3"/>
        <w:numPr>
          <w:ilvl w:val="0"/>
          <w:numId w:val="4"/>
        </w:numPr>
        <w:rPr>
          <w:sz w:val="22"/>
          <w:szCs w:val="22"/>
        </w:rPr>
      </w:pPr>
      <w:r w:rsidRPr="00ED3394">
        <w:rPr>
          <w:sz w:val="22"/>
          <w:szCs w:val="22"/>
        </w:rPr>
        <w:t>okamžikem přijetí zásilky příjemcem nebo</w:t>
      </w:r>
    </w:p>
    <w:p w:rsidR="009C2E70" w:rsidRPr="00ED3394" w:rsidRDefault="009C2E70" w:rsidP="00E642DC">
      <w:pPr>
        <w:pStyle w:val="rove3"/>
        <w:numPr>
          <w:ilvl w:val="0"/>
          <w:numId w:val="4"/>
        </w:numPr>
        <w:rPr>
          <w:sz w:val="22"/>
          <w:szCs w:val="22"/>
        </w:rPr>
      </w:pPr>
      <w:r w:rsidRPr="00ED3394">
        <w:rPr>
          <w:sz w:val="22"/>
          <w:szCs w:val="22"/>
        </w:rPr>
        <w:t>okamžikem odmítnutí přijetí zásilky příjemcem nebo</w:t>
      </w:r>
    </w:p>
    <w:p w:rsidR="009C2E70" w:rsidRPr="00ED3394" w:rsidRDefault="009C2E70" w:rsidP="00E642DC">
      <w:pPr>
        <w:pStyle w:val="rove3"/>
        <w:numPr>
          <w:ilvl w:val="0"/>
          <w:numId w:val="4"/>
        </w:numPr>
        <w:rPr>
          <w:sz w:val="22"/>
          <w:szCs w:val="22"/>
        </w:rPr>
      </w:pPr>
      <w:r w:rsidRPr="00ED3394">
        <w:rPr>
          <w:sz w:val="22"/>
          <w:szCs w:val="22"/>
        </w:rPr>
        <w:t>okamžikem uložení zásilky na základě výzvy k převzetí zásilky</w:t>
      </w:r>
    </w:p>
    <w:p w:rsidR="009C2E70" w:rsidRPr="00ED3394" w:rsidRDefault="009C2E70" w:rsidP="00C927E6">
      <w:pPr>
        <w:pStyle w:val="rove3"/>
        <w:numPr>
          <w:ilvl w:val="0"/>
          <w:numId w:val="0"/>
        </w:numPr>
        <w:ind w:left="1353"/>
        <w:rPr>
          <w:sz w:val="22"/>
          <w:szCs w:val="22"/>
        </w:rPr>
      </w:pPr>
    </w:p>
    <w:p w:rsidR="009C2E70" w:rsidRPr="00ED3394" w:rsidRDefault="009C2E70" w:rsidP="00281423">
      <w:pPr>
        <w:pStyle w:val="StylSmmluv3"/>
        <w:spacing w:after="120"/>
      </w:pPr>
      <w:r w:rsidRPr="00ED3394">
        <w:t>při doručování datovou schránkou</w:t>
      </w:r>
    </w:p>
    <w:p w:rsidR="009C2E70" w:rsidRDefault="009C2E70" w:rsidP="006005B1">
      <w:pPr>
        <w:pStyle w:val="rove2"/>
        <w:numPr>
          <w:ilvl w:val="0"/>
          <w:numId w:val="5"/>
        </w:numPr>
        <w:tabs>
          <w:tab w:val="left" w:pos="708"/>
        </w:tabs>
        <w:rPr>
          <w:sz w:val="22"/>
          <w:szCs w:val="22"/>
        </w:rPr>
      </w:pPr>
      <w:r w:rsidRPr="00ED3394">
        <w:rPr>
          <w:sz w:val="22"/>
          <w:szCs w:val="22"/>
        </w:rPr>
        <w:t>okamžikem, který je stanoven jako okamžik doručení platnou právní úpravou.</w:t>
      </w:r>
    </w:p>
    <w:p w:rsidR="00AC616C" w:rsidRPr="00ED3394" w:rsidRDefault="00AC616C" w:rsidP="00AC616C">
      <w:pPr>
        <w:pStyle w:val="rove2"/>
        <w:numPr>
          <w:ilvl w:val="0"/>
          <w:numId w:val="0"/>
        </w:numPr>
        <w:tabs>
          <w:tab w:val="left" w:pos="708"/>
        </w:tabs>
        <w:ind w:left="1353"/>
        <w:rPr>
          <w:sz w:val="22"/>
          <w:szCs w:val="22"/>
        </w:rPr>
      </w:pPr>
    </w:p>
    <w:p w:rsidR="009C2E70" w:rsidRPr="00C927E6" w:rsidRDefault="009C2E70" w:rsidP="00172960">
      <w:pPr>
        <w:pStyle w:val="StylSmluv1"/>
        <w:rPr>
          <w:rFonts w:ascii="Calibri" w:hAnsi="Calibri"/>
        </w:rPr>
      </w:pPr>
      <w:r w:rsidRPr="00C927E6">
        <w:rPr>
          <w:rFonts w:ascii="Calibri" w:hAnsi="Calibri"/>
        </w:rPr>
        <w:lastRenderedPageBreak/>
        <w:br/>
        <w:t>Závěrečná ustanovení</w:t>
      </w:r>
    </w:p>
    <w:p w:rsidR="009C2E70" w:rsidRPr="00C927E6" w:rsidRDefault="009C2E70" w:rsidP="00DA5CC0">
      <w:pPr>
        <w:pStyle w:val="StylSmluv2"/>
        <w:spacing w:after="120"/>
      </w:pPr>
      <w:r w:rsidRPr="00C927E6">
        <w:t xml:space="preserve">Nedílnou součástí této smlouvy jsou </w:t>
      </w:r>
    </w:p>
    <w:p w:rsidR="009C2E70" w:rsidRDefault="009C2E70" w:rsidP="00F87D0C">
      <w:pPr>
        <w:pStyle w:val="StylSmmluv3"/>
        <w:spacing w:after="120"/>
      </w:pPr>
      <w:r w:rsidRPr="00C927E6">
        <w:t xml:space="preserve">příloha č. 1 – </w:t>
      </w:r>
      <w:r>
        <w:t>Specifikace Předmětu nájmu a určení dalších služeb nezahrnutých v</w:t>
      </w:r>
      <w:r w:rsidR="00ED3394">
        <w:t> </w:t>
      </w:r>
      <w:r>
        <w:t>nájemném</w:t>
      </w:r>
    </w:p>
    <w:p w:rsidR="00ED3394" w:rsidRPr="00C927E6" w:rsidRDefault="00ED3394" w:rsidP="00F87D0C">
      <w:pPr>
        <w:pStyle w:val="StylSmmluv3"/>
        <w:spacing w:after="120"/>
      </w:pPr>
      <w:r>
        <w:t>příloha č. 2 – Provozní řád Pekla</w:t>
      </w:r>
    </w:p>
    <w:p w:rsidR="009C2E70" w:rsidRDefault="009C2E70" w:rsidP="00DA5CC0">
      <w:pPr>
        <w:pStyle w:val="StylSmluv2"/>
        <w:spacing w:before="0" w:after="120"/>
      </w:pPr>
      <w:r>
        <w:t>Nájemce dává svůj souhlas s poskytnutím této smlouvy třetím subjektům, zejména statutárnímu městu Plzeň a jím zřízeným subjektům.</w:t>
      </w:r>
    </w:p>
    <w:p w:rsidR="009C2E70" w:rsidRPr="00842025" w:rsidRDefault="009C2E70" w:rsidP="00792481">
      <w:pPr>
        <w:pStyle w:val="StylSmluv2"/>
      </w:pPr>
      <w:r w:rsidRPr="00842025">
        <w:t xml:space="preserve">V případě, že některé ustanovení této smlouvy se stane neplatné, neúčinné či nevykonatelné, nemá tato skutečnost vliv na platnost, účinnost či vykonavatelnost dalších ustanovení. Smluvní strany se zavazují neplatná, neúčinná či nevykonatelná ustanovení nahradit právně relevantními tak, aby byl obsah této smlouvy ve stejném smyslu zachován. </w:t>
      </w:r>
    </w:p>
    <w:p w:rsidR="009C2E70" w:rsidRDefault="009C2E70" w:rsidP="0056013A">
      <w:pPr>
        <w:pStyle w:val="StylSmluv2"/>
        <w:spacing w:after="120"/>
      </w:pPr>
      <w:r w:rsidRPr="0015257C">
        <w:t>V souladu s </w:t>
      </w:r>
      <w:proofErr w:type="spellStart"/>
      <w:r w:rsidRPr="0015257C">
        <w:t>ust</w:t>
      </w:r>
      <w:proofErr w:type="spellEnd"/>
      <w:r w:rsidRPr="0015257C">
        <w:t xml:space="preserve">. § 630 odst. 1 OZ si smluvní strany sjednávají promlčecí dobu ve vztahu k veškerým právům přímo či odvozeně souvisejícím s touto smlouvou v délce </w:t>
      </w:r>
      <w:r>
        <w:t>pěti</w:t>
      </w:r>
      <w:r w:rsidRPr="0015257C">
        <w:t xml:space="preserve"> (5) let ode dne, kdy počala promlčecí doba plynout.</w:t>
      </w:r>
    </w:p>
    <w:p w:rsidR="009C2E70" w:rsidRPr="0015257C" w:rsidRDefault="009C2E70" w:rsidP="0056013A">
      <w:pPr>
        <w:pStyle w:val="StylSmluv2"/>
        <w:spacing w:after="120"/>
      </w:pPr>
      <w:r w:rsidRPr="0015257C">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w:t>
      </w:r>
      <w:r>
        <w:t>h předpisů o věcné příslušnosti</w:t>
      </w:r>
      <w:r w:rsidRPr="0015257C">
        <w:t>.</w:t>
      </w:r>
    </w:p>
    <w:p w:rsidR="009C2E70" w:rsidRDefault="009C2E70" w:rsidP="0056013A">
      <w:pPr>
        <w:pStyle w:val="StylSmluv2"/>
        <w:spacing w:after="120"/>
      </w:pPr>
      <w:r w:rsidRPr="0015257C">
        <w:t>Jakékoliv změny této smlouvy jsou možné pouze v písemné formě na základě písemných oboustranně odsouhlasených dodatků podepsaných oběma smluvními stranami.</w:t>
      </w:r>
    </w:p>
    <w:p w:rsidR="009C2E70" w:rsidRPr="0015257C" w:rsidRDefault="009C2E70" w:rsidP="0056013A">
      <w:pPr>
        <w:pStyle w:val="StylSmluv2"/>
        <w:spacing w:after="120"/>
      </w:pPr>
      <w:r w:rsidRPr="0015257C">
        <w:t xml:space="preserve">Tato smlouva a vztahy z ní vyplývající se řídí českým právním řádem, zejména ustanoveními zák. č. 89/2012 Sb., občanského zákoníku v platném znění. </w:t>
      </w:r>
    </w:p>
    <w:p w:rsidR="00FA4469" w:rsidRDefault="009C2E70" w:rsidP="00ED3394">
      <w:pPr>
        <w:pStyle w:val="StylSmluv2"/>
        <w:spacing w:before="0" w:after="120"/>
      </w:pPr>
      <w:r w:rsidRPr="00C927E6">
        <w:t xml:space="preserve">Tato smlouva je vyhotovena ve </w:t>
      </w:r>
      <w:r w:rsidR="00FA4469">
        <w:t>třech</w:t>
      </w:r>
      <w:r w:rsidRPr="00C927E6">
        <w:t xml:space="preserve"> výtiscích, </w:t>
      </w:r>
      <w:r w:rsidR="00FA4469">
        <w:t>nájemce obdrží jeden výtisk, pronajímatel obdrží dva výtisky.</w:t>
      </w:r>
    </w:p>
    <w:p w:rsidR="00675B66" w:rsidRDefault="009C2E70" w:rsidP="00B17D9B">
      <w:pPr>
        <w:pStyle w:val="StylSmluv2"/>
        <w:spacing w:after="120"/>
      </w:pPr>
      <w:r w:rsidRPr="0015257C">
        <w:t>Smluvní strany výslovně prohlašují, že smlouva byla sepsána dle jejich svobodné, skutečné a vážné vůle. Smluvní strany shodně uvádějí, že se s jejím obsahem seznámily a souhlasí s ním.</w:t>
      </w:r>
      <w:r>
        <w:t xml:space="preserve"> </w:t>
      </w:r>
      <w:r w:rsidRPr="0015257C">
        <w:t>Smlouvu uzavírají svobodně a vážně, prosti nátlaku, tísně či nápadně nevýhodných podmínek, na důkaz čehož připojují níže své vlastnoruční podpisy.</w:t>
      </w:r>
    </w:p>
    <w:p w:rsidR="009C2E70" w:rsidRPr="00C927E6" w:rsidRDefault="009C2E70" w:rsidP="00557326">
      <w:pPr>
        <w:pStyle w:val="StylSmluv2"/>
        <w:numPr>
          <w:ilvl w:val="0"/>
          <w:numId w:val="0"/>
        </w:numPr>
        <w:spacing w:before="480"/>
      </w:pPr>
      <w:r w:rsidRPr="00C927E6">
        <w:t xml:space="preserve">V </w:t>
      </w:r>
      <w:r>
        <w:t>Plzni</w:t>
      </w:r>
      <w:r w:rsidRPr="00C927E6">
        <w:t xml:space="preserve"> dne </w:t>
      </w:r>
      <w:r w:rsidR="00395E14">
        <w:t xml:space="preserve">6. 10. 2017  </w:t>
      </w:r>
      <w:r w:rsidR="00B17D9B">
        <w:t xml:space="preserve">                 </w:t>
      </w:r>
    </w:p>
    <w:p w:rsidR="009C2E70" w:rsidRDefault="009C2E70" w:rsidP="0053036F">
      <w:pPr>
        <w:spacing w:after="0" w:line="240" w:lineRule="auto"/>
        <w:ind w:left="142" w:hanging="142"/>
        <w:jc w:val="both"/>
        <w:rPr>
          <w:b/>
        </w:rPr>
      </w:pPr>
    </w:p>
    <w:p w:rsidR="009C2E70" w:rsidRDefault="009C2E70" w:rsidP="0053036F">
      <w:pPr>
        <w:spacing w:after="0" w:line="240" w:lineRule="auto"/>
        <w:ind w:left="142" w:hanging="142"/>
        <w:jc w:val="both"/>
        <w:rPr>
          <w:b/>
        </w:rPr>
      </w:pPr>
    </w:p>
    <w:p w:rsidR="009C2E70" w:rsidRPr="003D67DA" w:rsidRDefault="009C2E70" w:rsidP="00B17D9B">
      <w:pPr>
        <w:spacing w:after="0" w:line="240" w:lineRule="auto"/>
        <w:ind w:left="142" w:hanging="142"/>
        <w:jc w:val="both"/>
        <w:rPr>
          <w:b/>
        </w:rPr>
      </w:pPr>
      <w:r w:rsidRPr="003D67DA">
        <w:rPr>
          <w:b/>
        </w:rPr>
        <w:t xml:space="preserve">Plzeň 2015, </w:t>
      </w:r>
      <w:r w:rsidR="00B17D9B">
        <w:rPr>
          <w:b/>
        </w:rPr>
        <w:t>zapsaný ústav</w:t>
      </w:r>
    </w:p>
    <w:p w:rsidR="009C2E70" w:rsidRPr="00C927E6" w:rsidRDefault="009C2E70" w:rsidP="00557326">
      <w:pPr>
        <w:spacing w:before="720" w:after="0" w:line="240" w:lineRule="auto"/>
        <w:ind w:left="142"/>
        <w:jc w:val="both"/>
      </w:pPr>
      <w:r w:rsidRPr="00C927E6">
        <w:t>________________________</w:t>
      </w:r>
      <w:r>
        <w:t>______</w:t>
      </w:r>
      <w:r w:rsidRPr="00C927E6">
        <w:tab/>
      </w:r>
      <w:r w:rsidRPr="00C927E6">
        <w:tab/>
      </w:r>
      <w:r>
        <w:tab/>
      </w:r>
      <w:r>
        <w:tab/>
        <w:t xml:space="preserve">      </w:t>
      </w:r>
      <w:r w:rsidRPr="00C927E6">
        <w:t>___</w:t>
      </w:r>
      <w:r>
        <w:t>____</w:t>
      </w:r>
      <w:r w:rsidRPr="00C927E6">
        <w:t>_____________________</w:t>
      </w:r>
    </w:p>
    <w:p w:rsidR="009C2E70" w:rsidRPr="0053036F" w:rsidRDefault="009C2E70" w:rsidP="0053036F">
      <w:pPr>
        <w:spacing w:after="0" w:line="240" w:lineRule="auto"/>
        <w:ind w:left="142"/>
        <w:jc w:val="both"/>
      </w:pPr>
      <w:r>
        <w:rPr>
          <w:b/>
        </w:rPr>
        <w:t>Václava Sporková, ředitelka KD Peklo</w:t>
      </w:r>
      <w:r>
        <w:tab/>
      </w:r>
      <w:r w:rsidRPr="00C927E6">
        <w:tab/>
      </w:r>
      <w:r w:rsidRPr="00C927E6">
        <w:tab/>
      </w:r>
      <w:r w:rsidRPr="00C927E6">
        <w:tab/>
      </w:r>
      <w:r w:rsidR="00FA4469">
        <w:t xml:space="preserve">                   </w:t>
      </w:r>
      <w:r w:rsidR="00ED3394">
        <w:t xml:space="preserve">     </w:t>
      </w:r>
      <w:r w:rsidR="00B17D9B">
        <w:t xml:space="preserve">     Pavel </w:t>
      </w:r>
      <w:proofErr w:type="spellStart"/>
      <w:r w:rsidR="00B17D9B">
        <w:t>Razým</w:t>
      </w:r>
      <w:proofErr w:type="spellEnd"/>
      <w:r w:rsidR="00B17D9B">
        <w:t xml:space="preserve">       </w:t>
      </w:r>
      <w:r w:rsidR="00144D5C">
        <w:t xml:space="preserve">    </w:t>
      </w:r>
      <w:r w:rsidR="00ED3394">
        <w:t xml:space="preserve">       </w:t>
      </w:r>
    </w:p>
    <w:p w:rsidR="00FC2FF5" w:rsidRDefault="009C2E70" w:rsidP="00AC616C">
      <w:pPr>
        <w:spacing w:after="0" w:line="240" w:lineRule="auto"/>
        <w:ind w:left="142" w:firstLine="566"/>
        <w:jc w:val="both"/>
      </w:pPr>
      <w:r>
        <w:t xml:space="preserve">    Pronajímatel</w:t>
      </w:r>
      <w:r>
        <w:tab/>
      </w:r>
      <w:r>
        <w:tab/>
      </w:r>
      <w:r>
        <w:tab/>
      </w:r>
      <w:r>
        <w:tab/>
      </w:r>
      <w:r>
        <w:tab/>
      </w:r>
      <w:r>
        <w:tab/>
      </w:r>
      <w:r>
        <w:tab/>
        <w:t xml:space="preserve">                 Nájemce</w:t>
      </w:r>
    </w:p>
    <w:p w:rsidR="00AC616C" w:rsidRDefault="00AC616C" w:rsidP="00AC616C">
      <w:pPr>
        <w:spacing w:after="0" w:line="240" w:lineRule="auto"/>
        <w:ind w:left="142" w:firstLine="566"/>
        <w:jc w:val="both"/>
      </w:pPr>
    </w:p>
    <w:p w:rsidR="00AC616C" w:rsidRDefault="00AC616C" w:rsidP="00024907">
      <w:pPr>
        <w:spacing w:after="0" w:line="240" w:lineRule="auto"/>
        <w:jc w:val="both"/>
      </w:pPr>
    </w:p>
    <w:p w:rsidR="00AC616C" w:rsidRDefault="00AC616C" w:rsidP="00AC616C">
      <w:pPr>
        <w:spacing w:after="0" w:line="240" w:lineRule="auto"/>
        <w:ind w:left="142" w:firstLine="566"/>
        <w:jc w:val="both"/>
      </w:pPr>
    </w:p>
    <w:p w:rsidR="00AC616C" w:rsidRPr="00AC616C" w:rsidRDefault="00AC616C" w:rsidP="00AC616C">
      <w:pPr>
        <w:spacing w:after="0" w:line="240" w:lineRule="auto"/>
        <w:ind w:left="142" w:firstLine="566"/>
        <w:jc w:val="both"/>
      </w:pPr>
    </w:p>
    <w:p w:rsidR="00B17D9B" w:rsidRDefault="00B17D9B" w:rsidP="00AC5F50">
      <w:pPr>
        <w:ind w:left="6372" w:firstLine="708"/>
        <w:rPr>
          <w:rFonts w:ascii="Arial" w:hAnsi="Arial" w:cs="Arial"/>
          <w:b/>
          <w:bCs/>
        </w:rPr>
      </w:pPr>
    </w:p>
    <w:p w:rsidR="00B17D9B" w:rsidRDefault="00B17D9B" w:rsidP="00AC5F50">
      <w:pPr>
        <w:ind w:left="6372" w:firstLine="708"/>
        <w:rPr>
          <w:rFonts w:ascii="Arial" w:hAnsi="Arial" w:cs="Arial"/>
          <w:b/>
          <w:bCs/>
        </w:rPr>
      </w:pPr>
    </w:p>
    <w:p w:rsidR="00AC5F50" w:rsidRDefault="00AC5F50" w:rsidP="00AC5F50">
      <w:pPr>
        <w:ind w:left="6372" w:firstLine="708"/>
        <w:rPr>
          <w:rFonts w:ascii="Arial" w:hAnsi="Arial" w:cs="Arial"/>
          <w:b/>
          <w:bCs/>
        </w:rPr>
      </w:pPr>
      <w:r>
        <w:rPr>
          <w:rFonts w:ascii="Arial" w:hAnsi="Arial" w:cs="Arial"/>
          <w:b/>
          <w:bCs/>
        </w:rPr>
        <w:lastRenderedPageBreak/>
        <w:t>PŘÍLOHA Č. 1</w:t>
      </w:r>
    </w:p>
    <w:p w:rsidR="00AC5F50" w:rsidRDefault="00F66F99" w:rsidP="00AC5F50">
      <w:pPr>
        <w:rPr>
          <w:rFonts w:ascii="Arial" w:hAnsi="Arial" w:cs="Arial"/>
          <w:b/>
          <w:bCs/>
        </w:rPr>
      </w:pPr>
      <w:r>
        <w:rPr>
          <w:rFonts w:ascii="Arial" w:hAnsi="Arial" w:cs="Arial"/>
          <w:b/>
          <w:bCs/>
        </w:rPr>
        <w:t xml:space="preserve">  </w:t>
      </w:r>
      <w:r w:rsidR="00B17D9B">
        <w:rPr>
          <w:rFonts w:ascii="Arial" w:hAnsi="Arial" w:cs="Arial"/>
          <w:b/>
          <w:bCs/>
        </w:rPr>
        <w:t xml:space="preserve"> K</w:t>
      </w:r>
      <w:r w:rsidR="00AC5F50">
        <w:rPr>
          <w:rFonts w:ascii="Arial" w:hAnsi="Arial" w:cs="Arial"/>
          <w:b/>
          <w:bCs/>
        </w:rPr>
        <w:t>ALKULACE</w:t>
      </w:r>
    </w:p>
    <w:p w:rsidR="00B17D9B" w:rsidRDefault="00B17D9B" w:rsidP="00B17D9B">
      <w:pPr>
        <w:ind w:left="-180"/>
        <w:rPr>
          <w:rFonts w:ascii="Arial" w:hAnsi="Arial" w:cs="Arial"/>
        </w:rPr>
      </w:pPr>
      <w:r>
        <w:rPr>
          <w:rFonts w:ascii="Arial" w:hAnsi="Arial" w:cs="Arial"/>
        </w:rPr>
        <w:t xml:space="preserve">      Akce:  Halloween</w:t>
      </w:r>
      <w:r w:rsidR="00395E14">
        <w:rPr>
          <w:rFonts w:ascii="Arial" w:hAnsi="Arial" w:cs="Arial"/>
        </w:rPr>
        <w:t xml:space="preserve"> in Hell</w:t>
      </w:r>
    </w:p>
    <w:p w:rsidR="00B17D9B" w:rsidRPr="00B17D9B" w:rsidRDefault="00B17D9B" w:rsidP="00B17D9B">
      <w:pPr>
        <w:ind w:left="-180"/>
        <w:rPr>
          <w:rFonts w:ascii="Arial" w:hAnsi="Arial" w:cs="Arial"/>
        </w:rPr>
      </w:pPr>
      <w:r>
        <w:rPr>
          <w:rFonts w:ascii="Arial" w:hAnsi="Arial" w:cs="Arial"/>
        </w:rPr>
        <w:tab/>
        <w:t xml:space="preserve">   Datum: 2</w:t>
      </w:r>
      <w:r w:rsidR="00395E14">
        <w:rPr>
          <w:rFonts w:ascii="Arial" w:hAnsi="Arial" w:cs="Arial"/>
        </w:rPr>
        <w:t>8</w:t>
      </w:r>
      <w:r>
        <w:rPr>
          <w:rFonts w:ascii="Arial" w:hAnsi="Arial" w:cs="Arial"/>
        </w:rPr>
        <w:t>. 10. 201</w:t>
      </w:r>
      <w:r w:rsidR="00395E14">
        <w:rPr>
          <w:rFonts w:ascii="Arial" w:hAnsi="Arial" w:cs="Arial"/>
        </w:rPr>
        <w:t>7</w:t>
      </w:r>
      <w:r>
        <w:rPr>
          <w:rFonts w:ascii="Arial" w:hAnsi="Arial" w:cs="Arial"/>
        </w:rPr>
        <w:t xml:space="preserve">  (1</w:t>
      </w:r>
      <w:r w:rsidR="00395E14">
        <w:rPr>
          <w:rFonts w:ascii="Arial" w:hAnsi="Arial" w:cs="Arial"/>
        </w:rPr>
        <w:t>2.00</w:t>
      </w:r>
      <w:r>
        <w:rPr>
          <w:rFonts w:ascii="Arial" w:hAnsi="Arial" w:cs="Arial"/>
        </w:rPr>
        <w:t>-0</w:t>
      </w:r>
      <w:r w:rsidR="00395E14">
        <w:rPr>
          <w:rFonts w:ascii="Arial" w:hAnsi="Arial" w:cs="Arial"/>
        </w:rPr>
        <w:t>6.00</w:t>
      </w:r>
      <w:r>
        <w:rPr>
          <w:rFonts w:ascii="Arial" w:hAnsi="Arial" w:cs="Arial"/>
        </w:rPr>
        <w:t>, akce od 20.00-05.00 hod.)</w:t>
      </w:r>
    </w:p>
    <w:tbl>
      <w:tblPr>
        <w:tblW w:w="10080" w:type="dxa"/>
        <w:tblInd w:w="-15"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1440"/>
        <w:gridCol w:w="2160"/>
        <w:gridCol w:w="900"/>
        <w:gridCol w:w="1620"/>
        <w:gridCol w:w="900"/>
        <w:gridCol w:w="1620"/>
        <w:gridCol w:w="1440"/>
      </w:tblGrid>
      <w:tr w:rsidR="00B17D9B" w:rsidTr="00443B6F">
        <w:tc>
          <w:tcPr>
            <w:tcW w:w="1440" w:type="dxa"/>
            <w:tcBorders>
              <w:top w:val="double" w:sz="4" w:space="0" w:color="auto"/>
              <w:left w:val="double" w:sz="4" w:space="0" w:color="auto"/>
              <w:bottom w:val="single" w:sz="6" w:space="0" w:color="000000"/>
              <w:right w:val="single" w:sz="6" w:space="0" w:color="000000"/>
            </w:tcBorders>
          </w:tcPr>
          <w:p w:rsidR="00B17D9B" w:rsidRDefault="00B17D9B" w:rsidP="00B17D9B">
            <w:pPr>
              <w:spacing w:after="0" w:line="240" w:lineRule="auto"/>
              <w:rPr>
                <w:rFonts w:ascii="Arial" w:hAnsi="Arial" w:cs="Arial"/>
                <w:b/>
                <w:bCs/>
              </w:rPr>
            </w:pPr>
          </w:p>
        </w:tc>
        <w:tc>
          <w:tcPr>
            <w:tcW w:w="2160" w:type="dxa"/>
            <w:tcBorders>
              <w:top w:val="double" w:sz="4" w:space="0" w:color="auto"/>
              <w:left w:val="single" w:sz="6" w:space="0" w:color="000000"/>
              <w:bottom w:val="single" w:sz="6" w:space="0" w:color="000000"/>
              <w:right w:val="single" w:sz="6" w:space="0" w:color="000000"/>
            </w:tcBorders>
          </w:tcPr>
          <w:p w:rsidR="00B17D9B" w:rsidRDefault="00B17D9B" w:rsidP="00B17D9B">
            <w:pPr>
              <w:pStyle w:val="Zpat"/>
              <w:tabs>
                <w:tab w:val="clear" w:pos="4536"/>
                <w:tab w:val="clear" w:pos="9072"/>
              </w:tabs>
              <w:rPr>
                <w:rFonts w:ascii="Arial" w:eastAsia="Arial Unicode MS" w:hAnsi="Arial" w:cs="Arial"/>
                <w:bCs/>
              </w:rPr>
            </w:pPr>
          </w:p>
        </w:tc>
        <w:tc>
          <w:tcPr>
            <w:tcW w:w="900" w:type="dxa"/>
            <w:tcBorders>
              <w:top w:val="double" w:sz="4" w:space="0" w:color="auto"/>
              <w:left w:val="single" w:sz="6" w:space="0" w:color="000000"/>
              <w:bottom w:val="single" w:sz="6" w:space="0" w:color="000000"/>
              <w:right w:val="single" w:sz="6" w:space="0" w:color="000000"/>
            </w:tcBorders>
            <w:vAlign w:val="center"/>
          </w:tcPr>
          <w:p w:rsidR="00B17D9B" w:rsidRDefault="00B17D9B" w:rsidP="00B17D9B">
            <w:pPr>
              <w:spacing w:after="0" w:line="240" w:lineRule="auto"/>
              <w:jc w:val="center"/>
              <w:rPr>
                <w:rFonts w:ascii="Arial" w:eastAsia="Arial Unicode MS" w:hAnsi="Arial" w:cs="Arial"/>
                <w:b/>
                <w:bCs/>
              </w:rPr>
            </w:pPr>
            <w:r>
              <w:rPr>
                <w:rFonts w:ascii="Arial" w:hAnsi="Arial" w:cs="Arial"/>
                <w:b/>
                <w:bCs/>
              </w:rPr>
              <w:t>Počet</w:t>
            </w:r>
          </w:p>
          <w:p w:rsidR="00B17D9B" w:rsidRDefault="00B17D9B" w:rsidP="00B17D9B">
            <w:pPr>
              <w:spacing w:after="0" w:line="240" w:lineRule="auto"/>
              <w:jc w:val="center"/>
              <w:rPr>
                <w:rFonts w:ascii="Arial" w:hAnsi="Arial" w:cs="Arial"/>
                <w:b/>
                <w:bCs/>
              </w:rPr>
            </w:pPr>
            <w:r>
              <w:rPr>
                <w:rFonts w:ascii="Arial" w:hAnsi="Arial" w:cs="Arial"/>
                <w:b/>
                <w:bCs/>
              </w:rPr>
              <w:t>osob</w:t>
            </w:r>
          </w:p>
        </w:tc>
        <w:tc>
          <w:tcPr>
            <w:tcW w:w="1620" w:type="dxa"/>
            <w:tcBorders>
              <w:top w:val="double" w:sz="4" w:space="0" w:color="auto"/>
              <w:left w:val="single" w:sz="6" w:space="0" w:color="000000"/>
              <w:bottom w:val="single" w:sz="6" w:space="0" w:color="000000"/>
              <w:right w:val="single" w:sz="6" w:space="0" w:color="000000"/>
            </w:tcBorders>
            <w:vAlign w:val="center"/>
          </w:tcPr>
          <w:p w:rsidR="00B17D9B" w:rsidRDefault="00B17D9B" w:rsidP="00B17D9B">
            <w:pPr>
              <w:spacing w:after="0" w:line="240" w:lineRule="auto"/>
              <w:jc w:val="center"/>
              <w:rPr>
                <w:rFonts w:ascii="Arial" w:eastAsia="Arial Unicode MS" w:hAnsi="Arial" w:cs="Arial"/>
                <w:b/>
                <w:bCs/>
              </w:rPr>
            </w:pPr>
            <w:r>
              <w:rPr>
                <w:rFonts w:ascii="Arial" w:hAnsi="Arial" w:cs="Arial"/>
                <w:b/>
                <w:bCs/>
              </w:rPr>
              <w:t>Od - do</w:t>
            </w:r>
          </w:p>
        </w:tc>
        <w:tc>
          <w:tcPr>
            <w:tcW w:w="900" w:type="dxa"/>
            <w:tcBorders>
              <w:top w:val="double" w:sz="4" w:space="0" w:color="auto"/>
              <w:left w:val="single" w:sz="6" w:space="0" w:color="000000"/>
              <w:bottom w:val="single" w:sz="6" w:space="0" w:color="000000"/>
              <w:right w:val="single" w:sz="6" w:space="0" w:color="000000"/>
            </w:tcBorders>
            <w:vAlign w:val="center"/>
          </w:tcPr>
          <w:p w:rsidR="00B17D9B" w:rsidRDefault="00B17D9B" w:rsidP="00B17D9B">
            <w:pPr>
              <w:spacing w:after="0" w:line="240" w:lineRule="auto"/>
              <w:jc w:val="center"/>
              <w:rPr>
                <w:rFonts w:ascii="Arial" w:eastAsia="Arial Unicode MS" w:hAnsi="Arial" w:cs="Arial"/>
                <w:b/>
                <w:bCs/>
              </w:rPr>
            </w:pPr>
            <w:r>
              <w:rPr>
                <w:rFonts w:ascii="Arial" w:hAnsi="Arial" w:cs="Arial"/>
                <w:b/>
                <w:bCs/>
              </w:rPr>
              <w:t>Počet</w:t>
            </w:r>
          </w:p>
          <w:p w:rsidR="00B17D9B" w:rsidRDefault="00B17D9B" w:rsidP="00B17D9B">
            <w:pPr>
              <w:spacing w:after="0" w:line="240" w:lineRule="auto"/>
              <w:jc w:val="center"/>
              <w:rPr>
                <w:rFonts w:ascii="Arial" w:hAnsi="Arial" w:cs="Arial"/>
                <w:b/>
                <w:bCs/>
              </w:rPr>
            </w:pPr>
            <w:r>
              <w:rPr>
                <w:rFonts w:ascii="Arial" w:hAnsi="Arial" w:cs="Arial"/>
                <w:b/>
                <w:bCs/>
              </w:rPr>
              <w:t>hodin</w:t>
            </w:r>
          </w:p>
        </w:tc>
        <w:tc>
          <w:tcPr>
            <w:tcW w:w="1620" w:type="dxa"/>
            <w:tcBorders>
              <w:top w:val="double" w:sz="4" w:space="0" w:color="auto"/>
              <w:left w:val="single" w:sz="6" w:space="0" w:color="000000"/>
              <w:bottom w:val="single" w:sz="6" w:space="0" w:color="000000"/>
              <w:right w:val="single" w:sz="6" w:space="0" w:color="000000"/>
            </w:tcBorders>
            <w:vAlign w:val="center"/>
          </w:tcPr>
          <w:p w:rsidR="00B17D9B" w:rsidRDefault="00B17D9B" w:rsidP="00B17D9B">
            <w:pPr>
              <w:spacing w:after="0" w:line="240" w:lineRule="auto"/>
              <w:jc w:val="center"/>
              <w:rPr>
                <w:rFonts w:ascii="Arial" w:eastAsia="Arial Unicode MS" w:hAnsi="Arial" w:cs="Arial"/>
                <w:b/>
                <w:bCs/>
              </w:rPr>
            </w:pPr>
            <w:r>
              <w:rPr>
                <w:rFonts w:ascii="Arial" w:hAnsi="Arial" w:cs="Arial"/>
                <w:b/>
                <w:bCs/>
              </w:rPr>
              <w:t>Sazba</w:t>
            </w:r>
          </w:p>
          <w:p w:rsidR="00B17D9B" w:rsidRDefault="00B17D9B" w:rsidP="00B17D9B">
            <w:pPr>
              <w:spacing w:after="0" w:line="240" w:lineRule="auto"/>
              <w:jc w:val="center"/>
              <w:rPr>
                <w:rFonts w:ascii="Arial" w:hAnsi="Arial" w:cs="Arial"/>
                <w:b/>
                <w:bCs/>
              </w:rPr>
            </w:pPr>
            <w:r>
              <w:rPr>
                <w:rFonts w:ascii="Arial" w:hAnsi="Arial" w:cs="Arial"/>
                <w:b/>
                <w:bCs/>
              </w:rPr>
              <w:t>Kč/hod./os.</w:t>
            </w:r>
          </w:p>
        </w:tc>
        <w:tc>
          <w:tcPr>
            <w:tcW w:w="1440" w:type="dxa"/>
            <w:tcBorders>
              <w:top w:val="double" w:sz="4" w:space="0" w:color="auto"/>
              <w:left w:val="single" w:sz="6" w:space="0" w:color="000000"/>
              <w:bottom w:val="single" w:sz="6" w:space="0" w:color="000000"/>
              <w:right w:val="double" w:sz="4" w:space="0" w:color="auto"/>
            </w:tcBorders>
            <w:vAlign w:val="center"/>
          </w:tcPr>
          <w:p w:rsidR="00B17D9B" w:rsidRDefault="00B17D9B" w:rsidP="00B17D9B">
            <w:pPr>
              <w:spacing w:after="0" w:line="240" w:lineRule="auto"/>
              <w:jc w:val="center"/>
              <w:rPr>
                <w:rFonts w:ascii="Arial" w:eastAsia="Arial Unicode MS" w:hAnsi="Arial" w:cs="Arial"/>
                <w:b/>
                <w:bCs/>
              </w:rPr>
            </w:pPr>
            <w:r>
              <w:rPr>
                <w:rFonts w:ascii="Arial" w:hAnsi="Arial" w:cs="Arial"/>
                <w:b/>
                <w:bCs/>
              </w:rPr>
              <w:t>Cena</w:t>
            </w:r>
          </w:p>
          <w:p w:rsidR="00B17D9B" w:rsidRDefault="00B17D9B" w:rsidP="00B17D9B">
            <w:pPr>
              <w:spacing w:after="0" w:line="240" w:lineRule="auto"/>
              <w:jc w:val="center"/>
              <w:rPr>
                <w:rFonts w:ascii="Arial" w:eastAsia="Arial Unicode MS" w:hAnsi="Arial" w:cs="Arial"/>
                <w:b/>
                <w:bCs/>
              </w:rPr>
            </w:pPr>
            <w:r>
              <w:rPr>
                <w:rFonts w:ascii="Arial" w:hAnsi="Arial" w:cs="Arial"/>
                <w:b/>
                <w:bCs/>
              </w:rPr>
              <w:t>Kč</w:t>
            </w:r>
          </w:p>
        </w:tc>
      </w:tr>
      <w:tr w:rsidR="00B17D9B" w:rsidTr="00443B6F">
        <w:trPr>
          <w:trHeight w:val="314"/>
        </w:trPr>
        <w:tc>
          <w:tcPr>
            <w:tcW w:w="1440" w:type="dxa"/>
            <w:tcBorders>
              <w:top w:val="single" w:sz="6" w:space="0" w:color="000000"/>
              <w:left w:val="double" w:sz="4" w:space="0" w:color="auto"/>
              <w:bottom w:val="single" w:sz="6" w:space="0" w:color="000000"/>
              <w:right w:val="single" w:sz="6" w:space="0" w:color="000000"/>
            </w:tcBorders>
            <w:vAlign w:val="center"/>
          </w:tcPr>
          <w:p w:rsidR="00B17D9B" w:rsidRDefault="00B17D9B" w:rsidP="004D6651">
            <w:pPr>
              <w:spacing w:after="0" w:line="240" w:lineRule="auto"/>
              <w:rPr>
                <w:rFonts w:ascii="Arial" w:hAnsi="Arial" w:cs="Arial"/>
              </w:rPr>
            </w:pPr>
            <w:r>
              <w:rPr>
                <w:rFonts w:ascii="Arial" w:hAnsi="Arial" w:cs="Arial"/>
                <w:b/>
                <w:bCs/>
              </w:rPr>
              <w:t>1. Pronájem</w:t>
            </w:r>
          </w:p>
        </w:tc>
        <w:tc>
          <w:tcPr>
            <w:tcW w:w="3060" w:type="dxa"/>
            <w:gridSpan w:val="2"/>
            <w:tcBorders>
              <w:top w:val="single" w:sz="6" w:space="0" w:color="000000"/>
              <w:left w:val="single" w:sz="6" w:space="0" w:color="000000"/>
              <w:bottom w:val="single" w:sz="6" w:space="0" w:color="000000"/>
              <w:right w:val="single" w:sz="6" w:space="0" w:color="000000"/>
            </w:tcBorders>
            <w:vAlign w:val="center"/>
          </w:tcPr>
          <w:p w:rsidR="00B17D9B" w:rsidRDefault="004D6651" w:rsidP="004D6651">
            <w:pPr>
              <w:spacing w:after="0" w:line="240" w:lineRule="auto"/>
              <w:rPr>
                <w:rFonts w:ascii="Arial" w:hAnsi="Arial" w:cs="Arial"/>
              </w:rPr>
            </w:pPr>
            <w:r>
              <w:rPr>
                <w:rFonts w:ascii="Arial" w:hAnsi="Arial" w:cs="Arial"/>
              </w:rPr>
              <w:t xml:space="preserve">Velký sál – příprava, úklid </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1</w:t>
            </w:r>
            <w:r w:rsidR="00395E14">
              <w:rPr>
                <w:rFonts w:ascii="Arial" w:hAnsi="Arial" w:cs="Arial"/>
              </w:rPr>
              <w:t>2.00-19.00</w:t>
            </w:r>
          </w:p>
          <w:p w:rsidR="00B17D9B" w:rsidRDefault="00B17D9B" w:rsidP="00B17D9B">
            <w:pPr>
              <w:spacing w:after="0" w:line="240" w:lineRule="auto"/>
              <w:jc w:val="center"/>
              <w:rPr>
                <w:rFonts w:ascii="Arial" w:hAnsi="Arial" w:cs="Arial"/>
              </w:rPr>
            </w:pPr>
            <w:r>
              <w:rPr>
                <w:rFonts w:ascii="Arial" w:hAnsi="Arial" w:cs="Arial"/>
              </w:rPr>
              <w:t>05.00-06.</w:t>
            </w:r>
            <w:r w:rsidR="00395E14">
              <w:rPr>
                <w:rFonts w:ascii="Arial" w:hAnsi="Arial" w:cs="Arial"/>
              </w:rPr>
              <w:t>0</w:t>
            </w:r>
            <w:r>
              <w:rPr>
                <w:rFonts w:ascii="Arial" w:hAnsi="Arial" w:cs="Arial"/>
              </w:rPr>
              <w:t>0</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395E14" w:rsidP="00B17D9B">
            <w:pPr>
              <w:spacing w:after="0" w:line="240" w:lineRule="auto"/>
              <w:jc w:val="center"/>
              <w:rPr>
                <w:rFonts w:ascii="Arial" w:hAnsi="Arial" w:cs="Arial"/>
              </w:rPr>
            </w:pPr>
            <w:r>
              <w:rPr>
                <w:rFonts w:ascii="Arial" w:hAnsi="Arial" w:cs="Arial"/>
              </w:rPr>
              <w:t xml:space="preserve">7   </w:t>
            </w:r>
          </w:p>
          <w:p w:rsidR="00B17D9B" w:rsidRDefault="00B17D9B" w:rsidP="00B17D9B">
            <w:pPr>
              <w:spacing w:after="0" w:line="240" w:lineRule="auto"/>
              <w:jc w:val="center"/>
              <w:rPr>
                <w:rFonts w:ascii="Arial" w:hAnsi="Arial" w:cs="Arial"/>
              </w:rPr>
            </w:pPr>
            <w:r>
              <w:rPr>
                <w:rFonts w:ascii="Arial" w:hAnsi="Arial" w:cs="Arial"/>
              </w:rPr>
              <w:t>1</w:t>
            </w:r>
            <w:r w:rsidR="00395E14">
              <w:rPr>
                <w:rFonts w:ascii="Arial" w:hAnsi="Arial" w:cs="Arial"/>
              </w:rPr>
              <w:t xml:space="preserve">  </w:t>
            </w:r>
          </w:p>
        </w:tc>
        <w:tc>
          <w:tcPr>
            <w:tcW w:w="1620" w:type="dxa"/>
            <w:tcBorders>
              <w:top w:val="single" w:sz="6" w:space="0" w:color="000000"/>
              <w:left w:val="single" w:sz="6" w:space="0" w:color="000000"/>
              <w:bottom w:val="single" w:sz="6" w:space="0" w:color="000000"/>
              <w:right w:val="single" w:sz="6" w:space="0" w:color="000000"/>
            </w:tcBorders>
            <w:vAlign w:val="center"/>
          </w:tcPr>
          <w:p w:rsidR="00B17D9B" w:rsidRPr="00F37C7A" w:rsidRDefault="00B17D9B" w:rsidP="00B17D9B">
            <w:pPr>
              <w:pStyle w:val="Zpat"/>
              <w:tabs>
                <w:tab w:val="clear" w:pos="4536"/>
                <w:tab w:val="clear" w:pos="9072"/>
              </w:tabs>
              <w:jc w:val="center"/>
              <w:rPr>
                <w:rFonts w:ascii="Arial" w:hAnsi="Arial" w:cs="Arial"/>
                <w:bCs/>
                <w:szCs w:val="24"/>
                <w:highlight w:val="black"/>
              </w:rPr>
            </w:pPr>
            <w:r w:rsidRPr="00F37C7A">
              <w:rPr>
                <w:rFonts w:ascii="Arial" w:hAnsi="Arial" w:cs="Arial"/>
                <w:bCs/>
                <w:szCs w:val="24"/>
                <w:highlight w:val="black"/>
              </w:rPr>
              <w:t>2 000,00</w:t>
            </w: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395E14" w:rsidP="00B17D9B">
            <w:pPr>
              <w:spacing w:after="0" w:line="240" w:lineRule="auto"/>
              <w:jc w:val="right"/>
              <w:rPr>
                <w:rFonts w:ascii="Arial" w:hAnsi="Arial" w:cs="Arial"/>
                <w:highlight w:val="black"/>
              </w:rPr>
            </w:pPr>
            <w:r w:rsidRPr="00F37C7A">
              <w:rPr>
                <w:rFonts w:ascii="Arial" w:hAnsi="Arial" w:cs="Arial"/>
                <w:highlight w:val="black"/>
              </w:rPr>
              <w:t>14 000,00</w:t>
            </w:r>
          </w:p>
          <w:p w:rsidR="00B17D9B" w:rsidRPr="00F37C7A" w:rsidRDefault="00395E14" w:rsidP="00B17D9B">
            <w:pPr>
              <w:spacing w:after="0" w:line="240" w:lineRule="auto"/>
              <w:jc w:val="right"/>
              <w:rPr>
                <w:rFonts w:ascii="Arial" w:hAnsi="Arial" w:cs="Arial"/>
                <w:highlight w:val="black"/>
              </w:rPr>
            </w:pPr>
            <w:r w:rsidRPr="00F37C7A">
              <w:rPr>
                <w:rFonts w:ascii="Arial" w:hAnsi="Arial" w:cs="Arial"/>
                <w:highlight w:val="black"/>
              </w:rPr>
              <w:t>2</w:t>
            </w:r>
            <w:r w:rsidR="00B17D9B" w:rsidRPr="00F37C7A">
              <w:rPr>
                <w:rFonts w:ascii="Arial" w:hAnsi="Arial" w:cs="Arial"/>
                <w:highlight w:val="black"/>
              </w:rPr>
              <w:t> 000,00</w:t>
            </w:r>
          </w:p>
        </w:tc>
      </w:tr>
      <w:tr w:rsidR="00B17D9B" w:rsidTr="00443B6F">
        <w:trPr>
          <w:trHeight w:val="314"/>
        </w:trPr>
        <w:tc>
          <w:tcPr>
            <w:tcW w:w="1440" w:type="dxa"/>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b/>
                <w:bCs/>
              </w:rPr>
            </w:pPr>
          </w:p>
        </w:tc>
        <w:tc>
          <w:tcPr>
            <w:tcW w:w="3060" w:type="dxa"/>
            <w:gridSpan w:val="2"/>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rPr>
                <w:rFonts w:ascii="Arial" w:hAnsi="Arial" w:cs="Arial"/>
              </w:rPr>
            </w:pPr>
            <w:r>
              <w:rPr>
                <w:rFonts w:ascii="Arial" w:hAnsi="Arial" w:cs="Arial"/>
              </w:rPr>
              <w:t>Velký sál - akce</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19.00-05.00</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10</w:t>
            </w:r>
          </w:p>
        </w:tc>
        <w:tc>
          <w:tcPr>
            <w:tcW w:w="1620" w:type="dxa"/>
            <w:tcBorders>
              <w:top w:val="single" w:sz="6" w:space="0" w:color="000000"/>
              <w:left w:val="single" w:sz="6" w:space="0" w:color="000000"/>
              <w:bottom w:val="single" w:sz="6" w:space="0" w:color="000000"/>
              <w:right w:val="single" w:sz="6" w:space="0" w:color="000000"/>
            </w:tcBorders>
            <w:vAlign w:val="center"/>
          </w:tcPr>
          <w:p w:rsidR="00B17D9B" w:rsidRPr="00F37C7A" w:rsidRDefault="00B17D9B" w:rsidP="00B17D9B">
            <w:pPr>
              <w:pStyle w:val="Zpat"/>
              <w:tabs>
                <w:tab w:val="clear" w:pos="4536"/>
                <w:tab w:val="clear" w:pos="9072"/>
              </w:tabs>
              <w:jc w:val="center"/>
              <w:rPr>
                <w:rFonts w:ascii="Arial" w:hAnsi="Arial" w:cs="Arial"/>
                <w:bCs/>
                <w:szCs w:val="24"/>
                <w:highlight w:val="black"/>
              </w:rPr>
            </w:pPr>
            <w:r w:rsidRPr="00F37C7A">
              <w:rPr>
                <w:rFonts w:ascii="Arial" w:hAnsi="Arial" w:cs="Arial"/>
                <w:bCs/>
                <w:szCs w:val="24"/>
                <w:highlight w:val="black"/>
              </w:rPr>
              <w:t>3 000,00</w:t>
            </w: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highlight w:val="black"/>
              </w:rPr>
            </w:pPr>
            <w:r w:rsidRPr="00F37C7A">
              <w:rPr>
                <w:rFonts w:ascii="Arial" w:hAnsi="Arial" w:cs="Arial"/>
                <w:highlight w:val="black"/>
              </w:rPr>
              <w:t>30 000,00</w:t>
            </w:r>
          </w:p>
        </w:tc>
      </w:tr>
      <w:tr w:rsidR="00B17D9B" w:rsidTr="00443B6F">
        <w:trPr>
          <w:trHeight w:val="314"/>
        </w:trPr>
        <w:tc>
          <w:tcPr>
            <w:tcW w:w="1440" w:type="dxa"/>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rPr>
            </w:pPr>
          </w:p>
        </w:tc>
        <w:tc>
          <w:tcPr>
            <w:tcW w:w="3060" w:type="dxa"/>
            <w:gridSpan w:val="2"/>
            <w:tcBorders>
              <w:top w:val="single" w:sz="6" w:space="0" w:color="000000"/>
              <w:left w:val="single" w:sz="6" w:space="0" w:color="000000"/>
              <w:bottom w:val="single" w:sz="6" w:space="0" w:color="000000"/>
              <w:right w:val="single" w:sz="6" w:space="0" w:color="000000"/>
            </w:tcBorders>
            <w:vAlign w:val="bottom"/>
          </w:tcPr>
          <w:p w:rsidR="00B17D9B" w:rsidRPr="005E12E5" w:rsidRDefault="00B17D9B" w:rsidP="00B17D9B">
            <w:pPr>
              <w:spacing w:after="0" w:line="240" w:lineRule="auto"/>
              <w:rPr>
                <w:rFonts w:ascii="Arial" w:hAnsi="Arial" w:cs="Arial"/>
                <w:b/>
              </w:rPr>
            </w:pPr>
            <w:r w:rsidRPr="005E12E5">
              <w:rPr>
                <w:rFonts w:ascii="Arial" w:hAnsi="Arial" w:cs="Arial"/>
                <w:b/>
              </w:rPr>
              <w:t>Celkem za pronájem</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395E14" w:rsidP="00B17D9B">
            <w:pPr>
              <w:spacing w:after="0" w:line="240" w:lineRule="auto"/>
              <w:jc w:val="right"/>
              <w:rPr>
                <w:rFonts w:ascii="Arial" w:hAnsi="Arial" w:cs="Arial"/>
                <w:b/>
                <w:bCs/>
                <w:highlight w:val="black"/>
              </w:rPr>
            </w:pPr>
            <w:r w:rsidRPr="00F37C7A">
              <w:rPr>
                <w:rFonts w:ascii="Arial" w:hAnsi="Arial" w:cs="Arial"/>
                <w:b/>
                <w:bCs/>
                <w:highlight w:val="black"/>
              </w:rPr>
              <w:t>46 000,00</w:t>
            </w:r>
          </w:p>
        </w:tc>
      </w:tr>
      <w:tr w:rsidR="00B17D9B" w:rsidTr="00443B6F">
        <w:trPr>
          <w:trHeight w:val="314"/>
        </w:trPr>
        <w:tc>
          <w:tcPr>
            <w:tcW w:w="1440" w:type="dxa"/>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rPr>
            </w:pPr>
          </w:p>
        </w:tc>
        <w:tc>
          <w:tcPr>
            <w:tcW w:w="3060" w:type="dxa"/>
            <w:gridSpan w:val="2"/>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b/>
                <w:bCs/>
                <w:highlight w:val="black"/>
              </w:rPr>
            </w:pPr>
          </w:p>
        </w:tc>
      </w:tr>
      <w:tr w:rsidR="00B17D9B" w:rsidTr="00443B6F">
        <w:trPr>
          <w:trHeight w:val="314"/>
        </w:trPr>
        <w:tc>
          <w:tcPr>
            <w:tcW w:w="1440" w:type="dxa"/>
            <w:tcBorders>
              <w:top w:val="single" w:sz="6" w:space="0" w:color="000000"/>
              <w:left w:val="double" w:sz="4" w:space="0" w:color="auto"/>
              <w:bottom w:val="single" w:sz="6" w:space="0" w:color="000000"/>
              <w:right w:val="single" w:sz="6" w:space="0" w:color="000000"/>
            </w:tcBorders>
            <w:vAlign w:val="center"/>
          </w:tcPr>
          <w:p w:rsidR="00B17D9B" w:rsidRDefault="00B17D9B" w:rsidP="00B17D9B">
            <w:pPr>
              <w:spacing w:after="0" w:line="240" w:lineRule="auto"/>
              <w:rPr>
                <w:rFonts w:ascii="Arial" w:hAnsi="Arial" w:cs="Arial"/>
                <w:b/>
                <w:bCs/>
              </w:rPr>
            </w:pPr>
            <w:r>
              <w:rPr>
                <w:rFonts w:ascii="Arial" w:hAnsi="Arial" w:cs="Arial"/>
                <w:b/>
                <w:bCs/>
              </w:rPr>
              <w:t>2. Služby</w:t>
            </w:r>
          </w:p>
        </w:tc>
        <w:tc>
          <w:tcPr>
            <w:tcW w:w="2160" w:type="dxa"/>
            <w:tcBorders>
              <w:top w:val="single" w:sz="6" w:space="0" w:color="000000"/>
              <w:left w:val="single" w:sz="6" w:space="0" w:color="000000"/>
              <w:bottom w:val="single" w:sz="6" w:space="0" w:color="000000"/>
              <w:right w:val="single" w:sz="6" w:space="0" w:color="000000"/>
            </w:tcBorders>
            <w:vAlign w:val="center"/>
          </w:tcPr>
          <w:p w:rsidR="00B17D9B" w:rsidRDefault="00B17D9B" w:rsidP="00B17D9B">
            <w:pPr>
              <w:spacing w:after="0" w:line="240" w:lineRule="auto"/>
              <w:rPr>
                <w:rFonts w:ascii="Arial" w:hAnsi="Arial" w:cs="Arial"/>
              </w:rPr>
            </w:pPr>
            <w:r>
              <w:rPr>
                <w:rFonts w:ascii="Arial" w:hAnsi="Arial" w:cs="Arial"/>
              </w:rPr>
              <w:t>Technik</w:t>
            </w:r>
          </w:p>
        </w:tc>
        <w:tc>
          <w:tcPr>
            <w:tcW w:w="900" w:type="dxa"/>
            <w:tcBorders>
              <w:top w:val="single" w:sz="6" w:space="0" w:color="000000"/>
              <w:left w:val="single" w:sz="6" w:space="0" w:color="000000"/>
              <w:bottom w:val="single" w:sz="6" w:space="0" w:color="000000"/>
              <w:right w:val="single" w:sz="6" w:space="0" w:color="000000"/>
            </w:tcBorders>
            <w:vAlign w:val="center"/>
          </w:tcPr>
          <w:p w:rsidR="00B17D9B" w:rsidRDefault="00B17D9B" w:rsidP="00B17D9B">
            <w:pPr>
              <w:spacing w:after="0" w:line="240" w:lineRule="auto"/>
              <w:jc w:val="center"/>
              <w:rPr>
                <w:rFonts w:ascii="Arial" w:hAnsi="Arial" w:cs="Arial"/>
              </w:rPr>
            </w:pPr>
            <w:r>
              <w:rPr>
                <w:rFonts w:ascii="Arial" w:hAnsi="Arial" w:cs="Arial"/>
              </w:rPr>
              <w:t>1</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1</w:t>
            </w:r>
            <w:r w:rsidR="00395E14">
              <w:rPr>
                <w:rFonts w:ascii="Arial" w:hAnsi="Arial" w:cs="Arial"/>
              </w:rPr>
              <w:t>2.00-14.00</w:t>
            </w:r>
          </w:p>
          <w:p w:rsidR="00B17D9B" w:rsidRDefault="00395E14" w:rsidP="00B17D9B">
            <w:pPr>
              <w:spacing w:after="0" w:line="240" w:lineRule="auto"/>
              <w:jc w:val="center"/>
              <w:rPr>
                <w:rFonts w:ascii="Arial" w:hAnsi="Arial" w:cs="Arial"/>
              </w:rPr>
            </w:pPr>
            <w:r>
              <w:rPr>
                <w:rFonts w:ascii="Arial" w:hAnsi="Arial" w:cs="Arial"/>
              </w:rPr>
              <w:t>19</w:t>
            </w:r>
            <w:r w:rsidR="00B17D9B">
              <w:rPr>
                <w:rFonts w:ascii="Arial" w:hAnsi="Arial" w:cs="Arial"/>
              </w:rPr>
              <w:t>.00-05.00</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2</w:t>
            </w:r>
          </w:p>
          <w:p w:rsidR="00B17D9B" w:rsidRDefault="00395E14" w:rsidP="00B17D9B">
            <w:pPr>
              <w:spacing w:after="0" w:line="240" w:lineRule="auto"/>
              <w:jc w:val="center"/>
              <w:rPr>
                <w:rFonts w:ascii="Arial" w:hAnsi="Arial" w:cs="Arial"/>
              </w:rPr>
            </w:pPr>
            <w:r>
              <w:rPr>
                <w:rFonts w:ascii="Arial" w:hAnsi="Arial" w:cs="Arial"/>
              </w:rPr>
              <w:t>10</w:t>
            </w:r>
          </w:p>
        </w:tc>
        <w:tc>
          <w:tcPr>
            <w:tcW w:w="1620" w:type="dxa"/>
            <w:tcBorders>
              <w:top w:val="single" w:sz="6" w:space="0" w:color="000000"/>
              <w:left w:val="single" w:sz="6" w:space="0" w:color="000000"/>
              <w:bottom w:val="single" w:sz="6" w:space="0" w:color="000000"/>
              <w:right w:val="single" w:sz="6" w:space="0" w:color="000000"/>
            </w:tcBorders>
            <w:vAlign w:val="center"/>
          </w:tcPr>
          <w:p w:rsidR="00B17D9B" w:rsidRPr="00F37C7A" w:rsidRDefault="00B17D9B" w:rsidP="00B17D9B">
            <w:pPr>
              <w:spacing w:after="0" w:line="240" w:lineRule="auto"/>
              <w:jc w:val="center"/>
              <w:rPr>
                <w:rFonts w:ascii="Arial" w:hAnsi="Arial" w:cs="Arial"/>
                <w:highlight w:val="black"/>
              </w:rPr>
            </w:pPr>
            <w:r w:rsidRPr="00F37C7A">
              <w:rPr>
                <w:rFonts w:ascii="Arial" w:hAnsi="Arial" w:cs="Arial"/>
                <w:highlight w:val="black"/>
              </w:rPr>
              <w:t>250,00</w:t>
            </w: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highlight w:val="black"/>
              </w:rPr>
            </w:pPr>
            <w:r w:rsidRPr="00F37C7A">
              <w:rPr>
                <w:rFonts w:ascii="Arial" w:hAnsi="Arial" w:cs="Arial"/>
                <w:highlight w:val="black"/>
              </w:rPr>
              <w:t>500,00</w:t>
            </w:r>
          </w:p>
          <w:p w:rsidR="00B17D9B" w:rsidRPr="00F37C7A" w:rsidRDefault="00B17D9B" w:rsidP="00B17D9B">
            <w:pPr>
              <w:spacing w:after="0" w:line="240" w:lineRule="auto"/>
              <w:jc w:val="right"/>
              <w:rPr>
                <w:rFonts w:ascii="Arial" w:hAnsi="Arial" w:cs="Arial"/>
                <w:highlight w:val="black"/>
              </w:rPr>
            </w:pPr>
            <w:r w:rsidRPr="00F37C7A">
              <w:rPr>
                <w:rFonts w:ascii="Arial" w:hAnsi="Arial" w:cs="Arial"/>
                <w:highlight w:val="black"/>
              </w:rPr>
              <w:t>2 </w:t>
            </w:r>
            <w:r w:rsidR="00395E14" w:rsidRPr="00F37C7A">
              <w:rPr>
                <w:rFonts w:ascii="Arial" w:hAnsi="Arial" w:cs="Arial"/>
                <w:highlight w:val="black"/>
              </w:rPr>
              <w:t>500</w:t>
            </w:r>
            <w:r w:rsidRPr="00F37C7A">
              <w:rPr>
                <w:rFonts w:ascii="Arial" w:hAnsi="Arial" w:cs="Arial"/>
                <w:highlight w:val="black"/>
              </w:rPr>
              <w:t>,00</w:t>
            </w:r>
          </w:p>
        </w:tc>
      </w:tr>
      <w:tr w:rsidR="00B17D9B" w:rsidTr="00443B6F">
        <w:trPr>
          <w:trHeight w:val="584"/>
        </w:trPr>
        <w:tc>
          <w:tcPr>
            <w:tcW w:w="1440" w:type="dxa"/>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pStyle w:val="Noviny"/>
              <w:spacing w:line="240" w:lineRule="auto"/>
              <w:rPr>
                <w:rFonts w:ascii="Arial" w:hAnsi="Arial" w:cs="Arial"/>
                <w:bCs/>
                <w:kern w:val="0"/>
                <w:sz w:val="22"/>
                <w:szCs w:val="24"/>
              </w:rPr>
            </w:pPr>
            <w:r>
              <w:rPr>
                <w:rFonts w:ascii="Arial" w:hAnsi="Arial" w:cs="Arial"/>
                <w:bCs/>
                <w:kern w:val="0"/>
                <w:sz w:val="22"/>
                <w:szCs w:val="24"/>
              </w:rPr>
              <w:t>Bezpečnostní agentura</w:t>
            </w:r>
          </w:p>
        </w:tc>
        <w:tc>
          <w:tcPr>
            <w:tcW w:w="900" w:type="dxa"/>
            <w:tcBorders>
              <w:top w:val="single" w:sz="6" w:space="0" w:color="000000"/>
              <w:left w:val="single" w:sz="6" w:space="0" w:color="000000"/>
              <w:bottom w:val="single" w:sz="6" w:space="0" w:color="000000"/>
              <w:right w:val="single" w:sz="6" w:space="0" w:color="000000"/>
            </w:tcBorders>
            <w:vAlign w:val="center"/>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B17D9B" w:rsidRDefault="00B17D9B" w:rsidP="00B17D9B">
            <w:pPr>
              <w:spacing w:after="0" w:line="240" w:lineRule="auto"/>
              <w:jc w:val="center"/>
              <w:rPr>
                <w:rFonts w:ascii="Arial" w:hAnsi="Arial" w:cs="Arial"/>
              </w:rPr>
            </w:pPr>
            <w:r>
              <w:rPr>
                <w:rFonts w:ascii="Arial" w:hAnsi="Arial" w:cs="Arial"/>
              </w:rPr>
              <w:t>Zajišťují sami</w:t>
            </w:r>
          </w:p>
        </w:tc>
        <w:tc>
          <w:tcPr>
            <w:tcW w:w="900" w:type="dxa"/>
            <w:tcBorders>
              <w:top w:val="single" w:sz="6" w:space="0" w:color="000000"/>
              <w:left w:val="single" w:sz="6" w:space="0" w:color="000000"/>
              <w:bottom w:val="single" w:sz="6" w:space="0" w:color="000000"/>
              <w:right w:val="single" w:sz="6" w:space="0" w:color="000000"/>
            </w:tcBorders>
            <w:vAlign w:val="center"/>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B17D9B" w:rsidRPr="00F37C7A" w:rsidRDefault="00B17D9B" w:rsidP="00B17D9B">
            <w:pPr>
              <w:spacing w:after="0" w:line="240" w:lineRule="auto"/>
              <w:jc w:val="center"/>
              <w:rPr>
                <w:rFonts w:ascii="Arial" w:hAnsi="Arial" w:cs="Arial"/>
                <w:highlight w:val="black"/>
              </w:rPr>
            </w:pPr>
          </w:p>
        </w:tc>
        <w:tc>
          <w:tcPr>
            <w:tcW w:w="1440" w:type="dxa"/>
            <w:tcBorders>
              <w:top w:val="single" w:sz="6" w:space="0" w:color="000000"/>
              <w:left w:val="single" w:sz="6" w:space="0" w:color="000000"/>
              <w:bottom w:val="single" w:sz="6" w:space="0" w:color="000000"/>
              <w:right w:val="double" w:sz="4" w:space="0" w:color="auto"/>
            </w:tcBorders>
            <w:vAlign w:val="center"/>
          </w:tcPr>
          <w:p w:rsidR="00B17D9B" w:rsidRPr="00F37C7A" w:rsidRDefault="00B17D9B" w:rsidP="00B17D9B">
            <w:pPr>
              <w:spacing w:after="0" w:line="240" w:lineRule="auto"/>
              <w:jc w:val="right"/>
              <w:rPr>
                <w:rFonts w:ascii="Arial" w:hAnsi="Arial" w:cs="Arial"/>
                <w:highlight w:val="black"/>
              </w:rPr>
            </w:pPr>
            <w:r w:rsidRPr="00F37C7A">
              <w:rPr>
                <w:rFonts w:ascii="Arial" w:hAnsi="Arial" w:cs="Arial"/>
                <w:highlight w:val="black"/>
              </w:rPr>
              <w:t>---</w:t>
            </w:r>
          </w:p>
        </w:tc>
      </w:tr>
      <w:tr w:rsidR="00B17D9B" w:rsidTr="00443B6F">
        <w:trPr>
          <w:trHeight w:val="314"/>
        </w:trPr>
        <w:tc>
          <w:tcPr>
            <w:tcW w:w="1440" w:type="dxa"/>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pStyle w:val="Noviny"/>
              <w:spacing w:line="240" w:lineRule="auto"/>
              <w:rPr>
                <w:rFonts w:ascii="Arial" w:hAnsi="Arial" w:cs="Arial"/>
                <w:bCs/>
                <w:kern w:val="0"/>
                <w:sz w:val="22"/>
                <w:szCs w:val="24"/>
              </w:rPr>
            </w:pPr>
            <w:r>
              <w:rPr>
                <w:rFonts w:ascii="Arial" w:hAnsi="Arial" w:cs="Arial"/>
                <w:bCs/>
                <w:kern w:val="0"/>
                <w:sz w:val="22"/>
                <w:szCs w:val="24"/>
              </w:rPr>
              <w:t>Pořadatel</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1</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10.00-06.00</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 xml:space="preserve">20  </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r w:rsidRPr="00F37C7A">
              <w:rPr>
                <w:rFonts w:ascii="Arial" w:hAnsi="Arial" w:cs="Arial"/>
                <w:highlight w:val="black"/>
              </w:rPr>
              <w:t>140,00</w:t>
            </w: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highlight w:val="black"/>
              </w:rPr>
            </w:pPr>
            <w:r w:rsidRPr="00F37C7A">
              <w:rPr>
                <w:rFonts w:ascii="Arial" w:hAnsi="Arial" w:cs="Arial"/>
                <w:highlight w:val="black"/>
              </w:rPr>
              <w:t xml:space="preserve">  2 800,00</w:t>
            </w:r>
          </w:p>
        </w:tc>
      </w:tr>
      <w:tr w:rsidR="00B17D9B" w:rsidTr="00443B6F">
        <w:trPr>
          <w:trHeight w:val="314"/>
        </w:trPr>
        <w:tc>
          <w:tcPr>
            <w:tcW w:w="1440" w:type="dxa"/>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pStyle w:val="Noviny"/>
              <w:spacing w:line="240" w:lineRule="auto"/>
              <w:rPr>
                <w:rFonts w:ascii="Arial" w:hAnsi="Arial" w:cs="Arial"/>
                <w:bCs/>
                <w:kern w:val="0"/>
                <w:sz w:val="22"/>
                <w:szCs w:val="24"/>
              </w:rPr>
            </w:pPr>
            <w:r>
              <w:rPr>
                <w:rFonts w:ascii="Arial" w:hAnsi="Arial" w:cs="Arial"/>
                <w:bCs/>
                <w:kern w:val="0"/>
                <w:sz w:val="22"/>
                <w:szCs w:val="24"/>
              </w:rPr>
              <w:t>Pořadatel</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1</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12.00-17.00</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5</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r w:rsidRPr="00F37C7A">
              <w:rPr>
                <w:rFonts w:ascii="Arial" w:hAnsi="Arial" w:cs="Arial"/>
                <w:highlight w:val="black"/>
              </w:rPr>
              <w:t>140,00</w:t>
            </w: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highlight w:val="black"/>
              </w:rPr>
            </w:pPr>
            <w:r w:rsidRPr="00F37C7A">
              <w:rPr>
                <w:rFonts w:ascii="Arial" w:hAnsi="Arial" w:cs="Arial"/>
                <w:highlight w:val="black"/>
              </w:rPr>
              <w:t>700,00</w:t>
            </w:r>
          </w:p>
        </w:tc>
      </w:tr>
      <w:tr w:rsidR="00B17D9B" w:rsidTr="00443B6F">
        <w:trPr>
          <w:trHeight w:val="314"/>
        </w:trPr>
        <w:tc>
          <w:tcPr>
            <w:tcW w:w="1440" w:type="dxa"/>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pStyle w:val="Noviny"/>
              <w:spacing w:line="240" w:lineRule="auto"/>
              <w:rPr>
                <w:rFonts w:ascii="Arial" w:hAnsi="Arial" w:cs="Arial"/>
                <w:bCs/>
                <w:kern w:val="0"/>
                <w:sz w:val="22"/>
                <w:szCs w:val="24"/>
              </w:rPr>
            </w:pPr>
            <w:r>
              <w:rPr>
                <w:rFonts w:ascii="Arial" w:hAnsi="Arial" w:cs="Arial"/>
                <w:bCs/>
                <w:kern w:val="0"/>
                <w:sz w:val="22"/>
                <w:szCs w:val="24"/>
              </w:rPr>
              <w:t xml:space="preserve">Šatna </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r>
              <w:rPr>
                <w:rFonts w:ascii="Arial" w:hAnsi="Arial" w:cs="Arial"/>
              </w:rPr>
              <w:t>Zajišťují sami</w:t>
            </w: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highlight w:val="black"/>
              </w:rPr>
            </w:pPr>
            <w:r w:rsidRPr="00F37C7A">
              <w:rPr>
                <w:rFonts w:ascii="Arial" w:hAnsi="Arial" w:cs="Arial"/>
                <w:highlight w:val="black"/>
              </w:rPr>
              <w:t>---</w:t>
            </w:r>
          </w:p>
        </w:tc>
      </w:tr>
      <w:tr w:rsidR="00B17D9B" w:rsidTr="00443B6F">
        <w:trPr>
          <w:trHeight w:val="314"/>
        </w:trPr>
        <w:tc>
          <w:tcPr>
            <w:tcW w:w="4500" w:type="dxa"/>
            <w:gridSpan w:val="3"/>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b/>
                <w:bCs/>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b/>
                <w:bCs/>
                <w:highlight w:val="black"/>
              </w:rPr>
            </w:pPr>
            <w:r w:rsidRPr="00F37C7A">
              <w:rPr>
                <w:rFonts w:ascii="Arial" w:hAnsi="Arial" w:cs="Arial"/>
                <w:b/>
                <w:bCs/>
                <w:highlight w:val="black"/>
              </w:rPr>
              <w:t>6</w:t>
            </w:r>
            <w:r w:rsidR="004D6651" w:rsidRPr="00F37C7A">
              <w:rPr>
                <w:rFonts w:ascii="Arial" w:hAnsi="Arial" w:cs="Arial"/>
                <w:b/>
                <w:bCs/>
                <w:highlight w:val="black"/>
              </w:rPr>
              <w:t> 500,00</w:t>
            </w:r>
            <w:r w:rsidRPr="00F37C7A">
              <w:rPr>
                <w:rFonts w:ascii="Arial" w:hAnsi="Arial" w:cs="Arial"/>
                <w:b/>
                <w:bCs/>
                <w:highlight w:val="black"/>
              </w:rPr>
              <w:t xml:space="preserve">            </w:t>
            </w:r>
          </w:p>
        </w:tc>
      </w:tr>
      <w:tr w:rsidR="00B17D9B" w:rsidTr="00443B6F">
        <w:trPr>
          <w:trHeight w:val="314"/>
        </w:trPr>
        <w:tc>
          <w:tcPr>
            <w:tcW w:w="4500" w:type="dxa"/>
            <w:gridSpan w:val="3"/>
            <w:tcBorders>
              <w:top w:val="single" w:sz="6" w:space="0" w:color="000000"/>
              <w:left w:val="double" w:sz="4" w:space="0" w:color="auto"/>
              <w:bottom w:val="single" w:sz="6" w:space="0" w:color="000000"/>
              <w:right w:val="single" w:sz="6" w:space="0" w:color="000000"/>
            </w:tcBorders>
            <w:vAlign w:val="bottom"/>
          </w:tcPr>
          <w:p w:rsidR="00B17D9B" w:rsidRDefault="00B17D9B" w:rsidP="00B17D9B">
            <w:pPr>
              <w:spacing w:after="0" w:line="240" w:lineRule="auto"/>
              <w:rPr>
                <w:rFonts w:ascii="Arial" w:hAnsi="Arial" w:cs="Arial"/>
                <w:b/>
                <w:bCs/>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b/>
                <w:bCs/>
                <w:highlight w:val="black"/>
              </w:rPr>
            </w:pPr>
          </w:p>
        </w:tc>
      </w:tr>
      <w:tr w:rsidR="00B17D9B" w:rsidTr="00443B6F">
        <w:trPr>
          <w:trHeight w:val="314"/>
        </w:trPr>
        <w:tc>
          <w:tcPr>
            <w:tcW w:w="4500" w:type="dxa"/>
            <w:gridSpan w:val="3"/>
            <w:tcBorders>
              <w:top w:val="single" w:sz="6" w:space="0" w:color="000000"/>
              <w:left w:val="double" w:sz="4" w:space="0" w:color="auto"/>
              <w:bottom w:val="single" w:sz="6" w:space="0" w:color="000000"/>
              <w:right w:val="single" w:sz="6" w:space="0" w:color="000000"/>
            </w:tcBorders>
            <w:vAlign w:val="bottom"/>
          </w:tcPr>
          <w:p w:rsidR="00B17D9B" w:rsidRPr="00B17D9B" w:rsidRDefault="00B17D9B" w:rsidP="00B17D9B">
            <w:pPr>
              <w:pStyle w:val="Noviny"/>
              <w:spacing w:line="240" w:lineRule="auto"/>
              <w:rPr>
                <w:rFonts w:ascii="Arial" w:hAnsi="Arial" w:cs="Arial"/>
                <w:bCs/>
                <w:kern w:val="0"/>
                <w:sz w:val="22"/>
                <w:szCs w:val="24"/>
              </w:rPr>
            </w:pPr>
            <w:r w:rsidRPr="00B17D9B">
              <w:rPr>
                <w:rFonts w:ascii="Arial" w:hAnsi="Arial" w:cs="Arial"/>
                <w:bCs/>
                <w:kern w:val="0"/>
                <w:sz w:val="22"/>
                <w:szCs w:val="24"/>
              </w:rPr>
              <w:t xml:space="preserve">Celkem bez DPH </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4D6651" w:rsidP="00B17D9B">
            <w:pPr>
              <w:spacing w:after="0" w:line="240" w:lineRule="auto"/>
              <w:jc w:val="right"/>
              <w:rPr>
                <w:rFonts w:ascii="Arial" w:hAnsi="Arial" w:cs="Arial"/>
                <w:b/>
                <w:bCs/>
                <w:highlight w:val="black"/>
              </w:rPr>
            </w:pPr>
            <w:r w:rsidRPr="00F37C7A">
              <w:rPr>
                <w:rFonts w:ascii="Arial" w:hAnsi="Arial" w:cs="Arial"/>
                <w:highlight w:val="black"/>
              </w:rPr>
              <w:t>52 500,00</w:t>
            </w:r>
            <w:r w:rsidR="00B17D9B" w:rsidRPr="00F37C7A">
              <w:rPr>
                <w:rFonts w:ascii="Arial" w:hAnsi="Arial" w:cs="Arial"/>
                <w:highlight w:val="black"/>
              </w:rPr>
              <w:t xml:space="preserve">               </w:t>
            </w:r>
          </w:p>
        </w:tc>
      </w:tr>
      <w:tr w:rsidR="00B17D9B" w:rsidTr="00443B6F">
        <w:trPr>
          <w:trHeight w:val="314"/>
        </w:trPr>
        <w:tc>
          <w:tcPr>
            <w:tcW w:w="4500" w:type="dxa"/>
            <w:gridSpan w:val="3"/>
            <w:tcBorders>
              <w:top w:val="single" w:sz="6" w:space="0" w:color="000000"/>
              <w:left w:val="double" w:sz="4" w:space="0" w:color="auto"/>
              <w:bottom w:val="single" w:sz="6" w:space="0" w:color="000000"/>
              <w:right w:val="single" w:sz="6" w:space="0" w:color="000000"/>
            </w:tcBorders>
            <w:vAlign w:val="bottom"/>
          </w:tcPr>
          <w:p w:rsidR="00B17D9B" w:rsidRPr="00B17D9B" w:rsidRDefault="00B17D9B" w:rsidP="00B17D9B">
            <w:pPr>
              <w:spacing w:after="0" w:line="240" w:lineRule="auto"/>
              <w:rPr>
                <w:rFonts w:ascii="Arial" w:hAnsi="Arial" w:cs="Arial"/>
              </w:rPr>
            </w:pPr>
            <w:r w:rsidRPr="00B17D9B">
              <w:rPr>
                <w:rFonts w:ascii="Arial" w:hAnsi="Arial" w:cs="Arial"/>
              </w:rPr>
              <w:t xml:space="preserve">DPH 21%                    </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Default="00B17D9B" w:rsidP="00B17D9B">
            <w:pPr>
              <w:spacing w:after="0" w:line="240" w:lineRule="auto"/>
              <w:jc w:val="cente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highlight w:val="black"/>
              </w:rPr>
            </w:pP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B17D9B" w:rsidP="00B17D9B">
            <w:pPr>
              <w:spacing w:after="0" w:line="240" w:lineRule="auto"/>
              <w:jc w:val="right"/>
              <w:rPr>
                <w:rFonts w:ascii="Arial" w:hAnsi="Arial" w:cs="Arial"/>
                <w:highlight w:val="black"/>
              </w:rPr>
            </w:pPr>
            <w:r w:rsidRPr="00F37C7A">
              <w:rPr>
                <w:rFonts w:ascii="Arial" w:hAnsi="Arial" w:cs="Arial"/>
                <w:highlight w:val="black"/>
              </w:rPr>
              <w:t xml:space="preserve">  </w:t>
            </w:r>
            <w:r w:rsidR="004D6651" w:rsidRPr="00F37C7A">
              <w:rPr>
                <w:rFonts w:ascii="Arial" w:hAnsi="Arial" w:cs="Arial"/>
                <w:highlight w:val="black"/>
              </w:rPr>
              <w:t>11 025,00</w:t>
            </w:r>
          </w:p>
        </w:tc>
      </w:tr>
      <w:tr w:rsidR="00B17D9B" w:rsidTr="00443B6F">
        <w:trPr>
          <w:trHeight w:val="314"/>
        </w:trPr>
        <w:tc>
          <w:tcPr>
            <w:tcW w:w="4500" w:type="dxa"/>
            <w:gridSpan w:val="3"/>
            <w:tcBorders>
              <w:top w:val="single" w:sz="6" w:space="0" w:color="000000"/>
              <w:left w:val="double" w:sz="4" w:space="0" w:color="auto"/>
              <w:bottom w:val="single" w:sz="6" w:space="0" w:color="000000"/>
              <w:right w:val="single" w:sz="6" w:space="0" w:color="000000"/>
            </w:tcBorders>
            <w:vAlign w:val="bottom"/>
          </w:tcPr>
          <w:p w:rsidR="00B17D9B" w:rsidRPr="00B17D9B" w:rsidRDefault="00B17D9B" w:rsidP="00B17D9B">
            <w:pPr>
              <w:pStyle w:val="Nadpis7"/>
              <w:spacing w:before="0" w:line="240" w:lineRule="auto"/>
              <w:rPr>
                <w:rFonts w:ascii="Arial" w:hAnsi="Arial" w:cs="Arial"/>
                <w:bCs/>
                <w:i w:val="0"/>
                <w:color w:val="auto"/>
                <w:lang w:eastAsia="cs-CZ"/>
              </w:rPr>
            </w:pPr>
            <w:r w:rsidRPr="00B17D9B">
              <w:rPr>
                <w:rFonts w:ascii="Arial" w:hAnsi="Arial" w:cs="Arial"/>
                <w:bCs/>
                <w:i w:val="0"/>
                <w:color w:val="auto"/>
                <w:lang w:eastAsia="cs-CZ"/>
              </w:rPr>
              <w:t xml:space="preserve">Celkem s DPH   </w:t>
            </w: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9C24B0" w:rsidRDefault="00B17D9B" w:rsidP="00B17D9B">
            <w:pPr>
              <w:spacing w:after="0" w:line="240" w:lineRule="auto"/>
              <w:jc w:val="center"/>
              <w:rPr>
                <w:rFonts w:ascii="Arial" w:hAnsi="Arial" w:cs="Arial"/>
                <w:b/>
              </w:rPr>
            </w:pPr>
          </w:p>
        </w:tc>
        <w:tc>
          <w:tcPr>
            <w:tcW w:w="900" w:type="dxa"/>
            <w:tcBorders>
              <w:top w:val="single" w:sz="6" w:space="0" w:color="000000"/>
              <w:left w:val="single" w:sz="6" w:space="0" w:color="000000"/>
              <w:bottom w:val="single" w:sz="6" w:space="0" w:color="000000"/>
              <w:right w:val="single" w:sz="6" w:space="0" w:color="000000"/>
            </w:tcBorders>
            <w:vAlign w:val="bottom"/>
          </w:tcPr>
          <w:p w:rsidR="00B17D9B" w:rsidRPr="009C24B0" w:rsidRDefault="00B17D9B" w:rsidP="00B17D9B">
            <w:pPr>
              <w:spacing w:after="0" w:line="240" w:lineRule="auto"/>
              <w:jc w:val="center"/>
              <w:rPr>
                <w:rFonts w:ascii="Arial" w:hAnsi="Arial" w:cs="Arial"/>
                <w:b/>
              </w:rPr>
            </w:pPr>
          </w:p>
        </w:tc>
        <w:tc>
          <w:tcPr>
            <w:tcW w:w="1620" w:type="dxa"/>
            <w:tcBorders>
              <w:top w:val="single" w:sz="6" w:space="0" w:color="000000"/>
              <w:left w:val="single" w:sz="6" w:space="0" w:color="000000"/>
              <w:bottom w:val="single" w:sz="6" w:space="0" w:color="000000"/>
              <w:right w:val="single" w:sz="6" w:space="0" w:color="000000"/>
            </w:tcBorders>
            <w:vAlign w:val="bottom"/>
          </w:tcPr>
          <w:p w:rsidR="00B17D9B" w:rsidRPr="00F37C7A" w:rsidRDefault="00B17D9B" w:rsidP="00B17D9B">
            <w:pPr>
              <w:spacing w:after="0" w:line="240" w:lineRule="auto"/>
              <w:jc w:val="center"/>
              <w:rPr>
                <w:rFonts w:ascii="Arial" w:hAnsi="Arial" w:cs="Arial"/>
                <w:b/>
                <w:highlight w:val="black"/>
              </w:rPr>
            </w:pPr>
          </w:p>
        </w:tc>
        <w:tc>
          <w:tcPr>
            <w:tcW w:w="1440" w:type="dxa"/>
            <w:tcBorders>
              <w:top w:val="single" w:sz="6" w:space="0" w:color="000000"/>
              <w:left w:val="single" w:sz="6" w:space="0" w:color="000000"/>
              <w:bottom w:val="single" w:sz="6" w:space="0" w:color="000000"/>
              <w:right w:val="double" w:sz="4" w:space="0" w:color="auto"/>
            </w:tcBorders>
            <w:vAlign w:val="bottom"/>
          </w:tcPr>
          <w:p w:rsidR="00B17D9B" w:rsidRPr="00F37C7A" w:rsidRDefault="004D6651" w:rsidP="00B17D9B">
            <w:pPr>
              <w:spacing w:after="0" w:line="240" w:lineRule="auto"/>
              <w:jc w:val="right"/>
              <w:rPr>
                <w:rFonts w:ascii="Arial" w:hAnsi="Arial" w:cs="Arial"/>
                <w:b/>
                <w:bCs/>
                <w:highlight w:val="black"/>
              </w:rPr>
            </w:pPr>
            <w:r w:rsidRPr="00F37C7A">
              <w:rPr>
                <w:rFonts w:ascii="Arial" w:hAnsi="Arial" w:cs="Arial"/>
                <w:b/>
                <w:bCs/>
                <w:highlight w:val="black"/>
              </w:rPr>
              <w:t>63 525,00</w:t>
            </w:r>
            <w:r w:rsidR="00B17D9B" w:rsidRPr="00F37C7A">
              <w:rPr>
                <w:rFonts w:ascii="Arial" w:hAnsi="Arial" w:cs="Arial"/>
                <w:b/>
                <w:bCs/>
                <w:highlight w:val="black"/>
              </w:rPr>
              <w:t xml:space="preserve"> </w:t>
            </w:r>
          </w:p>
        </w:tc>
      </w:tr>
      <w:tr w:rsidR="00B17D9B" w:rsidTr="00443B6F">
        <w:trPr>
          <w:trHeight w:val="314"/>
        </w:trPr>
        <w:tc>
          <w:tcPr>
            <w:tcW w:w="4500" w:type="dxa"/>
            <w:gridSpan w:val="3"/>
            <w:tcBorders>
              <w:top w:val="single" w:sz="6" w:space="0" w:color="000000"/>
              <w:left w:val="double" w:sz="4" w:space="0" w:color="auto"/>
              <w:bottom w:val="double" w:sz="4" w:space="0" w:color="auto"/>
              <w:right w:val="single" w:sz="6" w:space="0" w:color="000000"/>
            </w:tcBorders>
            <w:vAlign w:val="bottom"/>
          </w:tcPr>
          <w:p w:rsidR="00B17D9B" w:rsidRPr="00B17D9B" w:rsidRDefault="00B17D9B" w:rsidP="00B17D9B">
            <w:pPr>
              <w:pStyle w:val="Nadpis7"/>
              <w:spacing w:before="0" w:line="240" w:lineRule="auto"/>
              <w:rPr>
                <w:rFonts w:ascii="Arial" w:hAnsi="Arial" w:cs="Arial"/>
                <w:b/>
                <w:bCs/>
                <w:i w:val="0"/>
                <w:color w:val="auto"/>
                <w:lang w:eastAsia="cs-CZ"/>
              </w:rPr>
            </w:pPr>
            <w:r w:rsidRPr="00B17D9B">
              <w:rPr>
                <w:rFonts w:ascii="Arial" w:hAnsi="Arial" w:cs="Arial"/>
                <w:b/>
                <w:bCs/>
                <w:i w:val="0"/>
                <w:color w:val="auto"/>
                <w:lang w:eastAsia="cs-CZ"/>
              </w:rPr>
              <w:t>Celkem po zaokrouhlení</w:t>
            </w:r>
          </w:p>
        </w:tc>
        <w:tc>
          <w:tcPr>
            <w:tcW w:w="1620" w:type="dxa"/>
            <w:tcBorders>
              <w:top w:val="single" w:sz="6" w:space="0" w:color="000000"/>
              <w:left w:val="single" w:sz="6" w:space="0" w:color="000000"/>
              <w:bottom w:val="double" w:sz="4" w:space="0" w:color="auto"/>
              <w:right w:val="single" w:sz="6" w:space="0" w:color="000000"/>
            </w:tcBorders>
            <w:vAlign w:val="bottom"/>
          </w:tcPr>
          <w:p w:rsidR="00B17D9B" w:rsidRPr="009C24B0" w:rsidRDefault="00B17D9B" w:rsidP="00B17D9B">
            <w:pPr>
              <w:spacing w:after="0" w:line="240" w:lineRule="auto"/>
              <w:jc w:val="center"/>
              <w:rPr>
                <w:rFonts w:ascii="Arial" w:hAnsi="Arial" w:cs="Arial"/>
                <w:b/>
              </w:rPr>
            </w:pPr>
          </w:p>
        </w:tc>
        <w:tc>
          <w:tcPr>
            <w:tcW w:w="900" w:type="dxa"/>
            <w:tcBorders>
              <w:top w:val="single" w:sz="6" w:space="0" w:color="000000"/>
              <w:left w:val="single" w:sz="6" w:space="0" w:color="000000"/>
              <w:bottom w:val="double" w:sz="4" w:space="0" w:color="auto"/>
              <w:right w:val="single" w:sz="6" w:space="0" w:color="000000"/>
            </w:tcBorders>
            <w:vAlign w:val="bottom"/>
          </w:tcPr>
          <w:p w:rsidR="00B17D9B" w:rsidRPr="009C24B0" w:rsidRDefault="00B17D9B" w:rsidP="00B17D9B">
            <w:pPr>
              <w:spacing w:after="0" w:line="240" w:lineRule="auto"/>
              <w:jc w:val="center"/>
              <w:rPr>
                <w:rFonts w:ascii="Arial" w:hAnsi="Arial" w:cs="Arial"/>
                <w:b/>
              </w:rPr>
            </w:pPr>
          </w:p>
        </w:tc>
        <w:tc>
          <w:tcPr>
            <w:tcW w:w="1620" w:type="dxa"/>
            <w:tcBorders>
              <w:top w:val="single" w:sz="6" w:space="0" w:color="000000"/>
              <w:left w:val="single" w:sz="6" w:space="0" w:color="000000"/>
              <w:bottom w:val="double" w:sz="4" w:space="0" w:color="auto"/>
              <w:right w:val="single" w:sz="6" w:space="0" w:color="000000"/>
            </w:tcBorders>
            <w:vAlign w:val="bottom"/>
          </w:tcPr>
          <w:p w:rsidR="00B17D9B" w:rsidRPr="00F37C7A" w:rsidRDefault="00B17D9B" w:rsidP="00B17D9B">
            <w:pPr>
              <w:spacing w:after="0" w:line="240" w:lineRule="auto"/>
              <w:jc w:val="center"/>
              <w:rPr>
                <w:rFonts w:ascii="Arial" w:hAnsi="Arial" w:cs="Arial"/>
                <w:b/>
                <w:highlight w:val="black"/>
              </w:rPr>
            </w:pPr>
          </w:p>
        </w:tc>
        <w:tc>
          <w:tcPr>
            <w:tcW w:w="1440" w:type="dxa"/>
            <w:tcBorders>
              <w:top w:val="single" w:sz="6" w:space="0" w:color="000000"/>
              <w:left w:val="single" w:sz="6" w:space="0" w:color="000000"/>
              <w:bottom w:val="double" w:sz="4" w:space="0" w:color="auto"/>
              <w:right w:val="double" w:sz="4" w:space="0" w:color="auto"/>
            </w:tcBorders>
            <w:vAlign w:val="bottom"/>
          </w:tcPr>
          <w:p w:rsidR="00B17D9B" w:rsidRPr="00F37C7A" w:rsidRDefault="004D6651" w:rsidP="00B17D9B">
            <w:pPr>
              <w:spacing w:after="0" w:line="240" w:lineRule="auto"/>
              <w:jc w:val="right"/>
              <w:rPr>
                <w:rFonts w:ascii="Arial" w:hAnsi="Arial" w:cs="Arial"/>
                <w:b/>
                <w:bCs/>
                <w:highlight w:val="black"/>
              </w:rPr>
            </w:pPr>
            <w:r w:rsidRPr="00F37C7A">
              <w:rPr>
                <w:rFonts w:ascii="Arial" w:hAnsi="Arial" w:cs="Arial"/>
                <w:b/>
                <w:bCs/>
                <w:highlight w:val="black"/>
              </w:rPr>
              <w:t>63 525,00</w:t>
            </w:r>
          </w:p>
        </w:tc>
      </w:tr>
    </w:tbl>
    <w:p w:rsidR="00B17D9B" w:rsidRDefault="00B17D9B" w:rsidP="00B17D9B">
      <w:pPr>
        <w:pStyle w:val="Nzev"/>
        <w:jc w:val="both"/>
        <w:rPr>
          <w:rFonts w:ascii="Times New Roman" w:hAnsi="Times New Roman"/>
        </w:rPr>
      </w:pPr>
    </w:p>
    <w:p w:rsidR="00AC616C" w:rsidRDefault="00AC616C" w:rsidP="00B17D9B">
      <w:pPr>
        <w:ind w:hanging="360"/>
      </w:pPr>
    </w:p>
    <w:p w:rsidR="00B17D9B" w:rsidRPr="00C927E6" w:rsidRDefault="00B17D9B" w:rsidP="00B17D9B">
      <w:pPr>
        <w:pStyle w:val="StylSmluv2"/>
        <w:numPr>
          <w:ilvl w:val="0"/>
          <w:numId w:val="0"/>
        </w:numPr>
        <w:spacing w:before="480"/>
      </w:pPr>
      <w:r w:rsidRPr="00C927E6">
        <w:t xml:space="preserve">V </w:t>
      </w:r>
      <w:r>
        <w:t>Plzni</w:t>
      </w:r>
      <w:r w:rsidRPr="00C927E6">
        <w:t xml:space="preserve"> dne </w:t>
      </w:r>
      <w:r w:rsidR="008B284F">
        <w:t>6. 10. 2017</w:t>
      </w:r>
      <w:r>
        <w:t xml:space="preserve">                 </w:t>
      </w:r>
    </w:p>
    <w:p w:rsidR="00B17D9B" w:rsidRDefault="00B17D9B" w:rsidP="00B17D9B">
      <w:pPr>
        <w:spacing w:after="0" w:line="240" w:lineRule="auto"/>
        <w:ind w:left="142" w:hanging="142"/>
        <w:jc w:val="both"/>
        <w:rPr>
          <w:b/>
        </w:rPr>
      </w:pPr>
    </w:p>
    <w:p w:rsidR="00B17D9B" w:rsidRDefault="00B17D9B" w:rsidP="00B17D9B">
      <w:pPr>
        <w:spacing w:after="0" w:line="240" w:lineRule="auto"/>
        <w:ind w:left="142" w:hanging="142"/>
        <w:jc w:val="both"/>
        <w:rPr>
          <w:b/>
        </w:rPr>
      </w:pPr>
    </w:p>
    <w:p w:rsidR="00B17D9B" w:rsidRPr="003D67DA" w:rsidRDefault="00B17D9B" w:rsidP="00B17D9B">
      <w:pPr>
        <w:spacing w:after="0" w:line="240" w:lineRule="auto"/>
        <w:ind w:left="142" w:hanging="142"/>
        <w:jc w:val="both"/>
        <w:rPr>
          <w:b/>
        </w:rPr>
      </w:pPr>
      <w:r w:rsidRPr="003D67DA">
        <w:rPr>
          <w:b/>
        </w:rPr>
        <w:t xml:space="preserve">Plzeň 2015, </w:t>
      </w:r>
      <w:r>
        <w:rPr>
          <w:b/>
        </w:rPr>
        <w:t>zapsaný ústav</w:t>
      </w:r>
    </w:p>
    <w:p w:rsidR="00B17D9B" w:rsidRPr="00C927E6" w:rsidRDefault="00B17D9B" w:rsidP="00B17D9B">
      <w:pPr>
        <w:spacing w:before="720" w:after="0" w:line="240" w:lineRule="auto"/>
        <w:ind w:left="142"/>
        <w:jc w:val="both"/>
      </w:pPr>
      <w:r w:rsidRPr="00C927E6">
        <w:t>________________________</w:t>
      </w:r>
      <w:r>
        <w:t>______</w:t>
      </w:r>
      <w:r w:rsidRPr="00C927E6">
        <w:tab/>
      </w:r>
      <w:r w:rsidRPr="00C927E6">
        <w:tab/>
      </w:r>
      <w:r>
        <w:tab/>
      </w:r>
      <w:r>
        <w:tab/>
        <w:t xml:space="preserve">      </w:t>
      </w:r>
      <w:r w:rsidRPr="00C927E6">
        <w:t>___</w:t>
      </w:r>
      <w:r>
        <w:t>____</w:t>
      </w:r>
      <w:r w:rsidRPr="00C927E6">
        <w:t>_____________________</w:t>
      </w:r>
    </w:p>
    <w:p w:rsidR="00B17D9B" w:rsidRPr="0053036F" w:rsidRDefault="00B17D9B" w:rsidP="00B17D9B">
      <w:pPr>
        <w:spacing w:after="0" w:line="240" w:lineRule="auto"/>
        <w:ind w:left="142"/>
        <w:jc w:val="both"/>
      </w:pPr>
      <w:r>
        <w:rPr>
          <w:b/>
        </w:rPr>
        <w:t>Václava Sporková, ředitelka KD Peklo</w:t>
      </w:r>
      <w:r>
        <w:tab/>
      </w:r>
      <w:r w:rsidRPr="00C927E6">
        <w:tab/>
      </w:r>
      <w:r w:rsidRPr="00C927E6">
        <w:tab/>
      </w:r>
      <w:r w:rsidRPr="00C927E6">
        <w:tab/>
      </w:r>
      <w:r>
        <w:t xml:space="preserve">                             Pavel </w:t>
      </w:r>
      <w:proofErr w:type="spellStart"/>
      <w:r>
        <w:t>Razým</w:t>
      </w:r>
      <w:proofErr w:type="spellEnd"/>
      <w:r>
        <w:t xml:space="preserve">                  </w:t>
      </w:r>
    </w:p>
    <w:p w:rsidR="00AC5F50" w:rsidRPr="00C927E6" w:rsidRDefault="00B17D9B" w:rsidP="00B17D9B">
      <w:pPr>
        <w:spacing w:after="0" w:line="240" w:lineRule="auto"/>
        <w:ind w:left="142" w:firstLine="566"/>
        <w:jc w:val="both"/>
      </w:pPr>
      <w:r>
        <w:t xml:space="preserve">    Pronajímatel</w:t>
      </w:r>
      <w:r>
        <w:tab/>
      </w:r>
      <w:r>
        <w:tab/>
      </w:r>
      <w:r>
        <w:tab/>
      </w:r>
      <w:r>
        <w:tab/>
      </w:r>
      <w:r>
        <w:tab/>
      </w:r>
      <w:r>
        <w:tab/>
      </w:r>
      <w:r>
        <w:tab/>
        <w:t xml:space="preserve">                 Nájemce</w:t>
      </w:r>
    </w:p>
    <w:sectPr w:rsidR="00AC5F50" w:rsidRPr="00C927E6" w:rsidSect="00675B66">
      <w:footerReference w:type="default" r:id="rId8"/>
      <w:type w:val="continuous"/>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07" w:rsidRDefault="006C4D07" w:rsidP="005A54C9">
      <w:pPr>
        <w:spacing w:after="0" w:line="240" w:lineRule="auto"/>
      </w:pPr>
      <w:r>
        <w:separator/>
      </w:r>
    </w:p>
  </w:endnote>
  <w:endnote w:type="continuationSeparator" w:id="0">
    <w:p w:rsidR="006C4D07" w:rsidRDefault="006C4D07" w:rsidP="005A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Casual CE">
    <w:altName w:val="Courier New"/>
    <w:panose1 w:val="00000000000000000000"/>
    <w:charset w:val="00"/>
    <w:family w:val="script"/>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9F7" w:rsidRPr="005A54C9" w:rsidRDefault="004439F7" w:rsidP="005A54C9">
    <w:pPr>
      <w:pStyle w:val="Zpat"/>
      <w:jc w:val="center"/>
      <w:rPr>
        <w:sz w:val="16"/>
        <w:szCs w:val="16"/>
      </w:rPr>
    </w:pPr>
    <w:r w:rsidRPr="005A54C9">
      <w:rPr>
        <w:sz w:val="16"/>
        <w:szCs w:val="16"/>
      </w:rPr>
      <w:t xml:space="preserve">Stránka </w:t>
    </w:r>
    <w:r w:rsidRPr="005A54C9">
      <w:rPr>
        <w:b/>
        <w:bCs/>
        <w:sz w:val="16"/>
        <w:szCs w:val="16"/>
      </w:rPr>
      <w:fldChar w:fldCharType="begin"/>
    </w:r>
    <w:r w:rsidRPr="005A54C9">
      <w:rPr>
        <w:b/>
        <w:bCs/>
        <w:sz w:val="16"/>
        <w:szCs w:val="16"/>
      </w:rPr>
      <w:instrText>PAGE</w:instrText>
    </w:r>
    <w:r w:rsidRPr="005A54C9">
      <w:rPr>
        <w:b/>
        <w:bCs/>
        <w:sz w:val="16"/>
        <w:szCs w:val="16"/>
      </w:rPr>
      <w:fldChar w:fldCharType="separate"/>
    </w:r>
    <w:r w:rsidR="00DF2268">
      <w:rPr>
        <w:b/>
        <w:bCs/>
        <w:noProof/>
        <w:sz w:val="16"/>
        <w:szCs w:val="16"/>
      </w:rPr>
      <w:t>2</w:t>
    </w:r>
    <w:r w:rsidRPr="005A54C9">
      <w:rPr>
        <w:b/>
        <w:bCs/>
        <w:sz w:val="16"/>
        <w:szCs w:val="16"/>
      </w:rPr>
      <w:fldChar w:fldCharType="end"/>
    </w:r>
    <w:r w:rsidRPr="005A54C9">
      <w:rPr>
        <w:sz w:val="16"/>
        <w:szCs w:val="16"/>
      </w:rPr>
      <w:t xml:space="preserve"> z </w:t>
    </w:r>
    <w:r w:rsidRPr="005A54C9">
      <w:rPr>
        <w:b/>
        <w:bCs/>
        <w:sz w:val="16"/>
        <w:szCs w:val="16"/>
      </w:rPr>
      <w:fldChar w:fldCharType="begin"/>
    </w:r>
    <w:r w:rsidRPr="005A54C9">
      <w:rPr>
        <w:b/>
        <w:bCs/>
        <w:sz w:val="16"/>
        <w:szCs w:val="16"/>
      </w:rPr>
      <w:instrText>NUMPAGES</w:instrText>
    </w:r>
    <w:r w:rsidRPr="005A54C9">
      <w:rPr>
        <w:b/>
        <w:bCs/>
        <w:sz w:val="16"/>
        <w:szCs w:val="16"/>
      </w:rPr>
      <w:fldChar w:fldCharType="separate"/>
    </w:r>
    <w:r w:rsidR="00DF2268">
      <w:rPr>
        <w:b/>
        <w:bCs/>
        <w:noProof/>
        <w:sz w:val="16"/>
        <w:szCs w:val="16"/>
      </w:rPr>
      <w:t>10</w:t>
    </w:r>
    <w:r w:rsidRPr="005A54C9">
      <w:rPr>
        <w:b/>
        <w:bCs/>
        <w:sz w:val="16"/>
        <w:szCs w:val="16"/>
      </w:rPr>
      <w:fldChar w:fldCharType="end"/>
    </w:r>
  </w:p>
  <w:p w:rsidR="004439F7" w:rsidRPr="005A54C9" w:rsidRDefault="004439F7">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07" w:rsidRDefault="006C4D07" w:rsidP="005A54C9">
      <w:pPr>
        <w:spacing w:after="0" w:line="240" w:lineRule="auto"/>
      </w:pPr>
      <w:r>
        <w:separator/>
      </w:r>
    </w:p>
  </w:footnote>
  <w:footnote w:type="continuationSeparator" w:id="0">
    <w:p w:rsidR="006C4D07" w:rsidRDefault="006C4D07" w:rsidP="005A5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15:restartNumberingAfterBreak="0">
    <w:nsid w:val="0AE935FC"/>
    <w:multiLevelType w:val="multilevel"/>
    <w:tmpl w:val="7170521E"/>
    <w:lvl w:ilvl="0">
      <w:start w:val="7"/>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C430922"/>
    <w:multiLevelType w:val="multilevel"/>
    <w:tmpl w:val="39387A7E"/>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D523111"/>
    <w:multiLevelType w:val="multilevel"/>
    <w:tmpl w:val="0AB07AA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4" w15:restartNumberingAfterBreak="0">
    <w:nsid w:val="12F61826"/>
    <w:multiLevelType w:val="hybridMultilevel"/>
    <w:tmpl w:val="06822408"/>
    <w:lvl w:ilvl="0" w:tplc="477CC382">
      <w:start w:val="9"/>
      <w:numFmt w:val="bullet"/>
      <w:lvlText w:val="-"/>
      <w:lvlJc w:val="left"/>
      <w:pPr>
        <w:ind w:left="2148" w:hanging="360"/>
      </w:pPr>
      <w:rPr>
        <w:rFonts w:ascii="Times New Roman" w:eastAsia="Times New Roman" w:hAnsi="Times New Roman" w:hint="default"/>
        <w:i/>
        <w:color w:val="FF0000"/>
      </w:rPr>
    </w:lvl>
    <w:lvl w:ilvl="1" w:tplc="04050003" w:tentative="1">
      <w:start w:val="1"/>
      <w:numFmt w:val="bullet"/>
      <w:lvlText w:val="o"/>
      <w:lvlJc w:val="left"/>
      <w:pPr>
        <w:ind w:left="2868" w:hanging="360"/>
      </w:pPr>
      <w:rPr>
        <w:rFonts w:ascii="Courier New" w:hAnsi="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5" w15:restartNumberingAfterBreak="0">
    <w:nsid w:val="1B206040"/>
    <w:multiLevelType w:val="multilevel"/>
    <w:tmpl w:val="1A8CDA12"/>
    <w:lvl w:ilvl="0">
      <w:start w:val="4"/>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33DC35A1"/>
    <w:multiLevelType w:val="hybridMultilevel"/>
    <w:tmpl w:val="5B148672"/>
    <w:lvl w:ilvl="0" w:tplc="04050001">
      <w:start w:val="1"/>
      <w:numFmt w:val="bullet"/>
      <w:lvlText w:val=""/>
      <w:lvlJc w:val="left"/>
      <w:pPr>
        <w:ind w:left="1353" w:hanging="360"/>
      </w:pPr>
      <w:rPr>
        <w:rFonts w:ascii="Symbol" w:hAnsi="Symbol" w:hint="default"/>
      </w:rPr>
    </w:lvl>
    <w:lvl w:ilvl="1" w:tplc="04050019">
      <w:start w:val="1"/>
      <w:numFmt w:val="lowerLetter"/>
      <w:lvlText w:val="%2."/>
      <w:lvlJc w:val="left"/>
      <w:pPr>
        <w:ind w:left="2073" w:hanging="360"/>
      </w:pPr>
      <w:rPr>
        <w:rFonts w:cs="Times New Roman"/>
      </w:rPr>
    </w:lvl>
    <w:lvl w:ilvl="2" w:tplc="0405001B">
      <w:start w:val="1"/>
      <w:numFmt w:val="lowerRoman"/>
      <w:lvlText w:val="%3."/>
      <w:lvlJc w:val="right"/>
      <w:pPr>
        <w:ind w:left="2793" w:hanging="180"/>
      </w:pPr>
      <w:rPr>
        <w:rFonts w:cs="Times New Roman"/>
      </w:rPr>
    </w:lvl>
    <w:lvl w:ilvl="3" w:tplc="0405000F">
      <w:start w:val="1"/>
      <w:numFmt w:val="decimal"/>
      <w:lvlText w:val="%4."/>
      <w:lvlJc w:val="left"/>
      <w:pPr>
        <w:ind w:left="3513" w:hanging="360"/>
      </w:pPr>
      <w:rPr>
        <w:rFonts w:cs="Times New Roman"/>
      </w:rPr>
    </w:lvl>
    <w:lvl w:ilvl="4" w:tplc="04050019">
      <w:start w:val="1"/>
      <w:numFmt w:val="lowerLetter"/>
      <w:lvlText w:val="%5."/>
      <w:lvlJc w:val="left"/>
      <w:pPr>
        <w:ind w:left="4233" w:hanging="360"/>
      </w:pPr>
      <w:rPr>
        <w:rFonts w:cs="Times New Roman"/>
      </w:rPr>
    </w:lvl>
    <w:lvl w:ilvl="5" w:tplc="0405001B">
      <w:start w:val="1"/>
      <w:numFmt w:val="lowerRoman"/>
      <w:lvlText w:val="%6."/>
      <w:lvlJc w:val="right"/>
      <w:pPr>
        <w:ind w:left="4953" w:hanging="180"/>
      </w:pPr>
      <w:rPr>
        <w:rFonts w:cs="Times New Roman"/>
      </w:rPr>
    </w:lvl>
    <w:lvl w:ilvl="6" w:tplc="0405000F">
      <w:start w:val="1"/>
      <w:numFmt w:val="decimal"/>
      <w:lvlText w:val="%7."/>
      <w:lvlJc w:val="left"/>
      <w:pPr>
        <w:ind w:left="5673" w:hanging="360"/>
      </w:pPr>
      <w:rPr>
        <w:rFonts w:cs="Times New Roman"/>
      </w:rPr>
    </w:lvl>
    <w:lvl w:ilvl="7" w:tplc="04050019">
      <w:start w:val="1"/>
      <w:numFmt w:val="lowerLetter"/>
      <w:lvlText w:val="%8."/>
      <w:lvlJc w:val="left"/>
      <w:pPr>
        <w:ind w:left="6393" w:hanging="360"/>
      </w:pPr>
      <w:rPr>
        <w:rFonts w:cs="Times New Roman"/>
      </w:rPr>
    </w:lvl>
    <w:lvl w:ilvl="8" w:tplc="0405001B">
      <w:start w:val="1"/>
      <w:numFmt w:val="lowerRoman"/>
      <w:lvlText w:val="%9."/>
      <w:lvlJc w:val="right"/>
      <w:pPr>
        <w:ind w:left="7113" w:hanging="180"/>
      </w:pPr>
      <w:rPr>
        <w:rFonts w:cs="Times New Roman"/>
      </w:rPr>
    </w:lvl>
  </w:abstractNum>
  <w:abstractNum w:abstractNumId="8" w15:restartNumberingAfterBreak="0">
    <w:nsid w:val="3D425C36"/>
    <w:multiLevelType w:val="multilevel"/>
    <w:tmpl w:val="E3EC904A"/>
    <w:lvl w:ilvl="0">
      <w:start w:val="1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9" w15:restartNumberingAfterBreak="0">
    <w:nsid w:val="43781179"/>
    <w:multiLevelType w:val="multilevel"/>
    <w:tmpl w:val="1758E8E6"/>
    <w:lvl w:ilvl="0">
      <w:start w:val="1"/>
      <w:numFmt w:val="decimal"/>
      <w:lvlText w:val="%1."/>
      <w:lvlJc w:val="left"/>
      <w:pPr>
        <w:tabs>
          <w:tab w:val="num" w:pos="708"/>
        </w:tabs>
        <w:ind w:left="708" w:hanging="708"/>
      </w:pPr>
      <w:rPr>
        <w:rFonts w:cs="Times New Roman" w:hint="default"/>
      </w:rPr>
    </w:lvl>
    <w:lvl w:ilvl="1">
      <w:start w:val="1"/>
      <w:numFmt w:val="bullet"/>
      <w:lvlText w:val=""/>
      <w:lvlJc w:val="left"/>
      <w:pPr>
        <w:tabs>
          <w:tab w:val="num" w:pos="1416"/>
        </w:tabs>
        <w:ind w:left="1416" w:hanging="708"/>
      </w:pPr>
      <w:rPr>
        <w:rFonts w:ascii="Symbol" w:hAnsi="Symbol"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688"/>
        </w:tabs>
        <w:ind w:left="5688" w:hanging="144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464"/>
        </w:tabs>
        <w:ind w:left="7464" w:hanging="1800"/>
      </w:pPr>
      <w:rPr>
        <w:rFonts w:cs="Times New Roman" w:hint="default"/>
      </w:rPr>
    </w:lvl>
  </w:abstractNum>
  <w:abstractNum w:abstractNumId="10" w15:restartNumberingAfterBreak="0">
    <w:nsid w:val="5BFF08C4"/>
    <w:multiLevelType w:val="multilevel"/>
    <w:tmpl w:val="E7042402"/>
    <w:lvl w:ilvl="0">
      <w:start w:val="8"/>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5CEF0431"/>
    <w:multiLevelType w:val="multilevel"/>
    <w:tmpl w:val="EFA88EE2"/>
    <w:lvl w:ilvl="0">
      <w:start w:val="1"/>
      <w:numFmt w:val="decimal"/>
      <w:pStyle w:val="rove1"/>
      <w:lvlText w:val="%1."/>
      <w:lvlJc w:val="left"/>
      <w:pPr>
        <w:tabs>
          <w:tab w:val="num" w:pos="708"/>
        </w:tabs>
        <w:ind w:left="708" w:hanging="708"/>
      </w:pPr>
      <w:rPr>
        <w:rFonts w:cs="Times New Roman"/>
      </w:rPr>
    </w:lvl>
    <w:lvl w:ilvl="1">
      <w:start w:val="1"/>
      <w:numFmt w:val="decimal"/>
      <w:pStyle w:val="rove2"/>
      <w:isLgl/>
      <w:lvlText w:val="%1.%2."/>
      <w:lvlJc w:val="left"/>
      <w:pPr>
        <w:tabs>
          <w:tab w:val="num" w:pos="1788"/>
        </w:tabs>
        <w:ind w:left="1788" w:hanging="708"/>
      </w:pPr>
      <w:rPr>
        <w:rFonts w:ascii="Times New Roman" w:hAnsi="Times New Roman" w:cs="Times New Roman" w:hint="default"/>
        <w:i w:val="0"/>
        <w:sz w:val="24"/>
      </w:rPr>
    </w:lvl>
    <w:lvl w:ilvl="2">
      <w:start w:val="1"/>
      <w:numFmt w:val="lowerLetter"/>
      <w:pStyle w:val="rove3"/>
      <w:isLgl/>
      <w:lvlText w:val="%3)"/>
      <w:lvlJc w:val="left"/>
      <w:pPr>
        <w:tabs>
          <w:tab w:val="num" w:pos="2136"/>
        </w:tabs>
        <w:ind w:left="2136" w:hanging="720"/>
      </w:pPr>
      <w:rPr>
        <w:rFonts w:ascii="Calibri" w:eastAsia="Times New Roman" w:hAnsi="Calibri" w:cs="Calibri"/>
      </w:rPr>
    </w:lvl>
    <w:lvl w:ilvl="3">
      <w:start w:val="1"/>
      <w:numFmt w:val="decimal"/>
      <w:isLgl/>
      <w:lvlText w:val="%1.%2.%3.%4."/>
      <w:lvlJc w:val="left"/>
      <w:pPr>
        <w:tabs>
          <w:tab w:val="num" w:pos="2844"/>
        </w:tabs>
        <w:ind w:left="2844" w:hanging="720"/>
      </w:pPr>
      <w:rPr>
        <w:rFonts w:cs="Times New Roman"/>
      </w:rPr>
    </w:lvl>
    <w:lvl w:ilvl="4">
      <w:start w:val="1"/>
      <w:numFmt w:val="decimal"/>
      <w:isLgl/>
      <w:lvlText w:val="%1.%2.%3.%4.%5."/>
      <w:lvlJc w:val="left"/>
      <w:pPr>
        <w:tabs>
          <w:tab w:val="num" w:pos="3912"/>
        </w:tabs>
        <w:ind w:left="3912" w:hanging="1080"/>
      </w:pPr>
      <w:rPr>
        <w:rFonts w:cs="Times New Roman"/>
      </w:rPr>
    </w:lvl>
    <w:lvl w:ilvl="5">
      <w:start w:val="1"/>
      <w:numFmt w:val="decimal"/>
      <w:isLgl/>
      <w:lvlText w:val="%1.%2.%3.%4.%5.%6."/>
      <w:lvlJc w:val="left"/>
      <w:pPr>
        <w:tabs>
          <w:tab w:val="num" w:pos="4620"/>
        </w:tabs>
        <w:ind w:left="4620" w:hanging="1080"/>
      </w:pPr>
      <w:rPr>
        <w:rFonts w:cs="Times New Roman"/>
      </w:rPr>
    </w:lvl>
    <w:lvl w:ilvl="6">
      <w:start w:val="1"/>
      <w:numFmt w:val="decimal"/>
      <w:isLgl/>
      <w:lvlText w:val="%1.%2.%3.%4.%5.%6.%7."/>
      <w:lvlJc w:val="left"/>
      <w:pPr>
        <w:tabs>
          <w:tab w:val="num" w:pos="5688"/>
        </w:tabs>
        <w:ind w:left="5688" w:hanging="1440"/>
      </w:pPr>
      <w:rPr>
        <w:rFonts w:cs="Times New Roman"/>
      </w:rPr>
    </w:lvl>
    <w:lvl w:ilvl="7">
      <w:start w:val="1"/>
      <w:numFmt w:val="decimal"/>
      <w:isLgl/>
      <w:lvlText w:val="%1.%2.%3.%4.%5.%6.%7.%8."/>
      <w:lvlJc w:val="left"/>
      <w:pPr>
        <w:tabs>
          <w:tab w:val="num" w:pos="6396"/>
        </w:tabs>
        <w:ind w:left="6396" w:hanging="1440"/>
      </w:pPr>
      <w:rPr>
        <w:rFonts w:cs="Times New Roman"/>
      </w:rPr>
    </w:lvl>
    <w:lvl w:ilvl="8">
      <w:start w:val="1"/>
      <w:numFmt w:val="decimal"/>
      <w:isLgl/>
      <w:lvlText w:val="%1.%2.%3.%4.%5.%6.%7.%8.%9."/>
      <w:lvlJc w:val="left"/>
      <w:pPr>
        <w:tabs>
          <w:tab w:val="num" w:pos="7464"/>
        </w:tabs>
        <w:ind w:left="7464" w:hanging="1800"/>
      </w:pPr>
      <w:rPr>
        <w:rFonts w:cs="Times New Roman"/>
      </w:rPr>
    </w:lvl>
  </w:abstractNum>
  <w:abstractNum w:abstractNumId="12" w15:restartNumberingAfterBreak="0">
    <w:nsid w:val="5E0C3F5F"/>
    <w:multiLevelType w:val="multilevel"/>
    <w:tmpl w:val="CAFA4E20"/>
    <w:lvl w:ilvl="0">
      <w:start w:val="1"/>
      <w:numFmt w:val="decimal"/>
      <w:pStyle w:val="StylSmluv1"/>
      <w:lvlText w:val="čl. %1"/>
      <w:lvlJc w:val="left"/>
      <w:pPr>
        <w:tabs>
          <w:tab w:val="num" w:pos="567"/>
        </w:tabs>
      </w:pPr>
      <w:rPr>
        <w:rFonts w:ascii="Calibri" w:hAnsi="Calibri" w:cs="Times New Roman" w:hint="default"/>
      </w:rPr>
    </w:lvl>
    <w:lvl w:ilvl="1">
      <w:start w:val="1"/>
      <w:numFmt w:val="decimal"/>
      <w:pStyle w:val="StylSmluv2"/>
      <w:lvlText w:val="%1.%2."/>
      <w:lvlJc w:val="left"/>
      <w:pPr>
        <w:tabs>
          <w:tab w:val="num" w:pos="567"/>
        </w:tabs>
        <w:ind w:left="567" w:hanging="567"/>
      </w:pPr>
      <w:rPr>
        <w:rFonts w:cs="Times New Roman" w:hint="default"/>
      </w:rPr>
    </w:lvl>
    <w:lvl w:ilvl="2">
      <w:start w:val="1"/>
      <w:numFmt w:val="lowerLetter"/>
      <w:pStyle w:val="StylSmmluv3"/>
      <w:lvlText w:val="(%3)"/>
      <w:lvlJc w:val="left"/>
      <w:pPr>
        <w:tabs>
          <w:tab w:val="num" w:pos="567"/>
        </w:tabs>
        <w:ind w:left="1021" w:hanging="45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5EB77034"/>
    <w:multiLevelType w:val="hybridMultilevel"/>
    <w:tmpl w:val="7156573E"/>
    <w:lvl w:ilvl="0" w:tplc="04050001">
      <w:start w:val="1"/>
      <w:numFmt w:val="bullet"/>
      <w:lvlText w:val=""/>
      <w:lvlJc w:val="left"/>
      <w:pPr>
        <w:tabs>
          <w:tab w:val="num" w:pos="1616"/>
        </w:tabs>
        <w:ind w:left="1616" w:hanging="360"/>
      </w:pPr>
      <w:rPr>
        <w:rFonts w:ascii="Symbol" w:hAnsi="Symbol" w:hint="default"/>
      </w:rPr>
    </w:lvl>
    <w:lvl w:ilvl="1" w:tplc="04050003" w:tentative="1">
      <w:start w:val="1"/>
      <w:numFmt w:val="bullet"/>
      <w:lvlText w:val="o"/>
      <w:lvlJc w:val="left"/>
      <w:pPr>
        <w:tabs>
          <w:tab w:val="num" w:pos="2336"/>
        </w:tabs>
        <w:ind w:left="2336" w:hanging="360"/>
      </w:pPr>
      <w:rPr>
        <w:rFonts w:ascii="Courier New" w:hAnsi="Courier New" w:hint="default"/>
      </w:rPr>
    </w:lvl>
    <w:lvl w:ilvl="2" w:tplc="04050005" w:tentative="1">
      <w:start w:val="1"/>
      <w:numFmt w:val="bullet"/>
      <w:lvlText w:val=""/>
      <w:lvlJc w:val="left"/>
      <w:pPr>
        <w:tabs>
          <w:tab w:val="num" w:pos="3056"/>
        </w:tabs>
        <w:ind w:left="3056" w:hanging="360"/>
      </w:pPr>
      <w:rPr>
        <w:rFonts w:ascii="Wingdings" w:hAnsi="Wingdings" w:hint="default"/>
      </w:rPr>
    </w:lvl>
    <w:lvl w:ilvl="3" w:tplc="04050001" w:tentative="1">
      <w:start w:val="1"/>
      <w:numFmt w:val="bullet"/>
      <w:lvlText w:val=""/>
      <w:lvlJc w:val="left"/>
      <w:pPr>
        <w:tabs>
          <w:tab w:val="num" w:pos="3776"/>
        </w:tabs>
        <w:ind w:left="3776" w:hanging="360"/>
      </w:pPr>
      <w:rPr>
        <w:rFonts w:ascii="Symbol" w:hAnsi="Symbol" w:hint="default"/>
      </w:rPr>
    </w:lvl>
    <w:lvl w:ilvl="4" w:tplc="04050003" w:tentative="1">
      <w:start w:val="1"/>
      <w:numFmt w:val="bullet"/>
      <w:lvlText w:val="o"/>
      <w:lvlJc w:val="left"/>
      <w:pPr>
        <w:tabs>
          <w:tab w:val="num" w:pos="4496"/>
        </w:tabs>
        <w:ind w:left="4496" w:hanging="360"/>
      </w:pPr>
      <w:rPr>
        <w:rFonts w:ascii="Courier New" w:hAnsi="Courier New" w:hint="default"/>
      </w:rPr>
    </w:lvl>
    <w:lvl w:ilvl="5" w:tplc="04050005" w:tentative="1">
      <w:start w:val="1"/>
      <w:numFmt w:val="bullet"/>
      <w:lvlText w:val=""/>
      <w:lvlJc w:val="left"/>
      <w:pPr>
        <w:tabs>
          <w:tab w:val="num" w:pos="5216"/>
        </w:tabs>
        <w:ind w:left="5216" w:hanging="360"/>
      </w:pPr>
      <w:rPr>
        <w:rFonts w:ascii="Wingdings" w:hAnsi="Wingdings" w:hint="default"/>
      </w:rPr>
    </w:lvl>
    <w:lvl w:ilvl="6" w:tplc="04050001" w:tentative="1">
      <w:start w:val="1"/>
      <w:numFmt w:val="bullet"/>
      <w:lvlText w:val=""/>
      <w:lvlJc w:val="left"/>
      <w:pPr>
        <w:tabs>
          <w:tab w:val="num" w:pos="5936"/>
        </w:tabs>
        <w:ind w:left="5936" w:hanging="360"/>
      </w:pPr>
      <w:rPr>
        <w:rFonts w:ascii="Symbol" w:hAnsi="Symbol" w:hint="default"/>
      </w:rPr>
    </w:lvl>
    <w:lvl w:ilvl="7" w:tplc="04050003" w:tentative="1">
      <w:start w:val="1"/>
      <w:numFmt w:val="bullet"/>
      <w:lvlText w:val="o"/>
      <w:lvlJc w:val="left"/>
      <w:pPr>
        <w:tabs>
          <w:tab w:val="num" w:pos="6656"/>
        </w:tabs>
        <w:ind w:left="6656" w:hanging="360"/>
      </w:pPr>
      <w:rPr>
        <w:rFonts w:ascii="Courier New" w:hAnsi="Courier New" w:hint="default"/>
      </w:rPr>
    </w:lvl>
    <w:lvl w:ilvl="8" w:tplc="04050005" w:tentative="1">
      <w:start w:val="1"/>
      <w:numFmt w:val="bullet"/>
      <w:lvlText w:val=""/>
      <w:lvlJc w:val="left"/>
      <w:pPr>
        <w:tabs>
          <w:tab w:val="num" w:pos="7376"/>
        </w:tabs>
        <w:ind w:left="7376" w:hanging="360"/>
      </w:pPr>
      <w:rPr>
        <w:rFonts w:ascii="Wingdings" w:hAnsi="Wingdings" w:hint="default"/>
      </w:rPr>
    </w:lvl>
  </w:abstractNum>
  <w:abstractNum w:abstractNumId="14" w15:restartNumberingAfterBreak="0">
    <w:nsid w:val="62C0344A"/>
    <w:multiLevelType w:val="hybridMultilevel"/>
    <w:tmpl w:val="763AE8FE"/>
    <w:lvl w:ilvl="0" w:tplc="04050001">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2340"/>
        </w:tabs>
        <w:ind w:left="2340" w:hanging="360"/>
      </w:pPr>
      <w:rPr>
        <w:rFonts w:ascii="Courier New" w:hAnsi="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7537142C"/>
    <w:multiLevelType w:val="hybridMultilevel"/>
    <w:tmpl w:val="3C44472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6" w15:restartNumberingAfterBreak="0">
    <w:nsid w:val="7A68417D"/>
    <w:multiLevelType w:val="multilevel"/>
    <w:tmpl w:val="D3783F0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2"/>
  </w:num>
  <w:num w:numId="2">
    <w:abstractNumId w:val="11"/>
  </w:num>
  <w:num w:numId="3">
    <w:abstractNumId w:val="4"/>
  </w:num>
  <w:num w:numId="4">
    <w:abstractNumId w:val="7"/>
  </w:num>
  <w:num w:numId="5">
    <w:abstractNumId w:val="15"/>
  </w:num>
  <w:num w:numId="6">
    <w:abstractNumId w:val="9"/>
  </w:num>
  <w:num w:numId="7">
    <w:abstractNumId w:val="12"/>
  </w:num>
  <w:num w:numId="8">
    <w:abstractNumId w:val="12"/>
  </w:num>
  <w:num w:numId="9">
    <w:abstractNumId w:val="12"/>
  </w:num>
  <w:num w:numId="10">
    <w:abstractNumId w:val="12"/>
  </w:num>
  <w:num w:numId="11">
    <w:abstractNumId w:val="12"/>
  </w:num>
  <w:num w:numId="12">
    <w:abstractNumId w:val="16"/>
  </w:num>
  <w:num w:numId="13">
    <w:abstractNumId w:val="3"/>
  </w:num>
  <w:num w:numId="14">
    <w:abstractNumId w:val="5"/>
  </w:num>
  <w:num w:numId="15">
    <w:abstractNumId w:val="14"/>
  </w:num>
  <w:num w:numId="16">
    <w:abstractNumId w:val="12"/>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
  </w:num>
  <w:num w:numId="27">
    <w:abstractNumId w:val="12"/>
  </w:num>
  <w:num w:numId="28">
    <w:abstractNumId w:val="10"/>
  </w:num>
  <w:num w:numId="29">
    <w:abstractNumId w:val="12"/>
  </w:num>
  <w:num w:numId="30">
    <w:abstractNumId w:val="12"/>
  </w:num>
  <w:num w:numId="31">
    <w:abstractNumId w:val="13"/>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8"/>
  </w:num>
  <w:num w:numId="4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2"/>
  </w:num>
  <w:num w:numId="43">
    <w:abstractNumId w:val="0"/>
  </w:num>
  <w:num w:numId="44">
    <w:abstractNumId w:val="6"/>
  </w:num>
  <w:num w:numId="4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g+1D63ExCsLdgFMsCtGji8ollKOqlFpiwkqBW+ONz3HoPSQf0iyIJ4k1JD0GxNe44opaPzfi4TXArKxPjk89Q==" w:salt="31upjuZTBlC9OKT94o4E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75"/>
    <w:rsid w:val="00006D28"/>
    <w:rsid w:val="00007C05"/>
    <w:rsid w:val="000176BF"/>
    <w:rsid w:val="000210FB"/>
    <w:rsid w:val="00024265"/>
    <w:rsid w:val="00024907"/>
    <w:rsid w:val="00027190"/>
    <w:rsid w:val="0006026B"/>
    <w:rsid w:val="000637EB"/>
    <w:rsid w:val="000666EE"/>
    <w:rsid w:val="000848EE"/>
    <w:rsid w:val="00093DE3"/>
    <w:rsid w:val="000A34DF"/>
    <w:rsid w:val="000A781D"/>
    <w:rsid w:val="000B72E8"/>
    <w:rsid w:val="000C35DF"/>
    <w:rsid w:val="000D7514"/>
    <w:rsid w:val="000E361C"/>
    <w:rsid w:val="00103B38"/>
    <w:rsid w:val="00107D16"/>
    <w:rsid w:val="00134D0C"/>
    <w:rsid w:val="00141DD3"/>
    <w:rsid w:val="00144D5C"/>
    <w:rsid w:val="00147CC5"/>
    <w:rsid w:val="0015257C"/>
    <w:rsid w:val="0016102E"/>
    <w:rsid w:val="00172960"/>
    <w:rsid w:val="00173034"/>
    <w:rsid w:val="00177BDE"/>
    <w:rsid w:val="00196733"/>
    <w:rsid w:val="001C453D"/>
    <w:rsid w:val="001D0F5E"/>
    <w:rsid w:val="001E1C21"/>
    <w:rsid w:val="001E6FA2"/>
    <w:rsid w:val="00203F62"/>
    <w:rsid w:val="0022006A"/>
    <w:rsid w:val="0023467B"/>
    <w:rsid w:val="00241CBC"/>
    <w:rsid w:val="00281423"/>
    <w:rsid w:val="00283485"/>
    <w:rsid w:val="002870C3"/>
    <w:rsid w:val="002874F7"/>
    <w:rsid w:val="00293AB0"/>
    <w:rsid w:val="002A2C57"/>
    <w:rsid w:val="002B7E13"/>
    <w:rsid w:val="002C33AB"/>
    <w:rsid w:val="002D5140"/>
    <w:rsid w:val="002D7118"/>
    <w:rsid w:val="002D7BF1"/>
    <w:rsid w:val="002F5CC0"/>
    <w:rsid w:val="00305F38"/>
    <w:rsid w:val="00320BDE"/>
    <w:rsid w:val="003222CA"/>
    <w:rsid w:val="00332048"/>
    <w:rsid w:val="003329DC"/>
    <w:rsid w:val="00335A87"/>
    <w:rsid w:val="00335ABF"/>
    <w:rsid w:val="00335CC9"/>
    <w:rsid w:val="00357D6B"/>
    <w:rsid w:val="00360AD5"/>
    <w:rsid w:val="00366A1E"/>
    <w:rsid w:val="003741E7"/>
    <w:rsid w:val="00374BD0"/>
    <w:rsid w:val="00383AB8"/>
    <w:rsid w:val="00385F89"/>
    <w:rsid w:val="0038701B"/>
    <w:rsid w:val="00395E14"/>
    <w:rsid w:val="003A30CE"/>
    <w:rsid w:val="003A6681"/>
    <w:rsid w:val="003B300C"/>
    <w:rsid w:val="003B678B"/>
    <w:rsid w:val="003B7766"/>
    <w:rsid w:val="003D1BD9"/>
    <w:rsid w:val="003D67DA"/>
    <w:rsid w:val="003D7446"/>
    <w:rsid w:val="003E5CEF"/>
    <w:rsid w:val="00404B6F"/>
    <w:rsid w:val="00404B7E"/>
    <w:rsid w:val="00406736"/>
    <w:rsid w:val="004229C7"/>
    <w:rsid w:val="00434AE5"/>
    <w:rsid w:val="004439F7"/>
    <w:rsid w:val="00443B6F"/>
    <w:rsid w:val="0044745D"/>
    <w:rsid w:val="00480075"/>
    <w:rsid w:val="004859F9"/>
    <w:rsid w:val="004B16F3"/>
    <w:rsid w:val="004C2FD7"/>
    <w:rsid w:val="004D6651"/>
    <w:rsid w:val="004E0A1C"/>
    <w:rsid w:val="004E756C"/>
    <w:rsid w:val="004F7624"/>
    <w:rsid w:val="005166E8"/>
    <w:rsid w:val="0053036F"/>
    <w:rsid w:val="00532B68"/>
    <w:rsid w:val="00533F3D"/>
    <w:rsid w:val="00536E25"/>
    <w:rsid w:val="00537F91"/>
    <w:rsid w:val="00553C4E"/>
    <w:rsid w:val="00556A8A"/>
    <w:rsid w:val="00557326"/>
    <w:rsid w:val="0056013A"/>
    <w:rsid w:val="005723B3"/>
    <w:rsid w:val="00573A42"/>
    <w:rsid w:val="00574484"/>
    <w:rsid w:val="00580320"/>
    <w:rsid w:val="00580715"/>
    <w:rsid w:val="00582652"/>
    <w:rsid w:val="005852FE"/>
    <w:rsid w:val="005A0F32"/>
    <w:rsid w:val="005A54C9"/>
    <w:rsid w:val="005A5E4B"/>
    <w:rsid w:val="005C6588"/>
    <w:rsid w:val="005D49BC"/>
    <w:rsid w:val="005D6BB8"/>
    <w:rsid w:val="005F3CF9"/>
    <w:rsid w:val="006005B1"/>
    <w:rsid w:val="00616D2E"/>
    <w:rsid w:val="0065007F"/>
    <w:rsid w:val="00650A1F"/>
    <w:rsid w:val="00650AF9"/>
    <w:rsid w:val="00675B66"/>
    <w:rsid w:val="006776BF"/>
    <w:rsid w:val="00682F39"/>
    <w:rsid w:val="0069218B"/>
    <w:rsid w:val="006A3696"/>
    <w:rsid w:val="006B3388"/>
    <w:rsid w:val="006C4D07"/>
    <w:rsid w:val="006C6D18"/>
    <w:rsid w:val="006E1BB4"/>
    <w:rsid w:val="0070272D"/>
    <w:rsid w:val="0071198F"/>
    <w:rsid w:val="00711AD5"/>
    <w:rsid w:val="0071265C"/>
    <w:rsid w:val="00715FAC"/>
    <w:rsid w:val="007240BA"/>
    <w:rsid w:val="007310F3"/>
    <w:rsid w:val="00737AAF"/>
    <w:rsid w:val="00744EBF"/>
    <w:rsid w:val="00751478"/>
    <w:rsid w:val="00751F16"/>
    <w:rsid w:val="00757848"/>
    <w:rsid w:val="00783066"/>
    <w:rsid w:val="00792481"/>
    <w:rsid w:val="00793565"/>
    <w:rsid w:val="007A6975"/>
    <w:rsid w:val="007A7BB2"/>
    <w:rsid w:val="007B602A"/>
    <w:rsid w:val="007C1F5F"/>
    <w:rsid w:val="007C79F5"/>
    <w:rsid w:val="007D0434"/>
    <w:rsid w:val="007E1975"/>
    <w:rsid w:val="007E6135"/>
    <w:rsid w:val="007E76D2"/>
    <w:rsid w:val="007F40FA"/>
    <w:rsid w:val="007F635B"/>
    <w:rsid w:val="00801D15"/>
    <w:rsid w:val="0081046F"/>
    <w:rsid w:val="008177FA"/>
    <w:rsid w:val="00820902"/>
    <w:rsid w:val="00826EF1"/>
    <w:rsid w:val="00842025"/>
    <w:rsid w:val="00855B67"/>
    <w:rsid w:val="00892899"/>
    <w:rsid w:val="008A3560"/>
    <w:rsid w:val="008A4C85"/>
    <w:rsid w:val="008B1B1C"/>
    <w:rsid w:val="008B284F"/>
    <w:rsid w:val="008B4D06"/>
    <w:rsid w:val="008D3BFB"/>
    <w:rsid w:val="008F226D"/>
    <w:rsid w:val="0091298C"/>
    <w:rsid w:val="00916F19"/>
    <w:rsid w:val="00924D08"/>
    <w:rsid w:val="0092715D"/>
    <w:rsid w:val="00944DCC"/>
    <w:rsid w:val="009656CB"/>
    <w:rsid w:val="00982692"/>
    <w:rsid w:val="00984F3B"/>
    <w:rsid w:val="0099119F"/>
    <w:rsid w:val="00993FC6"/>
    <w:rsid w:val="009A0087"/>
    <w:rsid w:val="009A0D69"/>
    <w:rsid w:val="009C2E70"/>
    <w:rsid w:val="009D75AC"/>
    <w:rsid w:val="009E68A3"/>
    <w:rsid w:val="009E6D64"/>
    <w:rsid w:val="009F1790"/>
    <w:rsid w:val="00A20C17"/>
    <w:rsid w:val="00A250AA"/>
    <w:rsid w:val="00A36490"/>
    <w:rsid w:val="00A468D3"/>
    <w:rsid w:val="00A55D93"/>
    <w:rsid w:val="00A60F68"/>
    <w:rsid w:val="00A75986"/>
    <w:rsid w:val="00A80695"/>
    <w:rsid w:val="00A86CF0"/>
    <w:rsid w:val="00A9029E"/>
    <w:rsid w:val="00A90319"/>
    <w:rsid w:val="00AA47F3"/>
    <w:rsid w:val="00AA5217"/>
    <w:rsid w:val="00AC0646"/>
    <w:rsid w:val="00AC5F50"/>
    <w:rsid w:val="00AC616C"/>
    <w:rsid w:val="00AD216E"/>
    <w:rsid w:val="00AE08C7"/>
    <w:rsid w:val="00B04FC9"/>
    <w:rsid w:val="00B051CA"/>
    <w:rsid w:val="00B10231"/>
    <w:rsid w:val="00B13A23"/>
    <w:rsid w:val="00B17D9B"/>
    <w:rsid w:val="00B33817"/>
    <w:rsid w:val="00B53790"/>
    <w:rsid w:val="00B55D88"/>
    <w:rsid w:val="00B67BB0"/>
    <w:rsid w:val="00B7565A"/>
    <w:rsid w:val="00B83F4D"/>
    <w:rsid w:val="00BB425F"/>
    <w:rsid w:val="00BC7721"/>
    <w:rsid w:val="00BD435E"/>
    <w:rsid w:val="00BE13DE"/>
    <w:rsid w:val="00BE1AEB"/>
    <w:rsid w:val="00BE2B87"/>
    <w:rsid w:val="00BE43CF"/>
    <w:rsid w:val="00BF005A"/>
    <w:rsid w:val="00BF1784"/>
    <w:rsid w:val="00C2508F"/>
    <w:rsid w:val="00C332F3"/>
    <w:rsid w:val="00C473AE"/>
    <w:rsid w:val="00C677F6"/>
    <w:rsid w:val="00C77CC8"/>
    <w:rsid w:val="00C927E6"/>
    <w:rsid w:val="00C93F11"/>
    <w:rsid w:val="00CA365F"/>
    <w:rsid w:val="00CD22F5"/>
    <w:rsid w:val="00CF34A0"/>
    <w:rsid w:val="00CF7BC1"/>
    <w:rsid w:val="00D03992"/>
    <w:rsid w:val="00D07BEF"/>
    <w:rsid w:val="00D12979"/>
    <w:rsid w:val="00D15186"/>
    <w:rsid w:val="00D15CC8"/>
    <w:rsid w:val="00D202EB"/>
    <w:rsid w:val="00D35B85"/>
    <w:rsid w:val="00D64849"/>
    <w:rsid w:val="00D66021"/>
    <w:rsid w:val="00D705DD"/>
    <w:rsid w:val="00DA5CC0"/>
    <w:rsid w:val="00DA72D2"/>
    <w:rsid w:val="00DC243A"/>
    <w:rsid w:val="00DE67E7"/>
    <w:rsid w:val="00DF1B07"/>
    <w:rsid w:val="00DF2268"/>
    <w:rsid w:val="00E20B9E"/>
    <w:rsid w:val="00E50C35"/>
    <w:rsid w:val="00E642DC"/>
    <w:rsid w:val="00E714B8"/>
    <w:rsid w:val="00E76ECE"/>
    <w:rsid w:val="00E948E7"/>
    <w:rsid w:val="00EA3F75"/>
    <w:rsid w:val="00EB1788"/>
    <w:rsid w:val="00EB78A9"/>
    <w:rsid w:val="00EC1070"/>
    <w:rsid w:val="00EC7B54"/>
    <w:rsid w:val="00ED3394"/>
    <w:rsid w:val="00ED5D07"/>
    <w:rsid w:val="00EE7C60"/>
    <w:rsid w:val="00EF143A"/>
    <w:rsid w:val="00EF285D"/>
    <w:rsid w:val="00EF63E2"/>
    <w:rsid w:val="00F0328A"/>
    <w:rsid w:val="00F072A4"/>
    <w:rsid w:val="00F356F1"/>
    <w:rsid w:val="00F37C7A"/>
    <w:rsid w:val="00F42F69"/>
    <w:rsid w:val="00F43054"/>
    <w:rsid w:val="00F66F99"/>
    <w:rsid w:val="00F77FCC"/>
    <w:rsid w:val="00F87D0C"/>
    <w:rsid w:val="00F91FF8"/>
    <w:rsid w:val="00F969F8"/>
    <w:rsid w:val="00FA26ED"/>
    <w:rsid w:val="00FA2DF7"/>
    <w:rsid w:val="00FA4469"/>
    <w:rsid w:val="00FA7DB3"/>
    <w:rsid w:val="00FC2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A66D14B-8B1D-4FD5-80A2-F5A9D642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68D3"/>
    <w:pPr>
      <w:spacing w:after="200" w:line="276" w:lineRule="auto"/>
    </w:pPr>
    <w:rPr>
      <w:lang w:eastAsia="en-US"/>
    </w:rPr>
  </w:style>
  <w:style w:type="paragraph" w:styleId="Nadpis1">
    <w:name w:val="heading 1"/>
    <w:basedOn w:val="Normln"/>
    <w:next w:val="Normln"/>
    <w:link w:val="Nadpis1Char"/>
    <w:qFormat/>
    <w:locked/>
    <w:rsid w:val="009E68A3"/>
    <w:pPr>
      <w:keepNext/>
      <w:spacing w:after="0" w:line="240" w:lineRule="auto"/>
      <w:outlineLvl w:val="0"/>
    </w:pPr>
    <w:rPr>
      <w:rFonts w:ascii="Times New Roman" w:eastAsia="Times New Roman" w:hAnsi="Times New Roman"/>
      <w:sz w:val="28"/>
      <w:szCs w:val="24"/>
      <w:u w:val="single"/>
      <w:lang w:eastAsia="cs-CZ"/>
    </w:rPr>
  </w:style>
  <w:style w:type="paragraph" w:styleId="Nadpis2">
    <w:name w:val="heading 2"/>
    <w:basedOn w:val="Normln"/>
    <w:next w:val="Normln"/>
    <w:link w:val="Nadpis2Char"/>
    <w:qFormat/>
    <w:locked/>
    <w:rsid w:val="009E68A3"/>
    <w:pPr>
      <w:keepNext/>
      <w:spacing w:after="0" w:line="240" w:lineRule="auto"/>
      <w:jc w:val="center"/>
      <w:outlineLvl w:val="1"/>
    </w:pPr>
    <w:rPr>
      <w:rFonts w:ascii="Lucida Casual CE" w:eastAsia="Times New Roman" w:hAnsi="Lucida Casual CE"/>
      <w:b/>
      <w:sz w:val="12"/>
      <w:szCs w:val="20"/>
      <w:lang w:eastAsia="cs-CZ"/>
    </w:rPr>
  </w:style>
  <w:style w:type="paragraph" w:styleId="Nadpis3">
    <w:name w:val="heading 3"/>
    <w:basedOn w:val="Normln"/>
    <w:next w:val="Normln"/>
    <w:link w:val="Nadpis3Char"/>
    <w:qFormat/>
    <w:locked/>
    <w:rsid w:val="009E68A3"/>
    <w:pPr>
      <w:keepNext/>
      <w:spacing w:after="0" w:line="240" w:lineRule="auto"/>
      <w:jc w:val="center"/>
      <w:outlineLvl w:val="2"/>
    </w:pPr>
    <w:rPr>
      <w:rFonts w:ascii="Letter Gothic" w:eastAsia="Times New Roman" w:hAnsi="Letter Gothic"/>
      <w:b/>
      <w:sz w:val="20"/>
      <w:szCs w:val="20"/>
      <w:lang w:eastAsia="cs-CZ"/>
    </w:rPr>
  </w:style>
  <w:style w:type="paragraph" w:styleId="Nadpis7">
    <w:name w:val="heading 7"/>
    <w:basedOn w:val="Normln"/>
    <w:next w:val="Normln"/>
    <w:link w:val="Nadpis7Char"/>
    <w:semiHidden/>
    <w:unhideWhenUsed/>
    <w:qFormat/>
    <w:locked/>
    <w:rsid w:val="00B17D9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Smluv1">
    <w:name w:val="StylSmluv1"/>
    <w:basedOn w:val="Normln"/>
    <w:link w:val="StylSmluv1Char"/>
    <w:autoRedefine/>
    <w:uiPriority w:val="99"/>
    <w:rsid w:val="00C927E6"/>
    <w:pPr>
      <w:numPr>
        <w:numId w:val="1"/>
      </w:numPr>
      <w:spacing w:before="240" w:after="120" w:line="240" w:lineRule="auto"/>
      <w:jc w:val="center"/>
    </w:pPr>
    <w:rPr>
      <w:rFonts w:ascii="Times New Roman" w:hAnsi="Times New Roman"/>
      <w:b/>
      <w:sz w:val="24"/>
      <w:szCs w:val="24"/>
    </w:rPr>
  </w:style>
  <w:style w:type="paragraph" w:customStyle="1" w:styleId="StylSmluv2">
    <w:name w:val="StylSmluv2"/>
    <w:basedOn w:val="Normln"/>
    <w:uiPriority w:val="99"/>
    <w:rsid w:val="007C79F5"/>
    <w:pPr>
      <w:numPr>
        <w:ilvl w:val="1"/>
        <w:numId w:val="1"/>
      </w:numPr>
      <w:spacing w:before="120" w:after="60" w:line="240" w:lineRule="auto"/>
      <w:jc w:val="both"/>
    </w:pPr>
  </w:style>
  <w:style w:type="paragraph" w:customStyle="1" w:styleId="StylSmmluv3">
    <w:name w:val="StylSmmluv3"/>
    <w:basedOn w:val="Normln"/>
    <w:uiPriority w:val="99"/>
    <w:rsid w:val="0070272D"/>
    <w:pPr>
      <w:numPr>
        <w:ilvl w:val="2"/>
        <w:numId w:val="1"/>
      </w:numPr>
      <w:spacing w:after="0" w:line="240" w:lineRule="auto"/>
      <w:jc w:val="both"/>
    </w:pPr>
  </w:style>
  <w:style w:type="character" w:customStyle="1" w:styleId="StylSmluv1Char">
    <w:name w:val="StylSmluv1 Char"/>
    <w:basedOn w:val="Standardnpsmoodstavce"/>
    <w:link w:val="StylSmluv1"/>
    <w:uiPriority w:val="99"/>
    <w:locked/>
    <w:rsid w:val="00C927E6"/>
    <w:rPr>
      <w:rFonts w:ascii="Times New Roman" w:hAnsi="Times New Roman" w:cs="Times New Roman"/>
      <w:b/>
      <w:sz w:val="24"/>
      <w:szCs w:val="24"/>
    </w:rPr>
  </w:style>
  <w:style w:type="paragraph" w:customStyle="1" w:styleId="StylSmluvNadpis">
    <w:name w:val="StylSmluvNadpis"/>
    <w:basedOn w:val="Normln"/>
    <w:uiPriority w:val="99"/>
    <w:rsid w:val="0070272D"/>
    <w:pPr>
      <w:spacing w:before="360" w:after="120" w:line="240" w:lineRule="auto"/>
      <w:jc w:val="center"/>
    </w:pPr>
    <w:rPr>
      <w:rFonts w:eastAsia="Times New Roman"/>
      <w:b/>
      <w:sz w:val="32"/>
      <w:szCs w:val="28"/>
      <w:lang w:eastAsia="cs-CZ"/>
    </w:rPr>
  </w:style>
  <w:style w:type="paragraph" w:customStyle="1" w:styleId="StylSmluvPodnadpis">
    <w:name w:val="StylSmluvPodnadpis"/>
    <w:basedOn w:val="Normln"/>
    <w:uiPriority w:val="99"/>
    <w:rsid w:val="007C79F5"/>
    <w:pPr>
      <w:spacing w:after="360" w:line="240" w:lineRule="auto"/>
      <w:jc w:val="center"/>
    </w:pPr>
    <w:rPr>
      <w:lang w:eastAsia="cs-CZ"/>
    </w:rPr>
  </w:style>
  <w:style w:type="paragraph" w:styleId="Zhlav">
    <w:name w:val="header"/>
    <w:basedOn w:val="Normln"/>
    <w:link w:val="ZhlavChar"/>
    <w:uiPriority w:val="99"/>
    <w:rsid w:val="005A54C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A54C9"/>
    <w:rPr>
      <w:rFonts w:cs="Times New Roman"/>
    </w:rPr>
  </w:style>
  <w:style w:type="paragraph" w:styleId="Zpat">
    <w:name w:val="footer"/>
    <w:basedOn w:val="Normln"/>
    <w:link w:val="ZpatChar"/>
    <w:rsid w:val="005A54C9"/>
    <w:pPr>
      <w:tabs>
        <w:tab w:val="center" w:pos="4536"/>
        <w:tab w:val="right" w:pos="9072"/>
      </w:tabs>
      <w:spacing w:after="0" w:line="240" w:lineRule="auto"/>
    </w:pPr>
  </w:style>
  <w:style w:type="character" w:customStyle="1" w:styleId="ZpatChar">
    <w:name w:val="Zápatí Char"/>
    <w:basedOn w:val="Standardnpsmoodstavce"/>
    <w:link w:val="Zpat"/>
    <w:locked/>
    <w:rsid w:val="005A54C9"/>
    <w:rPr>
      <w:rFonts w:cs="Times New Roman"/>
    </w:rPr>
  </w:style>
  <w:style w:type="paragraph" w:styleId="Textbubliny">
    <w:name w:val="Balloon Text"/>
    <w:basedOn w:val="Normln"/>
    <w:link w:val="TextbublinyChar"/>
    <w:uiPriority w:val="99"/>
    <w:semiHidden/>
    <w:rsid w:val="00984F3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84F3B"/>
    <w:rPr>
      <w:rFonts w:ascii="Tahoma" w:hAnsi="Tahoma" w:cs="Tahoma"/>
      <w:sz w:val="16"/>
      <w:szCs w:val="16"/>
    </w:rPr>
  </w:style>
  <w:style w:type="paragraph" w:customStyle="1" w:styleId="rove2">
    <w:name w:val="úroveň 2"/>
    <w:basedOn w:val="Normln"/>
    <w:link w:val="rove2Char"/>
    <w:rsid w:val="0044745D"/>
    <w:pPr>
      <w:numPr>
        <w:ilvl w:val="1"/>
        <w:numId w:val="2"/>
      </w:numPr>
      <w:spacing w:after="120" w:line="240" w:lineRule="auto"/>
      <w:jc w:val="both"/>
    </w:pPr>
    <w:rPr>
      <w:rFonts w:eastAsia="Times New Roman"/>
      <w:sz w:val="20"/>
      <w:szCs w:val="20"/>
      <w:lang w:eastAsia="cs-CZ"/>
    </w:rPr>
  </w:style>
  <w:style w:type="paragraph" w:customStyle="1" w:styleId="rove1">
    <w:name w:val="úroveň 1"/>
    <w:basedOn w:val="Normln"/>
    <w:next w:val="rove2"/>
    <w:rsid w:val="0044745D"/>
    <w:pPr>
      <w:numPr>
        <w:numId w:val="2"/>
      </w:numPr>
      <w:spacing w:before="480" w:after="360" w:line="240" w:lineRule="auto"/>
    </w:pPr>
    <w:rPr>
      <w:rFonts w:eastAsia="Times New Roman" w:cs="Calibri"/>
      <w:b/>
      <w:lang w:eastAsia="cs-CZ"/>
    </w:rPr>
  </w:style>
  <w:style w:type="character" w:customStyle="1" w:styleId="rove2Char">
    <w:name w:val="úroveň 2 Char"/>
    <w:link w:val="rove2"/>
    <w:locked/>
    <w:rsid w:val="0044745D"/>
    <w:rPr>
      <w:rFonts w:ascii="Calibri" w:hAnsi="Calibri"/>
      <w:sz w:val="20"/>
    </w:rPr>
  </w:style>
  <w:style w:type="paragraph" w:customStyle="1" w:styleId="rove3">
    <w:name w:val="úroveň 3"/>
    <w:basedOn w:val="rove2"/>
    <w:link w:val="rove3Char"/>
    <w:uiPriority w:val="99"/>
    <w:rsid w:val="0044745D"/>
    <w:pPr>
      <w:numPr>
        <w:ilvl w:val="2"/>
      </w:numPr>
      <w:tabs>
        <w:tab w:val="clear" w:pos="2136"/>
        <w:tab w:val="num" w:pos="567"/>
      </w:tabs>
      <w:ind w:left="1021" w:hanging="454"/>
    </w:pPr>
    <w:rPr>
      <w:rFonts w:eastAsia="Calibri"/>
    </w:rPr>
  </w:style>
  <w:style w:type="character" w:customStyle="1" w:styleId="rove3Char">
    <w:name w:val="úroveň 3 Char"/>
    <w:link w:val="rove3"/>
    <w:uiPriority w:val="99"/>
    <w:locked/>
    <w:rsid w:val="00C927E6"/>
    <w:rPr>
      <w:rFonts w:ascii="Calibri" w:eastAsia="Times New Roman" w:hAnsi="Calibri"/>
      <w:sz w:val="20"/>
    </w:rPr>
  </w:style>
  <w:style w:type="paragraph" w:customStyle="1" w:styleId="2stAKM">
    <w:name w:val="2 Část AKM"/>
    <w:next w:val="3HlavaAKM"/>
    <w:uiPriority w:val="99"/>
    <w:rsid w:val="003D7446"/>
    <w:pPr>
      <w:numPr>
        <w:numId w:val="44"/>
      </w:numPr>
      <w:spacing w:before="360" w:after="120"/>
      <w:jc w:val="center"/>
      <w:outlineLvl w:val="1"/>
    </w:pPr>
    <w:rPr>
      <w:rFonts w:ascii="Times New Roman" w:eastAsia="Times New Roman" w:hAnsi="Times New Roman"/>
      <w:b/>
      <w:sz w:val="28"/>
      <w:szCs w:val="20"/>
    </w:rPr>
  </w:style>
  <w:style w:type="paragraph" w:customStyle="1" w:styleId="3HlavaAKM">
    <w:name w:val="3 Hlava AKM"/>
    <w:next w:val="4DlAKM"/>
    <w:uiPriority w:val="99"/>
    <w:rsid w:val="003D7446"/>
    <w:pPr>
      <w:numPr>
        <w:ilvl w:val="1"/>
        <w:numId w:val="44"/>
      </w:numPr>
      <w:spacing w:before="360" w:after="120"/>
      <w:jc w:val="center"/>
      <w:outlineLvl w:val="2"/>
    </w:pPr>
    <w:rPr>
      <w:rFonts w:ascii="Times New Roman" w:eastAsia="Times New Roman" w:hAnsi="Times New Roman"/>
      <w:b/>
      <w:caps/>
      <w:sz w:val="26"/>
      <w:szCs w:val="20"/>
    </w:rPr>
  </w:style>
  <w:style w:type="paragraph" w:customStyle="1" w:styleId="4DlAKM">
    <w:name w:val="4 Díl AKM"/>
    <w:next w:val="5NadpislAKM"/>
    <w:uiPriority w:val="99"/>
    <w:rsid w:val="003D7446"/>
    <w:pPr>
      <w:numPr>
        <w:ilvl w:val="2"/>
        <w:numId w:val="44"/>
      </w:numPr>
      <w:spacing w:before="360" w:after="120"/>
      <w:jc w:val="center"/>
      <w:outlineLvl w:val="3"/>
    </w:pPr>
    <w:rPr>
      <w:rFonts w:ascii="Times New Roman" w:eastAsia="Times New Roman" w:hAnsi="Times New Roman"/>
      <w:b/>
      <w:sz w:val="24"/>
      <w:szCs w:val="20"/>
    </w:rPr>
  </w:style>
  <w:style w:type="paragraph" w:customStyle="1" w:styleId="5NadpislAKM">
    <w:name w:val="5 Nadpis čl. AKM"/>
    <w:next w:val="6odstAKM"/>
    <w:uiPriority w:val="99"/>
    <w:rsid w:val="003D7446"/>
    <w:pPr>
      <w:keepLines/>
      <w:numPr>
        <w:ilvl w:val="3"/>
        <w:numId w:val="44"/>
      </w:numPr>
      <w:spacing w:before="360" w:after="120"/>
      <w:jc w:val="center"/>
      <w:outlineLvl w:val="4"/>
    </w:pPr>
    <w:rPr>
      <w:rFonts w:ascii="Times New Roman" w:eastAsia="Times New Roman" w:hAnsi="Times New Roman"/>
      <w:b/>
    </w:rPr>
  </w:style>
  <w:style w:type="paragraph" w:customStyle="1" w:styleId="6odstAKM">
    <w:name w:val="6 Č. odst. AKM"/>
    <w:uiPriority w:val="99"/>
    <w:rsid w:val="003D7446"/>
    <w:pPr>
      <w:numPr>
        <w:numId w:val="43"/>
      </w:numPr>
      <w:spacing w:after="120"/>
      <w:jc w:val="both"/>
      <w:outlineLvl w:val="5"/>
    </w:pPr>
    <w:rPr>
      <w:rFonts w:ascii="Times New Roman" w:eastAsia="Times New Roman" w:hAnsi="Times New Roman"/>
      <w:szCs w:val="20"/>
    </w:rPr>
  </w:style>
  <w:style w:type="character" w:styleId="Odkaznakoment">
    <w:name w:val="annotation reference"/>
    <w:basedOn w:val="Standardnpsmoodstavce"/>
    <w:uiPriority w:val="99"/>
    <w:semiHidden/>
    <w:rsid w:val="00305F38"/>
    <w:rPr>
      <w:rFonts w:cs="Times New Roman"/>
      <w:sz w:val="16"/>
      <w:szCs w:val="16"/>
    </w:rPr>
  </w:style>
  <w:style w:type="paragraph" w:styleId="Textkomente">
    <w:name w:val="annotation text"/>
    <w:basedOn w:val="Normln"/>
    <w:link w:val="TextkomenteChar"/>
    <w:uiPriority w:val="99"/>
    <w:semiHidden/>
    <w:rsid w:val="00305F38"/>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305F38"/>
    <w:rPr>
      <w:rFonts w:cs="Times New Roman"/>
      <w:sz w:val="20"/>
      <w:szCs w:val="20"/>
    </w:rPr>
  </w:style>
  <w:style w:type="paragraph" w:styleId="Pedmtkomente">
    <w:name w:val="annotation subject"/>
    <w:basedOn w:val="Textkomente"/>
    <w:next w:val="Textkomente"/>
    <w:link w:val="PedmtkomenteChar"/>
    <w:uiPriority w:val="99"/>
    <w:semiHidden/>
    <w:rsid w:val="00305F38"/>
    <w:rPr>
      <w:b/>
      <w:bCs/>
    </w:rPr>
  </w:style>
  <w:style w:type="character" w:customStyle="1" w:styleId="PedmtkomenteChar">
    <w:name w:val="Předmět komentáře Char"/>
    <w:basedOn w:val="TextkomenteChar"/>
    <w:link w:val="Pedmtkomente"/>
    <w:uiPriority w:val="99"/>
    <w:semiHidden/>
    <w:locked/>
    <w:rsid w:val="00305F38"/>
    <w:rPr>
      <w:rFonts w:cs="Times New Roman"/>
      <w:b/>
      <w:bCs/>
      <w:sz w:val="20"/>
      <w:szCs w:val="20"/>
    </w:rPr>
  </w:style>
  <w:style w:type="paragraph" w:styleId="Zkladntextodsazen2">
    <w:name w:val="Body Text Indent 2"/>
    <w:basedOn w:val="Normln"/>
    <w:link w:val="Zkladntextodsazen2Char"/>
    <w:semiHidden/>
    <w:rsid w:val="00AC5F50"/>
    <w:pPr>
      <w:spacing w:after="0" w:line="240" w:lineRule="auto"/>
      <w:ind w:left="180"/>
      <w:jc w:val="both"/>
    </w:pPr>
    <w:rPr>
      <w:rFonts w:ascii="Arial" w:eastAsia="Times New Roman" w:hAnsi="Arial" w:cs="Arial"/>
      <w:b/>
      <w:szCs w:val="24"/>
      <w:lang w:eastAsia="cs-CZ"/>
    </w:rPr>
  </w:style>
  <w:style w:type="character" w:customStyle="1" w:styleId="Zkladntextodsazen2Char">
    <w:name w:val="Základní text odsazený 2 Char"/>
    <w:basedOn w:val="Standardnpsmoodstavce"/>
    <w:link w:val="Zkladntextodsazen2"/>
    <w:semiHidden/>
    <w:rsid w:val="00AC5F50"/>
    <w:rPr>
      <w:rFonts w:ascii="Arial" w:eastAsia="Times New Roman" w:hAnsi="Arial" w:cs="Arial"/>
      <w:b/>
      <w:szCs w:val="24"/>
    </w:rPr>
  </w:style>
  <w:style w:type="table" w:styleId="Mkatabulky">
    <w:name w:val="Table Grid"/>
    <w:basedOn w:val="Normlntabulka"/>
    <w:locked/>
    <w:rsid w:val="00AC5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9E68A3"/>
    <w:rPr>
      <w:rFonts w:ascii="Times New Roman" w:eastAsia="Times New Roman" w:hAnsi="Times New Roman"/>
      <w:sz w:val="28"/>
      <w:szCs w:val="24"/>
      <w:u w:val="single"/>
    </w:rPr>
  </w:style>
  <w:style w:type="character" w:customStyle="1" w:styleId="Nadpis2Char">
    <w:name w:val="Nadpis 2 Char"/>
    <w:basedOn w:val="Standardnpsmoodstavce"/>
    <w:link w:val="Nadpis2"/>
    <w:rsid w:val="009E68A3"/>
    <w:rPr>
      <w:rFonts w:ascii="Lucida Casual CE" w:eastAsia="Times New Roman" w:hAnsi="Lucida Casual CE"/>
      <w:b/>
      <w:sz w:val="12"/>
      <w:szCs w:val="20"/>
    </w:rPr>
  </w:style>
  <w:style w:type="character" w:customStyle="1" w:styleId="Nadpis3Char">
    <w:name w:val="Nadpis 3 Char"/>
    <w:basedOn w:val="Standardnpsmoodstavce"/>
    <w:link w:val="Nadpis3"/>
    <w:rsid w:val="009E68A3"/>
    <w:rPr>
      <w:rFonts w:ascii="Letter Gothic" w:eastAsia="Times New Roman" w:hAnsi="Letter Gothic"/>
      <w:b/>
      <w:sz w:val="20"/>
      <w:szCs w:val="20"/>
    </w:rPr>
  </w:style>
  <w:style w:type="character" w:customStyle="1" w:styleId="Nadpis7Char">
    <w:name w:val="Nadpis 7 Char"/>
    <w:basedOn w:val="Standardnpsmoodstavce"/>
    <w:link w:val="Nadpis7"/>
    <w:semiHidden/>
    <w:rsid w:val="00B17D9B"/>
    <w:rPr>
      <w:rFonts w:asciiTheme="majorHAnsi" w:eastAsiaTheme="majorEastAsia" w:hAnsiTheme="majorHAnsi" w:cstheme="majorBidi"/>
      <w:i/>
      <w:iCs/>
      <w:color w:val="243F60" w:themeColor="accent1" w:themeShade="7F"/>
      <w:lang w:eastAsia="en-US"/>
    </w:rPr>
  </w:style>
  <w:style w:type="paragraph" w:customStyle="1" w:styleId="Noviny">
    <w:name w:val="Noviny"/>
    <w:basedOn w:val="Normln"/>
    <w:rsid w:val="00B17D9B"/>
    <w:pPr>
      <w:spacing w:after="0" w:line="480" w:lineRule="auto"/>
    </w:pPr>
    <w:rPr>
      <w:rFonts w:ascii="Courier New" w:eastAsia="Times New Roman" w:hAnsi="Courier New"/>
      <w:kern w:val="28"/>
      <w:sz w:val="24"/>
      <w:szCs w:val="20"/>
      <w:lang w:eastAsia="cs-CZ"/>
    </w:rPr>
  </w:style>
  <w:style w:type="paragraph" w:styleId="Nzev">
    <w:name w:val="Title"/>
    <w:basedOn w:val="Normln"/>
    <w:link w:val="NzevChar"/>
    <w:qFormat/>
    <w:locked/>
    <w:rsid w:val="00B17D9B"/>
    <w:pPr>
      <w:spacing w:after="0" w:line="240" w:lineRule="auto"/>
      <w:jc w:val="center"/>
    </w:pPr>
    <w:rPr>
      <w:rFonts w:ascii="Lucida Casual CE" w:eastAsia="Times New Roman" w:hAnsi="Lucida Casual CE"/>
      <w:b/>
      <w:sz w:val="24"/>
      <w:szCs w:val="20"/>
      <w:lang w:eastAsia="cs-CZ"/>
    </w:rPr>
  </w:style>
  <w:style w:type="character" w:customStyle="1" w:styleId="NzevChar">
    <w:name w:val="Název Char"/>
    <w:basedOn w:val="Standardnpsmoodstavce"/>
    <w:link w:val="Nzev"/>
    <w:rsid w:val="00B17D9B"/>
    <w:rPr>
      <w:rFonts w:ascii="Lucida Casual CE" w:eastAsia="Times New Roman" w:hAnsi="Lucida Casual CE"/>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F868-855E-4735-91BC-6B78B8D0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3664</Words>
  <Characters>21619</Characters>
  <Application>Microsoft Office Word</Application>
  <DocSecurity>8</DocSecurity>
  <Lines>180</Lines>
  <Paragraphs>50</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vt:lpstr>
    </vt:vector>
  </TitlesOfParts>
  <Company>Hewlett-Packard Company</Company>
  <LinksUpToDate>false</LinksUpToDate>
  <CharactersWithSpaces>25233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creator>AK</dc:creator>
  <cp:lastModifiedBy>Konrádová Simona</cp:lastModifiedBy>
  <cp:revision>5</cp:revision>
  <cp:lastPrinted>2016-10-26T08:56:00Z</cp:lastPrinted>
  <dcterms:created xsi:type="dcterms:W3CDTF">2017-11-23T14:05:00Z</dcterms:created>
  <dcterms:modified xsi:type="dcterms:W3CDTF">2017-11-23T14:09:00Z</dcterms:modified>
</cp:coreProperties>
</file>