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FC" w:rsidRPr="003C030B" w:rsidRDefault="001744FC" w:rsidP="003C030B">
      <w:pPr>
        <w:ind w:left="6372" w:firstLine="708"/>
        <w:rPr>
          <w:rFonts w:asciiTheme="minorHAnsi" w:hAnsiTheme="minorHAnsi"/>
          <w:sz w:val="22"/>
          <w:szCs w:val="22"/>
        </w:rPr>
      </w:pPr>
    </w:p>
    <w:p w:rsidR="005871DF" w:rsidRDefault="005871DF" w:rsidP="009310BB">
      <w:pP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3B19FB">
        <w:rPr>
          <w:rFonts w:ascii="Calibri" w:hAnsi="Calibri"/>
          <w:b/>
          <w:sz w:val="28"/>
          <w:szCs w:val="28"/>
        </w:rPr>
        <w:t>00138</w:t>
      </w:r>
      <w:r>
        <w:rPr>
          <w:rFonts w:ascii="Calibri" w:hAnsi="Calibri"/>
          <w:b/>
          <w:sz w:val="28"/>
          <w:szCs w:val="28"/>
        </w:rPr>
        <w:t>/1</w:t>
      </w:r>
      <w:r w:rsidR="00C41721">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572CE5">
        <w:rPr>
          <w:rFonts w:ascii="Calibri" w:hAnsi="Calibri"/>
          <w:sz w:val="22"/>
          <w:szCs w:val="22"/>
        </w:rPr>
        <w:t>vedoucí odboru</w:t>
      </w:r>
      <w:r w:rsidR="00E841DC">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073AB5" w:rsidRDefault="00073AB5" w:rsidP="00073AB5">
      <w:pPr>
        <w:pStyle w:val="Odstavecseseznamem"/>
        <w:widowControl w:val="0"/>
        <w:tabs>
          <w:tab w:val="left" w:pos="426"/>
        </w:tabs>
        <w:ind w:left="360"/>
        <w:jc w:val="both"/>
      </w:pPr>
      <w:r>
        <w:rPr>
          <w:rFonts w:ascii="Calibri" w:hAnsi="Calibri"/>
          <w:sz w:val="22"/>
          <w:szCs w:val="22"/>
        </w:rPr>
        <w:t xml:space="preserve"> </w:t>
      </w:r>
      <w:r w:rsidRPr="00073AB5">
        <w:rPr>
          <w:rFonts w:ascii="Calibri" w:hAnsi="Calibri"/>
          <w:sz w:val="22"/>
          <w:szCs w:val="22"/>
        </w:rPr>
        <w:t xml:space="preserve">Život </w:t>
      </w:r>
      <w:proofErr w:type="gramStart"/>
      <w:r w:rsidRPr="00073AB5">
        <w:rPr>
          <w:rFonts w:ascii="Calibri" w:hAnsi="Calibri"/>
          <w:sz w:val="22"/>
          <w:szCs w:val="22"/>
        </w:rPr>
        <w:t xml:space="preserve">90, z. </w:t>
      </w:r>
      <w:proofErr w:type="spellStart"/>
      <w:r w:rsidRPr="00073AB5">
        <w:rPr>
          <w:rFonts w:ascii="Calibri" w:hAnsi="Calibri"/>
          <w:sz w:val="22"/>
          <w:szCs w:val="22"/>
        </w:rPr>
        <w:t>ú.</w:t>
      </w:r>
      <w:proofErr w:type="spellEnd"/>
      <w:proofErr w:type="gramEnd"/>
    </w:p>
    <w:p w:rsidR="00073AB5" w:rsidRDefault="00073AB5" w:rsidP="00073AB5">
      <w:pPr>
        <w:pStyle w:val="Odstavecseseznamem"/>
        <w:tabs>
          <w:tab w:val="left" w:pos="426"/>
        </w:tabs>
        <w:ind w:left="360"/>
      </w:pPr>
      <w:r>
        <w:rPr>
          <w:rFonts w:ascii="Calibri" w:hAnsi="Calibri"/>
          <w:sz w:val="22"/>
          <w:szCs w:val="22"/>
        </w:rPr>
        <w:t xml:space="preserve"> </w:t>
      </w:r>
      <w:r w:rsidRPr="00073AB5">
        <w:rPr>
          <w:rFonts w:ascii="Calibri" w:hAnsi="Calibri"/>
          <w:sz w:val="22"/>
          <w:szCs w:val="22"/>
        </w:rPr>
        <w:t xml:space="preserve">sídlo: </w:t>
      </w:r>
      <w:r w:rsidRPr="00073AB5">
        <w:rPr>
          <w:rFonts w:asciiTheme="minorHAnsi" w:hAnsiTheme="minorHAnsi"/>
          <w:color w:val="333333"/>
          <w:sz w:val="22"/>
          <w:szCs w:val="22"/>
          <w:shd w:val="clear" w:color="auto" w:fill="FFFFFF"/>
        </w:rPr>
        <w:t>Karolíny Světlé 286/18, Staré Město, 110 00 Praha</w:t>
      </w:r>
    </w:p>
    <w:p w:rsidR="00073AB5" w:rsidRPr="00073AB5" w:rsidRDefault="00073AB5" w:rsidP="00073AB5">
      <w:pPr>
        <w:pStyle w:val="Odstavecseseznamem"/>
        <w:tabs>
          <w:tab w:val="left" w:pos="426"/>
        </w:tabs>
        <w:ind w:left="360"/>
        <w:rPr>
          <w:rFonts w:ascii="Calibri" w:hAnsi="Calibri"/>
          <w:sz w:val="22"/>
          <w:szCs w:val="22"/>
        </w:rPr>
      </w:pPr>
      <w:r>
        <w:rPr>
          <w:rFonts w:ascii="Calibri" w:hAnsi="Calibri"/>
          <w:sz w:val="22"/>
          <w:szCs w:val="22"/>
        </w:rPr>
        <w:t xml:space="preserve"> </w:t>
      </w:r>
      <w:r w:rsidRPr="00073AB5">
        <w:rPr>
          <w:rFonts w:ascii="Calibri" w:hAnsi="Calibri"/>
          <w:sz w:val="22"/>
          <w:szCs w:val="22"/>
        </w:rPr>
        <w:t>IČ: 00571709</w:t>
      </w:r>
    </w:p>
    <w:p w:rsidR="00073AB5" w:rsidRPr="00073AB5" w:rsidRDefault="00073AB5" w:rsidP="00073AB5">
      <w:pPr>
        <w:pStyle w:val="Odstavecseseznamem"/>
        <w:tabs>
          <w:tab w:val="left" w:pos="426"/>
        </w:tabs>
        <w:ind w:left="360"/>
        <w:rPr>
          <w:rFonts w:ascii="Calibri" w:hAnsi="Calibri"/>
          <w:sz w:val="22"/>
          <w:szCs w:val="22"/>
        </w:rPr>
      </w:pPr>
      <w:r>
        <w:rPr>
          <w:rFonts w:ascii="Calibri" w:hAnsi="Calibri"/>
          <w:sz w:val="22"/>
          <w:szCs w:val="22"/>
        </w:rPr>
        <w:t xml:space="preserve"> </w:t>
      </w:r>
      <w:r w:rsidRPr="00073AB5">
        <w:rPr>
          <w:rFonts w:ascii="Calibri" w:hAnsi="Calibri"/>
          <w:sz w:val="22"/>
          <w:szCs w:val="22"/>
        </w:rPr>
        <w:t>bankovní spojení: 1937604369/0800</w:t>
      </w:r>
    </w:p>
    <w:p w:rsidR="00073AB5" w:rsidRPr="00073AB5" w:rsidRDefault="00073AB5" w:rsidP="00073AB5">
      <w:pPr>
        <w:pStyle w:val="Odstavecseseznamem"/>
        <w:tabs>
          <w:tab w:val="left" w:pos="426"/>
        </w:tabs>
        <w:ind w:left="360"/>
        <w:rPr>
          <w:rFonts w:ascii="Calibri" w:hAnsi="Calibri"/>
          <w:sz w:val="22"/>
          <w:szCs w:val="22"/>
        </w:rPr>
      </w:pPr>
      <w:r>
        <w:rPr>
          <w:rFonts w:ascii="Calibri" w:hAnsi="Calibri"/>
          <w:sz w:val="22"/>
          <w:szCs w:val="22"/>
        </w:rPr>
        <w:t xml:space="preserve"> </w:t>
      </w:r>
      <w:r w:rsidRPr="00073AB5">
        <w:rPr>
          <w:rFonts w:ascii="Calibri" w:hAnsi="Calibri"/>
          <w:sz w:val="22"/>
          <w:szCs w:val="22"/>
        </w:rPr>
        <w:t xml:space="preserve">zastoupený: Mgr. Janem </w:t>
      </w:r>
      <w:proofErr w:type="spellStart"/>
      <w:r w:rsidRPr="00073AB5">
        <w:rPr>
          <w:rFonts w:ascii="Calibri" w:hAnsi="Calibri"/>
          <w:sz w:val="22"/>
          <w:szCs w:val="22"/>
        </w:rPr>
        <w:t>Lormanem</w:t>
      </w:r>
      <w:proofErr w:type="spellEnd"/>
      <w:r w:rsidRPr="00073AB5">
        <w:rPr>
          <w:rFonts w:ascii="Calibri" w:hAnsi="Calibri"/>
          <w:sz w:val="22"/>
          <w:szCs w:val="22"/>
        </w:rPr>
        <w:t>, statutárním zástupcem</w:t>
      </w:r>
    </w:p>
    <w:p w:rsidR="00A53C1F" w:rsidRDefault="00073AB5" w:rsidP="00073AB5">
      <w:pPr>
        <w:pStyle w:val="Odstavecseseznamem"/>
        <w:widowControl w:val="0"/>
        <w:tabs>
          <w:tab w:val="left" w:pos="426"/>
        </w:tabs>
        <w:ind w:left="360"/>
        <w:jc w:val="both"/>
      </w:pPr>
      <w:r>
        <w:rPr>
          <w:rFonts w:ascii="Calibri" w:hAnsi="Calibri"/>
          <w:sz w:val="22"/>
          <w:szCs w:val="22"/>
        </w:rPr>
        <w:t xml:space="preserve"> </w:t>
      </w:r>
      <w:r w:rsidRPr="00073AB5">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B23FBF" w:rsidP="000A0147">
      <w:pPr>
        <w:numPr>
          <w:ilvl w:val="0"/>
          <w:numId w:val="2"/>
        </w:numPr>
        <w:tabs>
          <w:tab w:val="clear" w:pos="720"/>
          <w:tab w:val="num" w:pos="360"/>
        </w:tabs>
        <w:ind w:left="360"/>
        <w:jc w:val="both"/>
        <w:rPr>
          <w:rFonts w:ascii="Calibri" w:hAnsi="Calibri"/>
          <w:sz w:val="22"/>
          <w:szCs w:val="22"/>
        </w:rPr>
      </w:pPr>
      <w:r w:rsidRPr="00661161">
        <w:rPr>
          <w:rFonts w:ascii="Calibri" w:hAnsi="Calibri"/>
          <w:sz w:val="22"/>
          <w:szCs w:val="22"/>
        </w:rPr>
        <w:t>Smluvní strany prohlašují, že pro právní vztah založený touto smlouvou jsou stejně jako ustanovení této smlouvy závazn</w:t>
      </w:r>
      <w:r>
        <w:rPr>
          <w:rFonts w:ascii="Calibri" w:hAnsi="Calibri"/>
          <w:sz w:val="22"/>
          <w:szCs w:val="22"/>
        </w:rPr>
        <w:t>é</w:t>
      </w:r>
      <w:r w:rsidRPr="00661161">
        <w:rPr>
          <w:rFonts w:ascii="Calibri" w:hAnsi="Calibri"/>
          <w:sz w:val="22"/>
          <w:szCs w:val="22"/>
        </w:rPr>
        <w:t xml:space="preserve"> rovněž Zásady pro poskytování dotací z rozpočtu statutárního města Pardubice přijatá Zastupitelstvem města Pardubic dne 29. 1. 2015 usnesením č. ZM/117/2015 (Směrnice č. 2/2015 – dále jen „Zásady“). Zásady jsou zveřejněny na webových stránkách statutárního města Pardubice</w:t>
      </w:r>
      <w:r w:rsidRPr="00C822AF">
        <w:rPr>
          <w:rFonts w:ascii="Calibri" w:hAnsi="Calibri"/>
          <w:color w:val="FF0000"/>
          <w:sz w:val="22"/>
          <w:szCs w:val="22"/>
        </w:rPr>
        <w:t xml:space="preserve"> </w:t>
      </w:r>
      <w:r w:rsidRPr="00FE0A7A">
        <w:rPr>
          <w:rFonts w:ascii="Calibri" w:hAnsi="Calibri"/>
          <w:sz w:val="22"/>
          <w:szCs w:val="22"/>
        </w:rPr>
        <w:t>(</w:t>
      </w:r>
      <w:hyperlink r:id="rId8"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FE0A7A" w:rsidRDefault="000A0147" w:rsidP="000A0147">
      <w:pPr>
        <w:ind w:left="360"/>
        <w:jc w:val="both"/>
        <w:rPr>
          <w:rFonts w:ascii="Calibri" w:hAnsi="Calibri"/>
          <w:sz w:val="22"/>
          <w:szCs w:val="22"/>
        </w:rPr>
      </w:pPr>
    </w:p>
    <w:p w:rsidR="000A0147" w:rsidRPr="00515D12" w:rsidRDefault="000A0147" w:rsidP="000A0147">
      <w:pPr>
        <w:jc w:val="both"/>
        <w:rPr>
          <w:rFonts w:asciiTheme="minorHAnsi" w:hAnsiTheme="minorHAnsi"/>
          <w:sz w:val="22"/>
          <w:szCs w:val="22"/>
        </w:rPr>
      </w:pPr>
    </w:p>
    <w:p w:rsidR="000A0147" w:rsidRDefault="000A0147" w:rsidP="001744FC">
      <w:pP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8A23D7" w:rsidRDefault="008A23D7" w:rsidP="000A0147">
      <w:pPr>
        <w:jc w:val="both"/>
        <w:rPr>
          <w:rFonts w:ascii="Calibri" w:hAnsi="Calibri"/>
          <w:sz w:val="22"/>
          <w:szCs w:val="22"/>
        </w:rPr>
      </w:pPr>
    </w:p>
    <w:p w:rsidR="008A23D7" w:rsidRDefault="008A23D7" w:rsidP="000A0147">
      <w:pPr>
        <w:jc w:val="both"/>
        <w:rPr>
          <w:rFonts w:ascii="Calibri" w:hAnsi="Calibri"/>
          <w:sz w:val="22"/>
          <w:szCs w:val="22"/>
        </w:rPr>
      </w:pPr>
    </w:p>
    <w:p w:rsidR="008A23D7" w:rsidRPr="00FE0A7A" w:rsidRDefault="008A23D7"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767660" w:rsidRDefault="00767660" w:rsidP="000A0147">
      <w:pPr>
        <w:jc w:val="cente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E238EC" w:rsidRPr="00FE0A7A">
        <w:rPr>
          <w:rFonts w:ascii="Calibri" w:hAnsi="Calibri"/>
          <w:sz w:val="22"/>
          <w:szCs w:val="22"/>
        </w:rPr>
        <w:t>v sociální oblasti</w:t>
      </w:r>
      <w:r w:rsidRPr="00FE0A7A">
        <w:rPr>
          <w:rFonts w:ascii="Calibri" w:hAnsi="Calibri"/>
          <w:sz w:val="22"/>
          <w:szCs w:val="22"/>
        </w:rPr>
        <w:t xml:space="preserve"> ve </w:t>
      </w:r>
      <w:r w:rsidR="00E238EC" w:rsidRPr="00FE0A7A">
        <w:rPr>
          <w:rFonts w:ascii="Calibri" w:hAnsi="Calibri"/>
          <w:sz w:val="22"/>
          <w:szCs w:val="22"/>
        </w:rPr>
        <w:t xml:space="preserve">výši </w:t>
      </w:r>
      <w:r w:rsidR="00E61849">
        <w:rPr>
          <w:rFonts w:ascii="Calibri" w:hAnsi="Calibri"/>
          <w:b/>
          <w:sz w:val="22"/>
          <w:szCs w:val="22"/>
        </w:rPr>
        <w:t>208</w:t>
      </w:r>
      <w:r w:rsidR="00BF6D91">
        <w:rPr>
          <w:rFonts w:ascii="Calibri" w:hAnsi="Calibri"/>
          <w:b/>
          <w:sz w:val="22"/>
          <w:szCs w:val="22"/>
        </w:rPr>
        <w:t xml:space="preserve"> </w:t>
      </w:r>
      <w:r w:rsidR="00E61849">
        <w:rPr>
          <w:rFonts w:ascii="Calibri" w:hAnsi="Calibri"/>
          <w:b/>
          <w:sz w:val="22"/>
          <w:szCs w:val="22"/>
        </w:rPr>
        <w:t>8</w:t>
      </w:r>
      <w:r w:rsidR="00BF6D91">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E61849">
        <w:rPr>
          <w:rFonts w:ascii="Calibri" w:hAnsi="Calibri"/>
          <w:sz w:val="22"/>
          <w:szCs w:val="22"/>
        </w:rPr>
        <w:t>Dvěstěosmtisícosmset</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E61849">
        <w:rPr>
          <w:rFonts w:ascii="Calibri" w:hAnsi="Calibri"/>
          <w:b/>
          <w:sz w:val="22"/>
          <w:szCs w:val="22"/>
        </w:rPr>
        <w:t>Pilotní ověření služby tísňová péče AREÍON pro seniory a zdravotně postižené</w:t>
      </w:r>
      <w:r w:rsidR="000411FF" w:rsidRPr="00FE0A7A">
        <w:rPr>
          <w:rFonts w:ascii="Calibri" w:hAnsi="Calibri"/>
          <w:b/>
          <w:sz w:val="22"/>
          <w:szCs w:val="22"/>
        </w:rPr>
        <w:t>“</w:t>
      </w:r>
      <w:r w:rsidR="00C45529">
        <w:rPr>
          <w:rFonts w:ascii="Calibri" w:hAnsi="Calibri"/>
          <w:b/>
          <w:sz w:val="22"/>
          <w:szCs w:val="22"/>
        </w:rPr>
        <w:t xml:space="preserve"> v období od 01.1</w:t>
      </w:r>
      <w:r w:rsidR="008D0146">
        <w:rPr>
          <w:rFonts w:ascii="Calibri" w:hAnsi="Calibri"/>
          <w:b/>
          <w:sz w:val="22"/>
          <w:szCs w:val="22"/>
        </w:rPr>
        <w:t>1</w:t>
      </w:r>
      <w:r w:rsidR="00C45529">
        <w:rPr>
          <w:rFonts w:ascii="Calibri" w:hAnsi="Calibri"/>
          <w:b/>
          <w:sz w:val="22"/>
          <w:szCs w:val="22"/>
        </w:rPr>
        <w:t>.2017 do 31.10.2018</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w:t>
      </w:r>
      <w:r w:rsidR="00C45529">
        <w:rPr>
          <w:rFonts w:ascii="Calibri" w:hAnsi="Calibri"/>
          <w:sz w:val="22"/>
          <w:szCs w:val="22"/>
        </w:rPr>
        <w:t>6</w:t>
      </w:r>
      <w:r w:rsidRPr="00FE0A7A">
        <w:rPr>
          <w:rFonts w:ascii="Calibri" w:hAnsi="Calibri"/>
          <w:sz w:val="22"/>
          <w:szCs w:val="22"/>
        </w:rPr>
        <w:t xml:space="preserve">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463556">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w:t>
      </w:r>
      <w:r w:rsidR="0004058A">
        <w:rPr>
          <w:rFonts w:ascii="Calibri" w:hAnsi="Calibri"/>
          <w:sz w:val="22"/>
          <w:szCs w:val="22"/>
        </w:rPr>
        <w:t>0</w:t>
      </w:r>
      <w:r w:rsidR="00A22708" w:rsidRPr="00FE0A7A">
        <w:rPr>
          <w:rFonts w:ascii="Calibri" w:hAnsi="Calibri"/>
          <w:sz w:val="22"/>
          <w:szCs w:val="22"/>
        </w:rPr>
        <w:t>.201</w:t>
      </w:r>
      <w:r w:rsidR="0004058A">
        <w:rPr>
          <w:rFonts w:ascii="Calibri" w:hAnsi="Calibri"/>
          <w:sz w:val="22"/>
          <w:szCs w:val="22"/>
        </w:rPr>
        <w:t>8</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w:t>
      </w:r>
      <w:r w:rsidR="00DC7BC0">
        <w:rPr>
          <w:rFonts w:ascii="Calibri" w:hAnsi="Calibri"/>
          <w:sz w:val="22"/>
          <w:szCs w:val="22"/>
        </w:rPr>
        <w:t>odmínkami uvedenými v </w:t>
      </w:r>
      <w:r w:rsidRPr="00FE0A7A">
        <w:rPr>
          <w:rFonts w:ascii="Calibri" w:hAnsi="Calibri"/>
          <w:sz w:val="22"/>
          <w:szCs w:val="22"/>
        </w:rPr>
        <w:t xml:space="preserve">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proofErr w:type="gramStart"/>
      <w:r w:rsidR="00E61849">
        <w:rPr>
          <w:rFonts w:ascii="Calibri" w:hAnsi="Calibri"/>
          <w:sz w:val="22"/>
          <w:szCs w:val="22"/>
        </w:rPr>
        <w:t>15</w:t>
      </w:r>
      <w:r w:rsidR="002B6DD9">
        <w:rPr>
          <w:rFonts w:ascii="Calibri" w:hAnsi="Calibri"/>
          <w:sz w:val="22"/>
          <w:szCs w:val="22"/>
        </w:rPr>
        <w:t>.</w:t>
      </w:r>
      <w:r w:rsidR="00E61849">
        <w:rPr>
          <w:rFonts w:ascii="Calibri" w:hAnsi="Calibri"/>
          <w:sz w:val="22"/>
          <w:szCs w:val="22"/>
        </w:rPr>
        <w:t>08</w:t>
      </w:r>
      <w:r w:rsidR="002B6DD9">
        <w:rPr>
          <w:rFonts w:ascii="Calibri" w:hAnsi="Calibri"/>
          <w:sz w:val="22"/>
          <w:szCs w:val="22"/>
        </w:rPr>
        <w:t>.201</w:t>
      </w:r>
      <w:r w:rsidR="00E61849">
        <w:rPr>
          <w:rFonts w:ascii="Calibri" w:hAnsi="Calibri"/>
          <w:sz w:val="22"/>
          <w:szCs w:val="22"/>
        </w:rPr>
        <w:t>7</w:t>
      </w:r>
      <w:proofErr w:type="gramEnd"/>
      <w:r w:rsidRPr="00FE0A7A">
        <w:rPr>
          <w:rFonts w:ascii="Calibri" w:hAnsi="Calibri"/>
          <w:sz w:val="22"/>
          <w:szCs w:val="22"/>
        </w:rPr>
        <w:t xml:space="preserve"> a zaevidované poskytovatelem pod č.</w:t>
      </w:r>
      <w:r w:rsidR="003C030B">
        <w:rPr>
          <w:rFonts w:ascii="Calibri" w:hAnsi="Calibri"/>
          <w:sz w:val="22"/>
          <w:szCs w:val="22"/>
        </w:rPr>
        <w:t xml:space="preserve"> </w:t>
      </w:r>
      <w:r w:rsidRPr="00FE0A7A">
        <w:rPr>
          <w:rFonts w:ascii="Calibri" w:hAnsi="Calibri"/>
          <w:sz w:val="22"/>
          <w:szCs w:val="22"/>
        </w:rPr>
        <w:t>j.</w:t>
      </w:r>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E61849">
        <w:rPr>
          <w:rFonts w:ascii="Calibri" w:hAnsi="Calibri"/>
          <w:sz w:val="22"/>
          <w:szCs w:val="22"/>
        </w:rPr>
        <w:t xml:space="preserve"> </w:t>
      </w:r>
      <w:r w:rsidR="003C030B" w:rsidRPr="003C030B">
        <w:rPr>
          <w:rFonts w:ascii="Calibri" w:hAnsi="Calibri"/>
          <w:sz w:val="22"/>
          <w:szCs w:val="22"/>
        </w:rPr>
        <w:t>60626</w:t>
      </w:r>
      <w:r w:rsidR="002B6DD9">
        <w:rPr>
          <w:rFonts w:ascii="Calibri" w:hAnsi="Calibri"/>
          <w:sz w:val="22"/>
          <w:szCs w:val="22"/>
        </w:rPr>
        <w:t>/201</w:t>
      </w:r>
      <w:r w:rsidR="00E61849">
        <w:rPr>
          <w:rFonts w:ascii="Calibri" w:hAnsi="Calibri"/>
          <w:sz w:val="22"/>
          <w:szCs w:val="22"/>
        </w:rPr>
        <w:t>7</w:t>
      </w:r>
      <w:r w:rsidRPr="00FE0A7A">
        <w:rPr>
          <w:rFonts w:ascii="Calibri" w:hAnsi="Calibri"/>
          <w:sz w:val="22"/>
          <w:szCs w:val="22"/>
        </w:rPr>
        <w:t xml:space="preserve">, </w:t>
      </w:r>
    </w:p>
    <w:p w:rsidR="00CF21FE" w:rsidRDefault="00CF21FE" w:rsidP="00CF21FE">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w:t>
      </w:r>
      <w:r w:rsidR="00E61849">
        <w:rPr>
          <w:rFonts w:ascii="Calibri" w:hAnsi="Calibri"/>
          <w:b/>
          <w:sz w:val="22"/>
          <w:szCs w:val="22"/>
        </w:rPr>
        <w:t>0</w:t>
      </w:r>
      <w:r w:rsidRPr="00FE0A7A">
        <w:rPr>
          <w:rFonts w:ascii="Calibri" w:hAnsi="Calibri"/>
          <w:b/>
          <w:sz w:val="22"/>
          <w:szCs w:val="22"/>
        </w:rPr>
        <w:t>.1</w:t>
      </w:r>
      <w:r w:rsidR="00E61849">
        <w:rPr>
          <w:rFonts w:ascii="Calibri" w:hAnsi="Calibri"/>
          <w:b/>
          <w:sz w:val="22"/>
          <w:szCs w:val="22"/>
        </w:rPr>
        <w:t>1</w:t>
      </w:r>
      <w:r w:rsidRPr="00FE0A7A">
        <w:rPr>
          <w:rFonts w:ascii="Calibri" w:hAnsi="Calibri"/>
          <w:b/>
          <w:sz w:val="22"/>
          <w:szCs w:val="22"/>
        </w:rPr>
        <w:t>.201</w:t>
      </w:r>
      <w:r w:rsidR="00E61849">
        <w:rPr>
          <w:rFonts w:ascii="Calibri" w:hAnsi="Calibri"/>
          <w:b/>
          <w:sz w:val="22"/>
          <w:szCs w:val="22"/>
        </w:rPr>
        <w:t>8</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Default="000A0147" w:rsidP="000A0147">
      <w:pPr>
        <w:jc w:val="both"/>
        <w:rPr>
          <w:rFonts w:ascii="Calibri" w:hAnsi="Calibri"/>
          <w:sz w:val="22"/>
          <w:szCs w:val="22"/>
          <w:u w:val="single"/>
        </w:rPr>
      </w:pPr>
    </w:p>
    <w:p w:rsidR="00767660" w:rsidRDefault="00767660" w:rsidP="000A0147">
      <w:pPr>
        <w:jc w:val="both"/>
        <w:rPr>
          <w:rFonts w:ascii="Calibri" w:hAnsi="Calibri"/>
          <w:sz w:val="22"/>
          <w:szCs w:val="22"/>
          <w:u w:val="single"/>
        </w:rPr>
      </w:pPr>
    </w:p>
    <w:p w:rsidR="00767660" w:rsidRDefault="00767660" w:rsidP="000A0147">
      <w:pPr>
        <w:jc w:val="both"/>
        <w:rPr>
          <w:rFonts w:ascii="Calibri" w:hAnsi="Calibri"/>
          <w:sz w:val="22"/>
          <w:szCs w:val="22"/>
          <w:u w:val="single"/>
        </w:rPr>
      </w:pPr>
    </w:p>
    <w:p w:rsidR="00767660" w:rsidRDefault="00767660" w:rsidP="000A0147">
      <w:pPr>
        <w:jc w:val="both"/>
        <w:rPr>
          <w:rFonts w:ascii="Calibri" w:hAnsi="Calibri"/>
          <w:sz w:val="22"/>
          <w:szCs w:val="22"/>
          <w:u w:val="single"/>
        </w:rPr>
      </w:pPr>
    </w:p>
    <w:p w:rsidR="00767660" w:rsidRPr="00FE0A7A" w:rsidRDefault="00767660"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lastRenderedPageBreak/>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w:t>
      </w:r>
      <w:r w:rsidR="00C45529">
        <w:rPr>
          <w:rFonts w:ascii="Calibri" w:hAnsi="Calibri"/>
          <w:b/>
          <w:sz w:val="22"/>
          <w:szCs w:val="22"/>
        </w:rPr>
        <w:t>1</w:t>
      </w:r>
      <w:r w:rsidR="00857CBB" w:rsidRPr="00FE0A7A">
        <w:rPr>
          <w:rFonts w:ascii="Calibri" w:hAnsi="Calibri"/>
          <w:b/>
          <w:sz w:val="22"/>
          <w:szCs w:val="22"/>
        </w:rPr>
        <w:t>.1</w:t>
      </w:r>
      <w:r w:rsidR="00C45529">
        <w:rPr>
          <w:rFonts w:ascii="Calibri" w:hAnsi="Calibri"/>
          <w:b/>
          <w:sz w:val="22"/>
          <w:szCs w:val="22"/>
        </w:rPr>
        <w:t>0</w:t>
      </w:r>
      <w:r w:rsidR="00857CBB" w:rsidRPr="00FE0A7A">
        <w:rPr>
          <w:rFonts w:ascii="Calibri" w:hAnsi="Calibri"/>
          <w:b/>
          <w:sz w:val="22"/>
          <w:szCs w:val="22"/>
        </w:rPr>
        <w:t>.201</w:t>
      </w:r>
      <w:r w:rsidR="008A23D7">
        <w:rPr>
          <w:rFonts w:ascii="Calibri" w:hAnsi="Calibri"/>
          <w:b/>
          <w:sz w:val="22"/>
          <w:szCs w:val="22"/>
        </w:rPr>
        <w:t>8</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w:t>
      </w:r>
      <w:r w:rsidR="008A23D7">
        <w:rPr>
          <w:rFonts w:ascii="Calibri" w:hAnsi="Calibri"/>
          <w:b/>
          <w:sz w:val="22"/>
          <w:szCs w:val="22"/>
        </w:rPr>
        <w:t>0</w:t>
      </w:r>
      <w:r w:rsidR="00857CBB" w:rsidRPr="00FE0A7A">
        <w:rPr>
          <w:rFonts w:ascii="Calibri" w:hAnsi="Calibri"/>
          <w:b/>
          <w:sz w:val="22"/>
          <w:szCs w:val="22"/>
        </w:rPr>
        <w:t>.1</w:t>
      </w:r>
      <w:r w:rsidR="008A23D7">
        <w:rPr>
          <w:rFonts w:ascii="Calibri" w:hAnsi="Calibri"/>
          <w:b/>
          <w:sz w:val="22"/>
          <w:szCs w:val="22"/>
        </w:rPr>
        <w:t>1</w:t>
      </w:r>
      <w:r w:rsidR="00857CBB" w:rsidRPr="00FE0A7A">
        <w:rPr>
          <w:rFonts w:ascii="Calibri" w:hAnsi="Calibri"/>
          <w:b/>
          <w:sz w:val="22"/>
          <w:szCs w:val="22"/>
        </w:rPr>
        <w:t>.201</w:t>
      </w:r>
      <w:r w:rsidR="008A23D7">
        <w:rPr>
          <w:rFonts w:ascii="Calibri" w:hAnsi="Calibri"/>
          <w:b/>
          <w:sz w:val="22"/>
          <w:szCs w:val="22"/>
        </w:rPr>
        <w:t>8</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w:t>
      </w:r>
      <w:r w:rsidR="008A23D7">
        <w:rPr>
          <w:rFonts w:ascii="Calibri" w:hAnsi="Calibri"/>
          <w:b/>
          <w:sz w:val="22"/>
          <w:szCs w:val="22"/>
        </w:rPr>
        <w:t>0</w:t>
      </w:r>
      <w:r w:rsidR="00857CBB" w:rsidRPr="00FE0A7A">
        <w:rPr>
          <w:rFonts w:ascii="Calibri" w:hAnsi="Calibri"/>
          <w:b/>
          <w:sz w:val="22"/>
          <w:szCs w:val="22"/>
        </w:rPr>
        <w:t>.1</w:t>
      </w:r>
      <w:r w:rsidR="008A23D7">
        <w:rPr>
          <w:rFonts w:ascii="Calibri" w:hAnsi="Calibri"/>
          <w:b/>
          <w:sz w:val="22"/>
          <w:szCs w:val="22"/>
        </w:rPr>
        <w:t>1</w:t>
      </w:r>
      <w:r w:rsidR="00857CBB" w:rsidRPr="00FE0A7A">
        <w:rPr>
          <w:rFonts w:ascii="Calibri" w:hAnsi="Calibri"/>
          <w:b/>
          <w:sz w:val="22"/>
          <w:szCs w:val="22"/>
        </w:rPr>
        <w:t>.201</w:t>
      </w:r>
      <w:r w:rsidR="008A23D7">
        <w:rPr>
          <w:rFonts w:ascii="Calibri" w:hAnsi="Calibri"/>
          <w:b/>
          <w:sz w:val="22"/>
          <w:szCs w:val="22"/>
        </w:rPr>
        <w:t>8</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Default="000A0147" w:rsidP="000A0147">
      <w:pPr>
        <w:autoSpaceDE w:val="0"/>
        <w:autoSpaceDN w:val="0"/>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Default="000A0147" w:rsidP="000A0147">
      <w:pPr>
        <w:jc w:val="both"/>
        <w:rPr>
          <w:rFonts w:ascii="Calibri" w:hAnsi="Calibri"/>
          <w:sz w:val="22"/>
          <w:szCs w:val="22"/>
        </w:rPr>
      </w:pPr>
    </w:p>
    <w:p w:rsidR="00767660" w:rsidRPr="00FE0A7A" w:rsidRDefault="00767660"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rozpočtové kázně je příjemce povinen provést odvod zpět do rozpočtu statutárního města Pardubice a </w:t>
      </w:r>
      <w:r w:rsidR="00E841DC">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1E5C88">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r w:rsidR="004D75BF">
        <w:rPr>
          <w:rFonts w:ascii="Calibri" w:hAnsi="Calibri"/>
          <w:sz w:val="22"/>
          <w:szCs w:val="22"/>
        </w:rPr>
        <w:t xml:space="preserve"> </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4D75BF">
      <w:pPr>
        <w:tabs>
          <w:tab w:val="left" w:pos="426"/>
        </w:tabs>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2424EA" w:rsidRPr="00AE5FF2" w:rsidRDefault="002424EA" w:rsidP="002424EA">
      <w:pPr>
        <w:numPr>
          <w:ilvl w:val="0"/>
          <w:numId w:val="4"/>
        </w:numPr>
        <w:jc w:val="both"/>
        <w:rPr>
          <w:rFonts w:asciiTheme="minorHAnsi" w:hAnsiTheme="minorHAnsi" w:cstheme="minorHAnsi"/>
          <w:sz w:val="22"/>
          <w:szCs w:val="22"/>
        </w:rPr>
      </w:pPr>
      <w:r w:rsidRPr="00AE5FF2">
        <w:rPr>
          <w:rFonts w:asciiTheme="minorHAnsi" w:hAnsiTheme="minorHAnsi" w:cstheme="minorHAnsi"/>
          <w:sz w:val="22"/>
          <w:szCs w:val="22"/>
        </w:rPr>
        <w:t>Smluvní 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p>
    <w:p w:rsidR="002424EA" w:rsidRPr="00AE5FF2" w:rsidRDefault="002424EA" w:rsidP="002424EA">
      <w:pPr>
        <w:ind w:left="426"/>
        <w:jc w:val="both"/>
        <w:rPr>
          <w:rFonts w:asciiTheme="minorHAnsi" w:hAnsiTheme="minorHAnsi" w:cstheme="minorHAnsi"/>
          <w:sz w:val="22"/>
          <w:szCs w:val="22"/>
        </w:rPr>
      </w:pPr>
    </w:p>
    <w:p w:rsidR="002424EA" w:rsidRPr="00AE5FF2" w:rsidRDefault="002424EA" w:rsidP="002424EA">
      <w:pPr>
        <w:numPr>
          <w:ilvl w:val="0"/>
          <w:numId w:val="4"/>
        </w:numPr>
        <w:jc w:val="both"/>
        <w:rPr>
          <w:rFonts w:asciiTheme="minorHAnsi" w:hAnsiTheme="minorHAnsi" w:cstheme="minorHAnsi"/>
          <w:sz w:val="22"/>
          <w:szCs w:val="22"/>
        </w:rPr>
      </w:pPr>
      <w:r w:rsidRPr="00AE5FF2">
        <w:rPr>
          <w:rFonts w:asciiTheme="minorHAnsi" w:hAnsiTheme="minorHAnsi" w:cstheme="minorHAnsi"/>
          <w:sz w:val="22"/>
          <w:szCs w:val="22"/>
        </w:rPr>
        <w:t>Smluvní strany berou na vědomí, že nebude-li smlouva zveřejněna ani devadesátý den od jejího uzavření, je následujícím dnem zrušena od počátku s účinky případného bezdůvodného obohacení.</w:t>
      </w:r>
    </w:p>
    <w:p w:rsidR="002424EA" w:rsidRPr="00AE5FF2" w:rsidRDefault="002424EA" w:rsidP="002424EA">
      <w:pPr>
        <w:jc w:val="both"/>
        <w:rPr>
          <w:rFonts w:asciiTheme="minorHAnsi" w:hAnsiTheme="minorHAnsi" w:cstheme="minorHAnsi"/>
          <w:sz w:val="22"/>
          <w:szCs w:val="22"/>
        </w:rPr>
      </w:pPr>
    </w:p>
    <w:p w:rsidR="002424EA" w:rsidRPr="00AE5FF2" w:rsidRDefault="002424EA" w:rsidP="002424EA">
      <w:pPr>
        <w:numPr>
          <w:ilvl w:val="0"/>
          <w:numId w:val="4"/>
        </w:numPr>
        <w:jc w:val="both"/>
        <w:rPr>
          <w:rFonts w:asciiTheme="minorHAnsi" w:hAnsiTheme="minorHAnsi" w:cstheme="minorHAnsi"/>
          <w:sz w:val="22"/>
          <w:szCs w:val="22"/>
        </w:rPr>
      </w:pPr>
      <w:r w:rsidRPr="00AE5FF2">
        <w:rPr>
          <w:rFonts w:asciiTheme="minorHAnsi" w:hAnsiTheme="minorHAnsi" w:cstheme="minorHAnsi"/>
          <w:sz w:val="22"/>
          <w:szCs w:val="22"/>
        </w:rPr>
        <w:t xml:space="preserve">Smluvní strany prohlašují, že žádná část smlouvy nenaplňuje znaky obchodního tajemství (§ 504 z. </w:t>
      </w:r>
      <w:proofErr w:type="gramStart"/>
      <w:r w:rsidRPr="00AE5FF2">
        <w:rPr>
          <w:rFonts w:asciiTheme="minorHAnsi" w:hAnsiTheme="minorHAnsi" w:cstheme="minorHAnsi"/>
          <w:sz w:val="22"/>
          <w:szCs w:val="22"/>
        </w:rPr>
        <w:t>č.</w:t>
      </w:r>
      <w:proofErr w:type="gramEnd"/>
      <w:r w:rsidRPr="00AE5FF2">
        <w:rPr>
          <w:rFonts w:asciiTheme="minorHAnsi" w:hAnsiTheme="minorHAnsi" w:cstheme="minorHAnsi"/>
          <w:sz w:val="22"/>
          <w:szCs w:val="22"/>
        </w:rPr>
        <w:t xml:space="preserve"> 89/2012 Sb., občanský zákoník).</w:t>
      </w:r>
    </w:p>
    <w:p w:rsidR="002424EA" w:rsidRPr="00AE5FF2" w:rsidRDefault="002424EA" w:rsidP="002424EA">
      <w:pPr>
        <w:pStyle w:val="Odstavecseseznamem"/>
        <w:rPr>
          <w:rFonts w:asciiTheme="minorHAnsi" w:hAnsiTheme="minorHAnsi" w:cstheme="minorHAnsi"/>
          <w:sz w:val="22"/>
          <w:szCs w:val="22"/>
        </w:rPr>
      </w:pPr>
    </w:p>
    <w:p w:rsidR="002424EA" w:rsidRPr="00AE5FF2" w:rsidRDefault="002424EA" w:rsidP="002424EA">
      <w:pPr>
        <w:numPr>
          <w:ilvl w:val="0"/>
          <w:numId w:val="4"/>
        </w:numPr>
        <w:jc w:val="both"/>
        <w:rPr>
          <w:rFonts w:asciiTheme="minorHAnsi" w:hAnsiTheme="minorHAnsi" w:cstheme="minorHAnsi"/>
          <w:sz w:val="22"/>
          <w:szCs w:val="22"/>
        </w:rPr>
      </w:pPr>
      <w:r w:rsidRPr="00AE5FF2">
        <w:rPr>
          <w:rFonts w:asciiTheme="minorHAnsi" w:hAnsiTheme="minorHAnsi" w:cstheme="minorHAnsi"/>
          <w:sz w:val="22"/>
          <w:szCs w:val="22"/>
        </w:rPr>
        <w:t xml:space="preserve">Smluvní strana   souhlasí se zpracováním svých ve smlouvě uvedených osobních údajů , konkrétně s jejich zveřejněním v registru smluv ve smyslu z. </w:t>
      </w:r>
      <w:proofErr w:type="gramStart"/>
      <w:r w:rsidRPr="00AE5FF2">
        <w:rPr>
          <w:rFonts w:asciiTheme="minorHAnsi" w:hAnsiTheme="minorHAnsi" w:cstheme="minorHAnsi"/>
          <w:sz w:val="22"/>
          <w:szCs w:val="22"/>
        </w:rPr>
        <w:t>č.</w:t>
      </w:r>
      <w:proofErr w:type="gramEnd"/>
      <w:r w:rsidRPr="00AE5FF2">
        <w:rPr>
          <w:rFonts w:asciiTheme="minorHAnsi" w:hAnsiTheme="minorHAnsi" w:cstheme="minorHAnsi"/>
          <w:sz w:val="22"/>
          <w:szCs w:val="22"/>
        </w:rPr>
        <w:t xml:space="preserve"> 340/2015 Sb., o zvláštních podmínkách účinnosti některých smluv, uveřejňování těchto smluv a o registru smluv (zákon o registru smluv) Statutárním městem Pardubice, se sídlem Pardubice, Pernštýnské náměstí 1, PSČ 530 21, IČ: 00274046. Souhlas uděluje příjemce dotace na dobu neurčitou. Osobní údaje poskytuje dobrovolně.</w:t>
      </w:r>
    </w:p>
    <w:p w:rsidR="002424EA" w:rsidRPr="00AE5FF2" w:rsidRDefault="002424EA" w:rsidP="002424EA">
      <w:pPr>
        <w:jc w:val="both"/>
        <w:rPr>
          <w:rFonts w:asciiTheme="minorHAnsi" w:hAnsiTheme="minorHAnsi" w:cstheme="minorHAnsi"/>
          <w:sz w:val="22"/>
          <w:szCs w:val="22"/>
        </w:rPr>
      </w:pPr>
    </w:p>
    <w:p w:rsidR="002424EA" w:rsidRPr="00AE5FF2" w:rsidRDefault="002424EA" w:rsidP="002424EA">
      <w:pPr>
        <w:numPr>
          <w:ilvl w:val="0"/>
          <w:numId w:val="4"/>
        </w:numPr>
        <w:autoSpaceDE w:val="0"/>
        <w:autoSpaceDN w:val="0"/>
        <w:adjustRightInd w:val="0"/>
        <w:jc w:val="both"/>
        <w:rPr>
          <w:rFonts w:asciiTheme="minorHAnsi" w:hAnsiTheme="minorHAnsi" w:cstheme="minorHAnsi"/>
          <w:color w:val="000000"/>
          <w:sz w:val="22"/>
          <w:szCs w:val="22"/>
        </w:rPr>
      </w:pPr>
      <w:r w:rsidRPr="00AE5FF2">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2424EA" w:rsidRPr="00AE5FF2" w:rsidRDefault="002424EA" w:rsidP="002424EA">
      <w:pPr>
        <w:autoSpaceDE w:val="0"/>
        <w:autoSpaceDN w:val="0"/>
        <w:adjustRightInd w:val="0"/>
        <w:ind w:left="426" w:hanging="426"/>
        <w:jc w:val="both"/>
        <w:rPr>
          <w:rFonts w:asciiTheme="minorHAnsi" w:hAnsiTheme="minorHAnsi" w:cstheme="minorHAnsi"/>
          <w:color w:val="000000"/>
          <w:sz w:val="22"/>
          <w:szCs w:val="22"/>
        </w:rPr>
      </w:pPr>
    </w:p>
    <w:p w:rsidR="002424EA" w:rsidRPr="00AE5FF2" w:rsidRDefault="002424EA" w:rsidP="002424EA">
      <w:pPr>
        <w:numPr>
          <w:ilvl w:val="0"/>
          <w:numId w:val="4"/>
        </w:numPr>
        <w:autoSpaceDE w:val="0"/>
        <w:autoSpaceDN w:val="0"/>
        <w:adjustRightInd w:val="0"/>
        <w:jc w:val="both"/>
        <w:rPr>
          <w:rFonts w:asciiTheme="minorHAnsi" w:hAnsiTheme="minorHAnsi" w:cstheme="minorHAnsi"/>
          <w:color w:val="000000"/>
          <w:sz w:val="22"/>
          <w:szCs w:val="22"/>
        </w:rPr>
      </w:pPr>
      <w:r w:rsidRPr="00AE5FF2">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2424EA" w:rsidRPr="00AE5FF2" w:rsidRDefault="002424EA" w:rsidP="002424EA">
      <w:pPr>
        <w:pStyle w:val="Odstavecseseznamem"/>
        <w:ind w:left="426" w:hanging="426"/>
        <w:rPr>
          <w:rFonts w:asciiTheme="minorHAnsi" w:hAnsiTheme="minorHAnsi" w:cstheme="minorHAnsi"/>
          <w:color w:val="000000"/>
          <w:sz w:val="22"/>
          <w:szCs w:val="22"/>
        </w:rPr>
      </w:pPr>
    </w:p>
    <w:p w:rsidR="002424EA" w:rsidRPr="00AE5FF2" w:rsidRDefault="002424EA" w:rsidP="002424EA">
      <w:pPr>
        <w:numPr>
          <w:ilvl w:val="0"/>
          <w:numId w:val="4"/>
        </w:numPr>
        <w:tabs>
          <w:tab w:val="left" w:pos="0"/>
        </w:tabs>
        <w:jc w:val="both"/>
        <w:rPr>
          <w:rFonts w:asciiTheme="minorHAnsi" w:hAnsiTheme="minorHAnsi" w:cstheme="minorHAnsi"/>
          <w:sz w:val="22"/>
          <w:szCs w:val="22"/>
        </w:rPr>
      </w:pPr>
      <w:r w:rsidRPr="00AE5FF2">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rsidR="002424EA" w:rsidRPr="00AE5FF2" w:rsidRDefault="002424EA" w:rsidP="002424EA">
      <w:pPr>
        <w:autoSpaceDE w:val="0"/>
        <w:autoSpaceDN w:val="0"/>
        <w:adjustRightInd w:val="0"/>
        <w:ind w:left="426" w:hanging="426"/>
        <w:jc w:val="both"/>
        <w:rPr>
          <w:rFonts w:asciiTheme="minorHAnsi" w:hAnsiTheme="minorHAnsi" w:cstheme="minorHAnsi"/>
          <w:color w:val="000000"/>
          <w:sz w:val="22"/>
          <w:szCs w:val="22"/>
        </w:rPr>
      </w:pPr>
    </w:p>
    <w:p w:rsidR="002424EA" w:rsidRPr="00AE5FF2" w:rsidRDefault="002424EA" w:rsidP="002424EA">
      <w:pPr>
        <w:numPr>
          <w:ilvl w:val="0"/>
          <w:numId w:val="4"/>
        </w:numPr>
        <w:jc w:val="both"/>
        <w:rPr>
          <w:rFonts w:asciiTheme="minorHAnsi" w:hAnsiTheme="minorHAnsi" w:cstheme="minorHAnsi"/>
          <w:sz w:val="22"/>
          <w:szCs w:val="22"/>
        </w:rPr>
      </w:pPr>
      <w:r w:rsidRPr="00AE5FF2">
        <w:rPr>
          <w:rFonts w:asciiTheme="minorHAnsi" w:hAnsiTheme="minorHAnsi" w:cstheme="minorHAnsi"/>
          <w:sz w:val="22"/>
          <w:szCs w:val="22"/>
        </w:rPr>
        <w:t>Tato smlouva je vyhotovena ve třech stejnopisech, z nichž poskytovatel obdrží dva, příjemce jeden výtisk.</w:t>
      </w:r>
    </w:p>
    <w:p w:rsidR="002424EA" w:rsidRPr="00AE5FF2" w:rsidRDefault="002424EA" w:rsidP="002424EA">
      <w:pPr>
        <w:pStyle w:val="Odstavecseseznamem"/>
        <w:rPr>
          <w:rFonts w:asciiTheme="minorHAnsi" w:hAnsiTheme="minorHAnsi" w:cstheme="minorHAnsi"/>
          <w:sz w:val="22"/>
          <w:szCs w:val="22"/>
        </w:rPr>
      </w:pPr>
    </w:p>
    <w:p w:rsidR="002424EA" w:rsidRPr="00AE5FF2" w:rsidRDefault="002424EA" w:rsidP="002424EA">
      <w:pPr>
        <w:numPr>
          <w:ilvl w:val="0"/>
          <w:numId w:val="4"/>
        </w:numPr>
        <w:jc w:val="both"/>
        <w:rPr>
          <w:rFonts w:asciiTheme="minorHAnsi" w:hAnsiTheme="minorHAnsi" w:cstheme="minorHAnsi"/>
          <w:sz w:val="22"/>
          <w:szCs w:val="22"/>
        </w:rPr>
      </w:pPr>
      <w:r w:rsidRPr="00AE5FF2">
        <w:rPr>
          <w:rFonts w:asciiTheme="minorHAnsi" w:hAnsiTheme="minorHAnsi" w:cstheme="minorHAnsi"/>
          <w:sz w:val="22"/>
          <w:szCs w:val="22"/>
        </w:rPr>
        <w:t xml:space="preserve">Smlouva nabývá platnosti dnem jejího podpisu oběma smluvními stranami a účinnosti dnem jejího uveřejnění v registru smluv. </w:t>
      </w:r>
    </w:p>
    <w:p w:rsidR="002424EA" w:rsidRPr="00AE5FF2" w:rsidRDefault="002424EA" w:rsidP="002424EA">
      <w:pPr>
        <w:jc w:val="both"/>
        <w:rPr>
          <w:rFonts w:asciiTheme="minorHAnsi" w:hAnsiTheme="minorHAnsi" w:cstheme="minorHAnsi"/>
          <w:sz w:val="22"/>
          <w:szCs w:val="22"/>
        </w:rPr>
      </w:pPr>
    </w:p>
    <w:p w:rsidR="00AA5C41" w:rsidRPr="00FE0A7A" w:rsidRDefault="002424EA" w:rsidP="002424EA">
      <w:pPr>
        <w:numPr>
          <w:ilvl w:val="0"/>
          <w:numId w:val="4"/>
        </w:numPr>
        <w:autoSpaceDE w:val="0"/>
        <w:autoSpaceDN w:val="0"/>
        <w:adjustRightInd w:val="0"/>
        <w:jc w:val="both"/>
        <w:rPr>
          <w:rFonts w:ascii="Calibri" w:hAnsi="Calibri" w:cs="Arial"/>
          <w:color w:val="000000"/>
          <w:sz w:val="22"/>
          <w:szCs w:val="22"/>
        </w:rPr>
      </w:pPr>
      <w:r w:rsidRPr="00AE5FF2">
        <w:rPr>
          <w:rFonts w:asciiTheme="minorHAnsi" w:hAnsiTheme="minorHAnsi" w:cstheme="minorHAnsi"/>
          <w:sz w:val="22"/>
          <w:szCs w:val="22"/>
        </w:rPr>
        <w:t>Příloha: č. 1 – rozpočet uznatelných nákladů projektu</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C41721" w:rsidRDefault="00C41721" w:rsidP="002E6D8D">
      <w:pPr>
        <w:jc w:val="both"/>
        <w:rPr>
          <w:rFonts w:ascii="Calibri" w:hAnsi="Calibri"/>
          <w:sz w:val="22"/>
          <w:szCs w:val="22"/>
        </w:rPr>
      </w:pPr>
    </w:p>
    <w:p w:rsidR="00C41721" w:rsidRDefault="00C41721" w:rsidP="002E6D8D">
      <w:pPr>
        <w:jc w:val="both"/>
        <w:rPr>
          <w:rFonts w:ascii="Calibri" w:hAnsi="Calibri"/>
          <w:sz w:val="22"/>
          <w:szCs w:val="22"/>
        </w:rPr>
      </w:pPr>
    </w:p>
    <w:p w:rsidR="00C41721" w:rsidRDefault="00C41721"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073AB5">
        <w:rPr>
          <w:rFonts w:ascii="Calibri" w:hAnsi="Calibri"/>
          <w:sz w:val="22"/>
          <w:szCs w:val="22"/>
        </w:rPr>
        <w:t xml:space="preserve">Mgr. Jan </w:t>
      </w:r>
      <w:proofErr w:type="spellStart"/>
      <w:r w:rsidR="00073AB5">
        <w:rPr>
          <w:rFonts w:ascii="Calibri" w:hAnsi="Calibri"/>
          <w:sz w:val="22"/>
          <w:szCs w:val="22"/>
        </w:rPr>
        <w:t>Lorman</w:t>
      </w:r>
      <w:proofErr w:type="spellEnd"/>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E975FE" w:rsidRDefault="00E975FE" w:rsidP="00E975FE">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č. </w:t>
      </w:r>
      <w:r w:rsidR="004D53D0">
        <w:rPr>
          <w:rFonts w:ascii="Calibri" w:hAnsi="Calibri"/>
          <w:sz w:val="22"/>
          <w:szCs w:val="22"/>
        </w:rPr>
        <w:t>Z/</w:t>
      </w:r>
      <w:r w:rsidR="003B19FB">
        <w:rPr>
          <w:rFonts w:ascii="Calibri" w:hAnsi="Calibri"/>
          <w:sz w:val="22"/>
          <w:szCs w:val="22"/>
        </w:rPr>
        <w:t>2093</w:t>
      </w:r>
      <w:r w:rsidR="004D53D0">
        <w:rPr>
          <w:rFonts w:ascii="Calibri" w:hAnsi="Calibri"/>
          <w:sz w:val="22"/>
          <w:szCs w:val="22"/>
        </w:rPr>
        <w:t>/2017</w:t>
      </w:r>
      <w:r w:rsidR="007948E3">
        <w:rPr>
          <w:rFonts w:ascii="Calibri" w:hAnsi="Calibri"/>
          <w:sz w:val="22"/>
          <w:szCs w:val="22"/>
        </w:rPr>
        <w:t xml:space="preserve"> ze </w:t>
      </w:r>
      <w:r>
        <w:rPr>
          <w:rFonts w:ascii="Calibri" w:hAnsi="Calibri"/>
          <w:sz w:val="22"/>
          <w:szCs w:val="22"/>
        </w:rPr>
        <w:t xml:space="preserve">dne </w:t>
      </w:r>
      <w:proofErr w:type="gramStart"/>
      <w:r w:rsidR="003B19FB">
        <w:rPr>
          <w:rFonts w:ascii="Calibri" w:hAnsi="Calibri"/>
          <w:sz w:val="22"/>
          <w:szCs w:val="22"/>
        </w:rPr>
        <w:t>23.10.2017</w:t>
      </w:r>
      <w:proofErr w:type="gramEnd"/>
      <w:r>
        <w:rPr>
          <w:rFonts w:ascii="Calibri" w:hAnsi="Calibri"/>
          <w:sz w:val="22"/>
          <w:szCs w:val="22"/>
        </w:rPr>
        <w:t xml:space="preserve">  </w:t>
      </w:r>
    </w:p>
    <w:p w:rsidR="00E975FE" w:rsidRDefault="00E975FE" w:rsidP="00E975FE">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E975FE" w:rsidRDefault="00E975FE" w:rsidP="00E975FE">
      <w:pPr>
        <w:jc w:val="center"/>
        <w:rPr>
          <w:rFonts w:ascii="Calibri" w:hAnsi="Calibri"/>
          <w:sz w:val="22"/>
          <w:szCs w:val="22"/>
        </w:rPr>
      </w:pPr>
      <w:r>
        <w:rPr>
          <w:rFonts w:ascii="Calibri" w:hAnsi="Calibri"/>
          <w:sz w:val="22"/>
          <w:szCs w:val="22"/>
        </w:rPr>
        <w:t xml:space="preserve"> Magistrátu města Pardubic</w:t>
      </w:r>
    </w:p>
    <w:p w:rsidR="00E975FE" w:rsidRDefault="00E975FE" w:rsidP="00E975FE">
      <w:pPr>
        <w:rPr>
          <w:rFonts w:ascii="Calibri" w:hAnsi="Calibri"/>
          <w:sz w:val="22"/>
          <w:szCs w:val="22"/>
        </w:rPr>
      </w:pPr>
    </w:p>
    <w:p w:rsidR="00920B7A" w:rsidRPr="00FE0A7A" w:rsidRDefault="00920B7A" w:rsidP="00920B7A">
      <w:pPr>
        <w:rPr>
          <w:rFonts w:ascii="Calibri" w:hAnsi="Calibri"/>
          <w:sz w:val="22"/>
          <w:szCs w:val="22"/>
        </w:rPr>
      </w:pPr>
    </w:p>
    <w:p w:rsidR="00C5744C" w:rsidRDefault="00C5744C" w:rsidP="001744FC">
      <w:pPr>
        <w:rPr>
          <w:rFonts w:ascii="Calibri" w:hAnsi="Calibri"/>
          <w:sz w:val="22"/>
          <w:szCs w:val="22"/>
        </w:rPr>
      </w:pPr>
    </w:p>
    <w:p w:rsidR="003A68C7" w:rsidRDefault="003A68C7" w:rsidP="001744FC">
      <w:pPr>
        <w:rPr>
          <w:rFonts w:ascii="Calibri" w:hAnsi="Calibri"/>
          <w:sz w:val="22"/>
          <w:szCs w:val="22"/>
        </w:rPr>
      </w:pPr>
    </w:p>
    <w:p w:rsidR="003A68C7" w:rsidRDefault="003A68C7" w:rsidP="001744FC">
      <w:pPr>
        <w:rPr>
          <w:rFonts w:ascii="Calibri" w:hAnsi="Calibri"/>
          <w:sz w:val="22"/>
          <w:szCs w:val="22"/>
        </w:rPr>
      </w:pPr>
    </w:p>
    <w:p w:rsidR="003A68C7" w:rsidRDefault="003A68C7" w:rsidP="001744FC">
      <w:pPr>
        <w:rPr>
          <w:rFonts w:ascii="Calibri" w:hAnsi="Calibri"/>
          <w:sz w:val="22"/>
          <w:szCs w:val="22"/>
        </w:rPr>
      </w:pPr>
    </w:p>
    <w:p w:rsidR="003A68C7" w:rsidRDefault="003A68C7" w:rsidP="001744FC">
      <w:pPr>
        <w:rPr>
          <w:rFonts w:ascii="Calibri" w:hAnsi="Calibri"/>
          <w:sz w:val="22"/>
          <w:szCs w:val="22"/>
        </w:rPr>
      </w:pPr>
    </w:p>
    <w:p w:rsidR="003A68C7" w:rsidRDefault="003A68C7" w:rsidP="001744FC">
      <w:pPr>
        <w:rPr>
          <w:rFonts w:ascii="Calibri" w:hAnsi="Calibri"/>
          <w:sz w:val="22"/>
          <w:szCs w:val="22"/>
        </w:rPr>
      </w:pPr>
    </w:p>
    <w:p w:rsidR="00DC7BC0" w:rsidRDefault="00DC7BC0" w:rsidP="001744FC">
      <w:pPr>
        <w:rPr>
          <w:rFonts w:ascii="Calibri" w:hAnsi="Calibri"/>
          <w:sz w:val="22"/>
          <w:szCs w:val="22"/>
        </w:rPr>
      </w:pPr>
    </w:p>
    <w:p w:rsidR="00DC7BC0" w:rsidRDefault="00DC7BC0" w:rsidP="001744FC">
      <w:pPr>
        <w:rPr>
          <w:rFonts w:ascii="Calibri" w:hAnsi="Calibri"/>
          <w:sz w:val="22"/>
          <w:szCs w:val="22"/>
        </w:rPr>
      </w:pPr>
    </w:p>
    <w:p w:rsidR="00DC7BC0" w:rsidRDefault="00DC7BC0" w:rsidP="001744FC">
      <w:pPr>
        <w:rPr>
          <w:rFonts w:ascii="Calibri" w:hAnsi="Calibri"/>
          <w:sz w:val="22"/>
          <w:szCs w:val="22"/>
        </w:rPr>
      </w:pPr>
    </w:p>
    <w:p w:rsidR="00DC7BC0" w:rsidRDefault="00DC7BC0" w:rsidP="001744FC">
      <w:pPr>
        <w:rPr>
          <w:rFonts w:ascii="Calibri" w:hAnsi="Calibri"/>
          <w:sz w:val="22"/>
          <w:szCs w:val="22"/>
        </w:rPr>
      </w:pPr>
    </w:p>
    <w:p w:rsidR="00DC7BC0" w:rsidRDefault="00DC7BC0" w:rsidP="001744FC">
      <w:pPr>
        <w:rPr>
          <w:rFonts w:ascii="Calibri" w:hAnsi="Calibri"/>
          <w:sz w:val="22"/>
          <w:szCs w:val="22"/>
        </w:rPr>
      </w:pPr>
    </w:p>
    <w:p w:rsidR="00DC7BC0" w:rsidRDefault="00DC7BC0" w:rsidP="001744FC">
      <w:pPr>
        <w:rPr>
          <w:rFonts w:ascii="Calibri" w:hAnsi="Calibri"/>
          <w:sz w:val="22"/>
          <w:szCs w:val="22"/>
        </w:rPr>
      </w:pPr>
    </w:p>
    <w:p w:rsidR="00DC7BC0" w:rsidRDefault="00DC7BC0" w:rsidP="001744FC">
      <w:pPr>
        <w:rPr>
          <w:rFonts w:ascii="Calibri" w:hAnsi="Calibri"/>
          <w:sz w:val="22"/>
          <w:szCs w:val="22"/>
        </w:rPr>
      </w:pPr>
    </w:p>
    <w:p w:rsidR="00DC7BC0" w:rsidRDefault="00DC7BC0" w:rsidP="001744FC">
      <w:pPr>
        <w:rPr>
          <w:rFonts w:ascii="Calibri" w:hAnsi="Calibri"/>
          <w:sz w:val="22"/>
          <w:szCs w:val="22"/>
        </w:rPr>
      </w:pPr>
    </w:p>
    <w:p w:rsidR="001E5C88" w:rsidRDefault="001E5C88" w:rsidP="001744FC">
      <w:pPr>
        <w:rPr>
          <w:rFonts w:ascii="Calibri" w:hAnsi="Calibri"/>
          <w:sz w:val="22"/>
          <w:szCs w:val="22"/>
        </w:rPr>
      </w:pPr>
    </w:p>
    <w:p w:rsidR="001E5C88" w:rsidRDefault="001E5C88" w:rsidP="001744FC">
      <w:pPr>
        <w:rPr>
          <w:rFonts w:ascii="Calibri" w:hAnsi="Calibri"/>
          <w:sz w:val="22"/>
          <w:szCs w:val="22"/>
        </w:rPr>
      </w:pPr>
    </w:p>
    <w:tbl>
      <w:tblPr>
        <w:tblW w:w="9325" w:type="dxa"/>
        <w:tblInd w:w="70" w:type="dxa"/>
        <w:tblCellMar>
          <w:left w:w="70" w:type="dxa"/>
          <w:right w:w="70" w:type="dxa"/>
        </w:tblCellMar>
        <w:tblLook w:val="04A0" w:firstRow="1" w:lastRow="0" w:firstColumn="1" w:lastColumn="0" w:noHBand="0" w:noVBand="1"/>
      </w:tblPr>
      <w:tblGrid>
        <w:gridCol w:w="605"/>
        <w:gridCol w:w="2960"/>
        <w:gridCol w:w="1580"/>
        <w:gridCol w:w="1480"/>
        <w:gridCol w:w="2700"/>
      </w:tblGrid>
      <w:tr w:rsidR="00C5744C" w:rsidRPr="00C5744C" w:rsidTr="00474AF1">
        <w:trPr>
          <w:trHeight w:val="255"/>
        </w:trPr>
        <w:tc>
          <w:tcPr>
            <w:tcW w:w="605"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296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158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148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270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r>
      <w:tr w:rsidR="00C5744C" w:rsidRPr="00C5744C" w:rsidTr="00474AF1">
        <w:trPr>
          <w:trHeight w:val="255"/>
        </w:trPr>
        <w:tc>
          <w:tcPr>
            <w:tcW w:w="605"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296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1580" w:type="dxa"/>
            <w:tcBorders>
              <w:top w:val="nil"/>
              <w:left w:val="nil"/>
              <w:bottom w:val="nil"/>
              <w:right w:val="nil"/>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ROZPOČET</w:t>
            </w:r>
          </w:p>
        </w:tc>
        <w:tc>
          <w:tcPr>
            <w:tcW w:w="1480" w:type="dxa"/>
            <w:tcBorders>
              <w:top w:val="nil"/>
              <w:left w:val="nil"/>
              <w:bottom w:val="nil"/>
              <w:right w:val="nil"/>
            </w:tcBorders>
            <w:shd w:val="clear" w:color="auto" w:fill="auto"/>
            <w:noWrap/>
            <w:vAlign w:val="bottom"/>
            <w:hideMark/>
          </w:tcPr>
          <w:p w:rsidR="002424EA" w:rsidRDefault="002424EA" w:rsidP="007C6A47">
            <w:pPr>
              <w:jc w:val="both"/>
              <w:rPr>
                <w:rFonts w:ascii="Calibri" w:hAnsi="Calibri" w:cs="Calibri"/>
                <w:sz w:val="20"/>
                <w:szCs w:val="20"/>
              </w:rPr>
            </w:pPr>
            <w:r>
              <w:rPr>
                <w:rFonts w:ascii="Calibri" w:hAnsi="Calibri" w:cs="Calibri"/>
                <w:sz w:val="20"/>
                <w:szCs w:val="20"/>
              </w:rPr>
              <w:t xml:space="preserve">         </w:t>
            </w:r>
            <w:bookmarkStart w:id="0" w:name="_GoBack"/>
            <w:bookmarkEnd w:id="0"/>
            <w:r>
              <w:rPr>
                <w:rFonts w:ascii="Calibri" w:hAnsi="Calibri" w:cs="Calibri"/>
                <w:sz w:val="20"/>
                <w:szCs w:val="20"/>
              </w:rPr>
              <w:t>Příloha č. 1</w:t>
            </w:r>
          </w:p>
          <w:p w:rsidR="002424EA" w:rsidRDefault="002424EA" w:rsidP="00C5744C">
            <w:pPr>
              <w:rPr>
                <w:rFonts w:ascii="Calibri" w:hAnsi="Calibri" w:cs="Calibri"/>
                <w:sz w:val="20"/>
                <w:szCs w:val="20"/>
              </w:rPr>
            </w:pPr>
          </w:p>
          <w:p w:rsidR="00C5744C" w:rsidRPr="00C5744C" w:rsidRDefault="00C5744C" w:rsidP="00C5744C">
            <w:pPr>
              <w:rPr>
                <w:rFonts w:ascii="Calibri" w:hAnsi="Calibri" w:cs="Calibri"/>
                <w:sz w:val="20"/>
                <w:szCs w:val="20"/>
              </w:rPr>
            </w:pPr>
            <w:r w:rsidRPr="00C5744C">
              <w:rPr>
                <w:rFonts w:ascii="Calibri" w:hAnsi="Calibri" w:cs="Calibri"/>
                <w:sz w:val="20"/>
                <w:szCs w:val="20"/>
              </w:rPr>
              <w:t>NÁZEV PROJEKTU</w:t>
            </w:r>
          </w:p>
        </w:tc>
        <w:tc>
          <w:tcPr>
            <w:tcW w:w="2700" w:type="dxa"/>
            <w:tcBorders>
              <w:top w:val="nil"/>
              <w:left w:val="nil"/>
              <w:bottom w:val="nil"/>
              <w:right w:val="nil"/>
            </w:tcBorders>
            <w:shd w:val="clear" w:color="auto" w:fill="auto"/>
            <w:noWrap/>
            <w:vAlign w:val="bottom"/>
            <w:hideMark/>
          </w:tcPr>
          <w:p w:rsidR="00C5744C" w:rsidRPr="00C5744C" w:rsidRDefault="00C5744C" w:rsidP="00C5744C">
            <w:pPr>
              <w:rPr>
                <w:rFonts w:ascii="Calibri" w:hAnsi="Calibri" w:cs="Calibri"/>
                <w:sz w:val="20"/>
                <w:szCs w:val="20"/>
              </w:rPr>
            </w:pPr>
          </w:p>
        </w:tc>
      </w:tr>
      <w:tr w:rsidR="00C5744C" w:rsidRPr="00C5744C" w:rsidTr="00474AF1">
        <w:trPr>
          <w:trHeight w:val="255"/>
        </w:trPr>
        <w:tc>
          <w:tcPr>
            <w:tcW w:w="605"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296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5760" w:type="dxa"/>
            <w:gridSpan w:val="3"/>
            <w:tcBorders>
              <w:top w:val="nil"/>
              <w:left w:val="nil"/>
              <w:bottom w:val="nil"/>
              <w:right w:val="nil"/>
            </w:tcBorders>
            <w:shd w:val="clear" w:color="auto" w:fill="auto"/>
            <w:noWrap/>
            <w:vAlign w:val="bottom"/>
            <w:hideMark/>
          </w:tcPr>
          <w:p w:rsidR="00C5744C" w:rsidRPr="00C5744C" w:rsidRDefault="00C5744C" w:rsidP="00C5744C">
            <w:pPr>
              <w:rPr>
                <w:rFonts w:ascii="Calibri" w:hAnsi="Calibri" w:cs="Calibri"/>
                <w:sz w:val="20"/>
                <w:szCs w:val="20"/>
              </w:rPr>
            </w:pPr>
            <w:r w:rsidRPr="00C5744C">
              <w:rPr>
                <w:rFonts w:ascii="Calibri" w:hAnsi="Calibri" w:cs="Calibri"/>
                <w:sz w:val="20"/>
                <w:szCs w:val="20"/>
              </w:rPr>
              <w:t>Pilotní ověření služby tísňová péče AREÍON pro seniory a zdravotně</w:t>
            </w:r>
          </w:p>
        </w:tc>
      </w:tr>
      <w:tr w:rsidR="00C5744C" w:rsidRPr="00C5744C" w:rsidTr="00474AF1">
        <w:trPr>
          <w:trHeight w:val="255"/>
        </w:trPr>
        <w:tc>
          <w:tcPr>
            <w:tcW w:w="605" w:type="dxa"/>
            <w:tcBorders>
              <w:top w:val="nil"/>
              <w:left w:val="nil"/>
              <w:bottom w:val="nil"/>
              <w:right w:val="nil"/>
            </w:tcBorders>
            <w:shd w:val="clear" w:color="auto" w:fill="auto"/>
            <w:noWrap/>
            <w:vAlign w:val="bottom"/>
            <w:hideMark/>
          </w:tcPr>
          <w:p w:rsidR="00C5744C" w:rsidRPr="00C5744C" w:rsidRDefault="00C5744C" w:rsidP="00C5744C">
            <w:pPr>
              <w:rPr>
                <w:rFonts w:ascii="Calibri" w:hAnsi="Calibri" w:cs="Calibri"/>
                <w:sz w:val="20"/>
                <w:szCs w:val="20"/>
              </w:rPr>
            </w:pPr>
          </w:p>
        </w:tc>
        <w:tc>
          <w:tcPr>
            <w:tcW w:w="296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1580" w:type="dxa"/>
            <w:tcBorders>
              <w:top w:val="nil"/>
              <w:left w:val="nil"/>
              <w:bottom w:val="nil"/>
              <w:right w:val="nil"/>
            </w:tcBorders>
            <w:shd w:val="clear" w:color="auto" w:fill="auto"/>
            <w:noWrap/>
            <w:vAlign w:val="bottom"/>
            <w:hideMark/>
          </w:tcPr>
          <w:p w:rsidR="00C5744C" w:rsidRPr="00C5744C" w:rsidRDefault="00C5744C" w:rsidP="00C5744C">
            <w:pPr>
              <w:rPr>
                <w:rFonts w:ascii="Calibri" w:hAnsi="Calibri" w:cs="Calibri"/>
                <w:sz w:val="20"/>
                <w:szCs w:val="20"/>
              </w:rPr>
            </w:pPr>
            <w:r w:rsidRPr="00C5744C">
              <w:rPr>
                <w:rFonts w:ascii="Calibri" w:hAnsi="Calibri" w:cs="Calibri"/>
                <w:sz w:val="20"/>
                <w:szCs w:val="20"/>
              </w:rPr>
              <w:t>postižené</w:t>
            </w:r>
          </w:p>
        </w:tc>
        <w:tc>
          <w:tcPr>
            <w:tcW w:w="1480" w:type="dxa"/>
            <w:tcBorders>
              <w:top w:val="nil"/>
              <w:left w:val="nil"/>
              <w:bottom w:val="nil"/>
              <w:right w:val="nil"/>
            </w:tcBorders>
            <w:shd w:val="clear" w:color="auto" w:fill="auto"/>
            <w:noWrap/>
            <w:vAlign w:val="bottom"/>
            <w:hideMark/>
          </w:tcPr>
          <w:p w:rsidR="00C5744C" w:rsidRPr="00C5744C" w:rsidRDefault="00C5744C" w:rsidP="00C5744C">
            <w:pPr>
              <w:rPr>
                <w:rFonts w:ascii="Calibri" w:hAnsi="Calibri" w:cs="Calibri"/>
                <w:sz w:val="20"/>
                <w:szCs w:val="20"/>
              </w:rPr>
            </w:pPr>
          </w:p>
        </w:tc>
        <w:tc>
          <w:tcPr>
            <w:tcW w:w="270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r>
      <w:tr w:rsidR="00C5744C" w:rsidRPr="00C5744C" w:rsidTr="00474AF1">
        <w:trPr>
          <w:trHeight w:val="270"/>
        </w:trPr>
        <w:tc>
          <w:tcPr>
            <w:tcW w:w="605"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296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c>
          <w:tcPr>
            <w:tcW w:w="5760" w:type="dxa"/>
            <w:gridSpan w:val="3"/>
            <w:tcBorders>
              <w:top w:val="nil"/>
              <w:left w:val="nil"/>
              <w:bottom w:val="nil"/>
              <w:right w:val="nil"/>
            </w:tcBorders>
            <w:shd w:val="clear" w:color="auto" w:fill="auto"/>
            <w:noWrap/>
            <w:vAlign w:val="bottom"/>
            <w:hideMark/>
          </w:tcPr>
          <w:p w:rsidR="00C5744C" w:rsidRPr="00C5744C" w:rsidRDefault="00C5744C" w:rsidP="00C5744C">
            <w:pPr>
              <w:rPr>
                <w:rFonts w:ascii="Calibri" w:hAnsi="Calibri" w:cs="Calibri"/>
                <w:sz w:val="20"/>
                <w:szCs w:val="20"/>
              </w:rPr>
            </w:pPr>
            <w:r w:rsidRPr="00C5744C">
              <w:rPr>
                <w:rFonts w:ascii="Calibri" w:hAnsi="Calibri" w:cs="Calibri"/>
                <w:sz w:val="20"/>
                <w:szCs w:val="20"/>
              </w:rPr>
              <w:t xml:space="preserve">Vyplňte jednotlivé položky - nastaveny automatické součty </w:t>
            </w:r>
          </w:p>
        </w:tc>
      </w:tr>
      <w:tr w:rsidR="00C5744C" w:rsidRPr="00C5744C" w:rsidTr="00474AF1">
        <w:trPr>
          <w:trHeight w:val="1545"/>
        </w:trPr>
        <w:tc>
          <w:tcPr>
            <w:tcW w:w="356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5744C" w:rsidRPr="00C5744C" w:rsidRDefault="00C5744C" w:rsidP="00C5744C">
            <w:pPr>
              <w:rPr>
                <w:rFonts w:ascii="Calibri" w:hAnsi="Calibri" w:cs="Calibri"/>
                <w:b/>
                <w:bCs/>
                <w:color w:val="000000"/>
                <w:sz w:val="20"/>
                <w:szCs w:val="20"/>
              </w:rPr>
            </w:pPr>
            <w:r w:rsidRPr="00C5744C">
              <w:rPr>
                <w:rFonts w:ascii="Calibri" w:hAnsi="Calibri" w:cs="Calibri"/>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xml:space="preserve">Celkové náklady na období od </w:t>
            </w:r>
            <w:proofErr w:type="gramStart"/>
            <w:r w:rsidRPr="00C5744C">
              <w:rPr>
                <w:rFonts w:ascii="Calibri" w:hAnsi="Calibri" w:cs="Calibri"/>
                <w:b/>
                <w:bCs/>
                <w:sz w:val="20"/>
                <w:szCs w:val="20"/>
              </w:rPr>
              <w:t>1.11.2017</w:t>
            </w:r>
            <w:proofErr w:type="gramEnd"/>
            <w:r w:rsidRPr="00C5744C">
              <w:rPr>
                <w:rFonts w:ascii="Calibri" w:hAnsi="Calibri" w:cs="Calibri"/>
                <w:b/>
                <w:bCs/>
                <w:sz w:val="20"/>
                <w:szCs w:val="20"/>
              </w:rPr>
              <w:t xml:space="preserve"> do 31.10.2018</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C5744C" w:rsidRPr="00C5744C" w:rsidRDefault="00C5744C" w:rsidP="009D2883">
            <w:pPr>
              <w:jc w:val="center"/>
              <w:rPr>
                <w:rFonts w:ascii="Calibri" w:hAnsi="Calibri" w:cs="Calibri"/>
                <w:b/>
                <w:bCs/>
                <w:sz w:val="20"/>
                <w:szCs w:val="20"/>
              </w:rPr>
            </w:pPr>
            <w:r w:rsidRPr="00C5744C">
              <w:rPr>
                <w:rFonts w:ascii="Calibri" w:hAnsi="Calibri" w:cs="Calibri"/>
                <w:b/>
                <w:bCs/>
                <w:sz w:val="20"/>
                <w:szCs w:val="20"/>
              </w:rPr>
              <w:t xml:space="preserve">Požadavek finančních prostředků na </w:t>
            </w:r>
            <w:proofErr w:type="spellStart"/>
            <w:r w:rsidR="009D2883">
              <w:rPr>
                <w:rFonts w:ascii="Calibri" w:hAnsi="Calibri" w:cs="Calibri"/>
                <w:b/>
                <w:bCs/>
                <w:sz w:val="20"/>
                <w:szCs w:val="20"/>
              </w:rPr>
              <w:t>S</w:t>
            </w:r>
            <w:r w:rsidRPr="00C5744C">
              <w:rPr>
                <w:rFonts w:ascii="Calibri" w:hAnsi="Calibri" w:cs="Calibri"/>
                <w:b/>
                <w:bCs/>
                <w:sz w:val="20"/>
                <w:szCs w:val="20"/>
              </w:rPr>
              <w:t>mP</w:t>
            </w:r>
            <w:proofErr w:type="spellEnd"/>
            <w:r w:rsidRPr="00C5744C">
              <w:rPr>
                <w:rFonts w:ascii="Calibri" w:hAnsi="Calibri" w:cs="Calibri"/>
                <w:b/>
                <w:bCs/>
                <w:sz w:val="20"/>
                <w:szCs w:val="20"/>
              </w:rPr>
              <w:t xml:space="preserve"> na období od </w:t>
            </w:r>
            <w:proofErr w:type="gramStart"/>
            <w:r w:rsidRPr="00C5744C">
              <w:rPr>
                <w:rFonts w:ascii="Calibri" w:hAnsi="Calibri" w:cs="Calibri"/>
                <w:b/>
                <w:bCs/>
                <w:sz w:val="20"/>
                <w:szCs w:val="20"/>
              </w:rPr>
              <w:t>1.11.2017</w:t>
            </w:r>
            <w:proofErr w:type="gramEnd"/>
            <w:r w:rsidRPr="00C5744C">
              <w:rPr>
                <w:rFonts w:ascii="Calibri" w:hAnsi="Calibri" w:cs="Calibri"/>
                <w:b/>
                <w:bCs/>
                <w:sz w:val="20"/>
                <w:szCs w:val="20"/>
              </w:rPr>
              <w:t xml:space="preserve"> do 31.10.2018</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Poznámka (slovní komentář</w:t>
            </w:r>
          </w:p>
        </w:tc>
      </w:tr>
      <w:tr w:rsidR="00C5744C" w:rsidRPr="00C5744C" w:rsidTr="00474AF1">
        <w:trPr>
          <w:trHeight w:val="600"/>
        </w:trPr>
        <w:tc>
          <w:tcPr>
            <w:tcW w:w="356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5744C" w:rsidRPr="00C5744C" w:rsidRDefault="00C5744C" w:rsidP="00C5744C">
            <w:pPr>
              <w:rPr>
                <w:rFonts w:ascii="Calibri" w:hAnsi="Calibri" w:cs="Calibri"/>
                <w:b/>
                <w:bCs/>
                <w:color w:val="000000"/>
                <w:sz w:val="20"/>
                <w:szCs w:val="20"/>
              </w:rPr>
            </w:pPr>
            <w:r w:rsidRPr="00C5744C">
              <w:rPr>
                <w:rFonts w:ascii="Calibri" w:hAnsi="Calibri" w:cs="Calibri"/>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3927000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97800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 </w:t>
            </w:r>
          </w:p>
        </w:tc>
      </w:tr>
      <w:tr w:rsidR="00C5744C" w:rsidRPr="00C5744C" w:rsidTr="00474AF1">
        <w:trPr>
          <w:trHeight w:val="600"/>
        </w:trPr>
        <w:tc>
          <w:tcPr>
            <w:tcW w:w="356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5744C" w:rsidRPr="00C5744C" w:rsidRDefault="00C5744C" w:rsidP="00C5744C">
            <w:pPr>
              <w:rPr>
                <w:rFonts w:ascii="Calibri" w:hAnsi="Calibri" w:cs="Calibri"/>
                <w:b/>
                <w:bCs/>
                <w:sz w:val="20"/>
                <w:szCs w:val="20"/>
              </w:rPr>
            </w:pPr>
            <w:proofErr w:type="gramStart"/>
            <w:r w:rsidRPr="00C5744C">
              <w:rPr>
                <w:rFonts w:ascii="Calibri" w:hAnsi="Calibri" w:cs="Calibri"/>
                <w:b/>
                <w:bCs/>
                <w:sz w:val="20"/>
                <w:szCs w:val="20"/>
              </w:rPr>
              <w:t>1.1.Materiálové</w:t>
            </w:r>
            <w:proofErr w:type="gramEnd"/>
            <w:r w:rsidRPr="00C5744C">
              <w:rPr>
                <w:rFonts w:ascii="Calibri" w:hAnsi="Calibri" w:cs="Calibri"/>
                <w:b/>
                <w:bCs/>
                <w:sz w:val="20"/>
                <w:szCs w:val="20"/>
              </w:rPr>
              <w:t xml:space="preserve"> náklady celkem</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1590000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1000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r>
      <w:tr w:rsidR="00C5744C" w:rsidRPr="00C5744C" w:rsidTr="00474AF1">
        <w:trPr>
          <w:trHeight w:val="600"/>
        </w:trPr>
        <w:tc>
          <w:tcPr>
            <w:tcW w:w="605" w:type="dxa"/>
            <w:tcBorders>
              <w:top w:val="nil"/>
              <w:left w:val="single" w:sz="8" w:space="0" w:color="auto"/>
              <w:bottom w:val="nil"/>
              <w:right w:val="nil"/>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 </w:t>
            </w:r>
          </w:p>
        </w:tc>
        <w:tc>
          <w:tcPr>
            <w:tcW w:w="2960" w:type="dxa"/>
            <w:tcBorders>
              <w:top w:val="nil"/>
              <w:left w:val="single" w:sz="8" w:space="0" w:color="auto"/>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kancelářské potřeby</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30000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r>
      <w:tr w:rsidR="00C5744C" w:rsidRPr="00C5744C" w:rsidTr="00474AF1">
        <w:trPr>
          <w:trHeight w:val="600"/>
        </w:trPr>
        <w:tc>
          <w:tcPr>
            <w:tcW w:w="605" w:type="dxa"/>
            <w:tcBorders>
              <w:top w:val="nil"/>
              <w:left w:val="single" w:sz="8" w:space="0" w:color="auto"/>
              <w:bottom w:val="nil"/>
              <w:right w:val="nil"/>
            </w:tcBorders>
            <w:shd w:val="clear" w:color="auto" w:fill="auto"/>
            <w:textDirection w:val="btLr"/>
            <w:vAlign w:val="bottom"/>
            <w:hideMark/>
          </w:tcPr>
          <w:p w:rsidR="00C5744C" w:rsidRPr="00C5744C" w:rsidRDefault="00C5744C" w:rsidP="00C5744C">
            <w:pPr>
              <w:jc w:val="center"/>
              <w:rPr>
                <w:rFonts w:ascii="Calibri" w:hAnsi="Calibri" w:cs="Calibri"/>
                <w:color w:val="000000"/>
                <w:sz w:val="20"/>
                <w:szCs w:val="20"/>
              </w:rPr>
            </w:pPr>
            <w:r w:rsidRPr="00C5744C">
              <w:rPr>
                <w:rFonts w:ascii="Calibri" w:hAnsi="Calibri" w:cs="Calibri"/>
                <w:color w:val="000000"/>
                <w:sz w:val="20"/>
                <w:szCs w:val="20"/>
              </w:rPr>
              <w:t> </w:t>
            </w:r>
          </w:p>
        </w:tc>
        <w:tc>
          <w:tcPr>
            <w:tcW w:w="2960" w:type="dxa"/>
            <w:tcBorders>
              <w:top w:val="nil"/>
              <w:left w:val="single" w:sz="8" w:space="0" w:color="auto"/>
              <w:bottom w:val="single" w:sz="8" w:space="0" w:color="auto"/>
              <w:right w:val="single" w:sz="8" w:space="0" w:color="auto"/>
            </w:tcBorders>
            <w:shd w:val="clear" w:color="auto" w:fill="auto"/>
            <w:vAlign w:val="bottom"/>
            <w:hideMark/>
          </w:tcPr>
          <w:p w:rsidR="00C5744C" w:rsidRPr="00C5744C" w:rsidRDefault="00852325" w:rsidP="00C5744C">
            <w:pPr>
              <w:rPr>
                <w:rFonts w:ascii="Calibri" w:hAnsi="Calibri" w:cs="Calibri"/>
                <w:color w:val="0000FF"/>
                <w:sz w:val="20"/>
                <w:szCs w:val="20"/>
                <w:u w:val="single"/>
              </w:rPr>
            </w:pPr>
            <w:hyperlink r:id="rId9" w:anchor="RANGE!_ftn1" w:history="1">
              <w:r w:rsidR="00C5744C" w:rsidRPr="00C5744C">
                <w:rPr>
                  <w:rFonts w:ascii="Calibri" w:hAnsi="Calibri" w:cs="Calibri"/>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1500000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 </w:t>
            </w:r>
          </w:p>
        </w:tc>
      </w:tr>
      <w:tr w:rsidR="00C5744C" w:rsidRPr="00C5744C" w:rsidTr="00474AF1">
        <w:trPr>
          <w:trHeight w:val="600"/>
        </w:trPr>
        <w:tc>
          <w:tcPr>
            <w:tcW w:w="605" w:type="dxa"/>
            <w:tcBorders>
              <w:top w:val="nil"/>
              <w:left w:val="single" w:sz="8" w:space="0" w:color="auto"/>
              <w:bottom w:val="nil"/>
              <w:right w:val="nil"/>
            </w:tcBorders>
            <w:shd w:val="clear" w:color="auto" w:fill="auto"/>
            <w:textDirection w:val="btLr"/>
            <w:vAlign w:val="bottom"/>
            <w:hideMark/>
          </w:tcPr>
          <w:p w:rsidR="00C5744C" w:rsidRPr="00C5744C" w:rsidRDefault="00C5744C" w:rsidP="00C5744C">
            <w:pPr>
              <w:jc w:val="center"/>
              <w:rPr>
                <w:rFonts w:ascii="Calibri" w:hAnsi="Calibri" w:cs="Calibri"/>
                <w:color w:val="000000"/>
                <w:sz w:val="20"/>
                <w:szCs w:val="20"/>
              </w:rPr>
            </w:pPr>
            <w:r w:rsidRPr="00C5744C">
              <w:rPr>
                <w:rFonts w:ascii="Calibri" w:hAnsi="Calibri" w:cs="Calibri"/>
                <w:color w:val="000000"/>
                <w:sz w:val="20"/>
                <w:szCs w:val="20"/>
              </w:rPr>
              <w:t> </w:t>
            </w:r>
          </w:p>
        </w:tc>
        <w:tc>
          <w:tcPr>
            <w:tcW w:w="2960" w:type="dxa"/>
            <w:tcBorders>
              <w:top w:val="nil"/>
              <w:left w:val="single" w:sz="8" w:space="0" w:color="auto"/>
              <w:bottom w:val="single" w:sz="8" w:space="0" w:color="auto"/>
              <w:right w:val="single" w:sz="8" w:space="0" w:color="auto"/>
            </w:tcBorders>
            <w:shd w:val="clear" w:color="auto" w:fill="auto"/>
            <w:vAlign w:val="bottom"/>
            <w:hideMark/>
          </w:tcPr>
          <w:p w:rsidR="00C5744C" w:rsidRPr="00C5744C" w:rsidRDefault="00C5744C" w:rsidP="00C5744C">
            <w:pPr>
              <w:rPr>
                <w:rFonts w:ascii="Calibri" w:hAnsi="Calibri" w:cs="Calibri"/>
                <w:color w:val="0000FF"/>
                <w:sz w:val="20"/>
                <w:szCs w:val="20"/>
                <w:u w:val="single"/>
              </w:rPr>
            </w:pPr>
            <w:r w:rsidRPr="00C5744C">
              <w:rPr>
                <w:rFonts w:ascii="Calibri" w:hAnsi="Calibri" w:cs="Calibri"/>
                <w:color w:val="0000FF"/>
                <w:sz w:val="20"/>
                <w:szCs w:val="20"/>
                <w:u w:val="single"/>
              </w:rPr>
              <w:t>spotřební materiál</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60000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1000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rPr>
                <w:rFonts w:ascii="Arial" w:hAnsi="Arial" w:cs="Arial"/>
                <w:sz w:val="16"/>
                <w:szCs w:val="16"/>
              </w:rPr>
            </w:pPr>
            <w:r w:rsidRPr="00C5744C">
              <w:rPr>
                <w:rFonts w:ascii="Arial" w:hAnsi="Arial" w:cs="Arial"/>
                <w:sz w:val="16"/>
                <w:szCs w:val="16"/>
              </w:rPr>
              <w:t>baterie a ND do stanic TP</w:t>
            </w:r>
          </w:p>
        </w:tc>
      </w:tr>
      <w:tr w:rsidR="00C5744C" w:rsidRPr="00C5744C" w:rsidTr="00474AF1">
        <w:trPr>
          <w:trHeight w:val="600"/>
        </w:trPr>
        <w:tc>
          <w:tcPr>
            <w:tcW w:w="356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2 337 000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96800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r>
      <w:tr w:rsidR="00C5744C" w:rsidRPr="00C5744C" w:rsidTr="00474AF1">
        <w:trPr>
          <w:trHeight w:val="600"/>
        </w:trPr>
        <w:tc>
          <w:tcPr>
            <w:tcW w:w="605" w:type="dxa"/>
            <w:tcBorders>
              <w:top w:val="nil"/>
              <w:left w:val="single" w:sz="8" w:space="0" w:color="auto"/>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220000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r>
      <w:tr w:rsidR="00C5744C" w:rsidRPr="00C5744C" w:rsidTr="00474AF1">
        <w:trPr>
          <w:trHeight w:val="600"/>
        </w:trPr>
        <w:tc>
          <w:tcPr>
            <w:tcW w:w="605" w:type="dxa"/>
            <w:tcBorders>
              <w:top w:val="nil"/>
              <w:left w:val="single" w:sz="8" w:space="0" w:color="auto"/>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220000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4000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r>
      <w:tr w:rsidR="00C5744C" w:rsidRPr="00C5744C" w:rsidTr="00474AF1">
        <w:trPr>
          <w:trHeight w:val="600"/>
        </w:trPr>
        <w:tc>
          <w:tcPr>
            <w:tcW w:w="605" w:type="dxa"/>
            <w:tcBorders>
              <w:top w:val="nil"/>
              <w:left w:val="single" w:sz="8" w:space="0" w:color="auto"/>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15000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r>
      <w:tr w:rsidR="00C5744C" w:rsidRPr="00C5744C" w:rsidTr="00474AF1">
        <w:trPr>
          <w:trHeight w:val="600"/>
        </w:trPr>
        <w:tc>
          <w:tcPr>
            <w:tcW w:w="605" w:type="dxa"/>
            <w:tcBorders>
              <w:top w:val="nil"/>
              <w:left w:val="single" w:sz="8" w:space="0" w:color="auto"/>
              <w:bottom w:val="single" w:sz="8" w:space="0" w:color="auto"/>
              <w:right w:val="single" w:sz="8" w:space="0" w:color="auto"/>
            </w:tcBorders>
            <w:shd w:val="clear" w:color="auto" w:fill="auto"/>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1882000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92800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r>
      <w:tr w:rsidR="00C5744C" w:rsidRPr="00C5744C" w:rsidTr="00474AF1">
        <w:trPr>
          <w:trHeight w:val="600"/>
        </w:trPr>
        <w:tc>
          <w:tcPr>
            <w:tcW w:w="605" w:type="dxa"/>
            <w:vMerge w:val="restart"/>
            <w:tcBorders>
              <w:top w:val="nil"/>
              <w:left w:val="single" w:sz="8" w:space="0" w:color="auto"/>
              <w:bottom w:val="nil"/>
              <w:right w:val="single" w:sz="8" w:space="0" w:color="auto"/>
            </w:tcBorders>
            <w:shd w:val="clear" w:color="auto" w:fill="auto"/>
            <w:textDirection w:val="btLr"/>
            <w:vAlign w:val="bottom"/>
            <w:hideMark/>
          </w:tcPr>
          <w:p w:rsidR="00C5744C" w:rsidRPr="00C5744C" w:rsidRDefault="00C5744C" w:rsidP="00C5744C">
            <w:pPr>
              <w:jc w:val="center"/>
              <w:rPr>
                <w:rFonts w:ascii="Calibri" w:hAnsi="Calibri" w:cs="Calibri"/>
                <w:color w:val="000000"/>
                <w:sz w:val="20"/>
                <w:szCs w:val="20"/>
              </w:rPr>
            </w:pPr>
            <w:r w:rsidRPr="00C5744C">
              <w:rPr>
                <w:rFonts w:ascii="Calibri" w:hAnsi="Calibri" w:cs="Calibri"/>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sz w:val="20"/>
                <w:szCs w:val="20"/>
              </w:rPr>
            </w:pPr>
            <w:r w:rsidRPr="00C5744C">
              <w:rPr>
                <w:rFonts w:ascii="Calibri" w:hAnsi="Calibri" w:cs="Calibri"/>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 </w:t>
            </w:r>
          </w:p>
        </w:tc>
      </w:tr>
      <w:tr w:rsidR="00C5744C" w:rsidRPr="00C5744C" w:rsidTr="00474AF1">
        <w:trPr>
          <w:trHeight w:val="600"/>
        </w:trPr>
        <w:tc>
          <w:tcPr>
            <w:tcW w:w="605" w:type="dxa"/>
            <w:vMerge/>
            <w:tcBorders>
              <w:top w:val="nil"/>
              <w:left w:val="single" w:sz="8" w:space="0" w:color="auto"/>
              <w:bottom w:val="nil"/>
              <w:right w:val="single" w:sz="8" w:space="0" w:color="auto"/>
            </w:tcBorders>
            <w:vAlign w:val="center"/>
            <w:hideMark/>
          </w:tcPr>
          <w:p w:rsidR="00C5744C" w:rsidRPr="00C5744C" w:rsidRDefault="00C5744C" w:rsidP="00C5744C">
            <w:pPr>
              <w:rPr>
                <w:rFonts w:ascii="Calibri" w:hAnsi="Calibri" w:cs="Calibri"/>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C5744C" w:rsidRPr="00C5744C" w:rsidRDefault="00C5744C" w:rsidP="00C5744C">
            <w:pPr>
              <w:rPr>
                <w:rFonts w:ascii="Calibri" w:hAnsi="Calibri" w:cs="Calibri"/>
                <w:sz w:val="20"/>
                <w:szCs w:val="20"/>
              </w:rPr>
            </w:pPr>
            <w:r w:rsidRPr="00C5744C">
              <w:rPr>
                <w:rFonts w:ascii="Calibri" w:hAnsi="Calibri" w:cs="Calibri"/>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80000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 </w:t>
            </w:r>
          </w:p>
        </w:tc>
      </w:tr>
      <w:tr w:rsidR="00C5744C" w:rsidRPr="00C5744C" w:rsidTr="00474AF1">
        <w:trPr>
          <w:trHeight w:val="600"/>
        </w:trPr>
        <w:tc>
          <w:tcPr>
            <w:tcW w:w="605" w:type="dxa"/>
            <w:vMerge/>
            <w:tcBorders>
              <w:top w:val="nil"/>
              <w:left w:val="single" w:sz="8" w:space="0" w:color="auto"/>
              <w:bottom w:val="nil"/>
              <w:right w:val="single" w:sz="8" w:space="0" w:color="auto"/>
            </w:tcBorders>
            <w:vAlign w:val="center"/>
            <w:hideMark/>
          </w:tcPr>
          <w:p w:rsidR="00C5744C" w:rsidRPr="00C5744C" w:rsidRDefault="00C5744C" w:rsidP="00C5744C">
            <w:pPr>
              <w:rPr>
                <w:rFonts w:ascii="Calibri" w:hAnsi="Calibri" w:cs="Calibri"/>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C5744C" w:rsidRPr="00C5744C" w:rsidRDefault="00852325" w:rsidP="00C5744C">
            <w:pPr>
              <w:rPr>
                <w:rFonts w:ascii="Calibri" w:hAnsi="Calibri" w:cs="Calibri"/>
                <w:color w:val="0000FF"/>
                <w:sz w:val="20"/>
                <w:szCs w:val="20"/>
                <w:u w:val="single"/>
              </w:rPr>
            </w:pPr>
            <w:hyperlink r:id="rId10" w:anchor="RANGE!_ftn2" w:history="1">
              <w:r w:rsidR="00C5744C" w:rsidRPr="00C5744C">
                <w:rPr>
                  <w:rFonts w:ascii="Calibri" w:hAnsi="Calibri" w:cs="Calibri"/>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 </w:t>
            </w:r>
          </w:p>
        </w:tc>
      </w:tr>
      <w:tr w:rsidR="00C5744C" w:rsidRPr="00C5744C" w:rsidTr="00474AF1">
        <w:trPr>
          <w:trHeight w:val="600"/>
        </w:trPr>
        <w:tc>
          <w:tcPr>
            <w:tcW w:w="605" w:type="dxa"/>
            <w:tcBorders>
              <w:top w:val="nil"/>
              <w:left w:val="single" w:sz="8" w:space="0" w:color="auto"/>
              <w:bottom w:val="nil"/>
              <w:right w:val="single" w:sz="8" w:space="0" w:color="auto"/>
            </w:tcBorders>
            <w:shd w:val="clear" w:color="auto" w:fill="auto"/>
            <w:textDirection w:val="btLr"/>
            <w:vAlign w:val="bottom"/>
            <w:hideMark/>
          </w:tcPr>
          <w:p w:rsidR="00C5744C" w:rsidRPr="00C5744C" w:rsidRDefault="00C5744C" w:rsidP="00C5744C">
            <w:pPr>
              <w:jc w:val="center"/>
              <w:rPr>
                <w:rFonts w:ascii="Calibri" w:hAnsi="Calibri" w:cs="Calibri"/>
                <w:color w:val="000000"/>
                <w:sz w:val="20"/>
                <w:szCs w:val="20"/>
              </w:rPr>
            </w:pPr>
            <w:r w:rsidRPr="00C5744C">
              <w:rPr>
                <w:rFonts w:ascii="Calibri" w:hAnsi="Calibri" w:cs="Calibri"/>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EF5471">
            <w:pPr>
              <w:rPr>
                <w:rFonts w:ascii="Calibri" w:hAnsi="Calibri" w:cs="Calibri"/>
                <w:color w:val="0000FF"/>
                <w:sz w:val="20"/>
                <w:szCs w:val="20"/>
                <w:u w:val="single"/>
              </w:rPr>
            </w:pPr>
            <w:r w:rsidRPr="00C5744C">
              <w:rPr>
                <w:rFonts w:ascii="Calibri" w:hAnsi="Calibri" w:cs="Calibri"/>
                <w:color w:val="0000FF"/>
                <w:sz w:val="20"/>
                <w:szCs w:val="20"/>
                <w:u w:val="single"/>
              </w:rPr>
              <w:t>Mont</w:t>
            </w:r>
            <w:r w:rsidR="00EF5471">
              <w:rPr>
                <w:rFonts w:ascii="Calibri" w:hAnsi="Calibri" w:cs="Calibri"/>
                <w:color w:val="0000FF"/>
                <w:sz w:val="20"/>
                <w:szCs w:val="20"/>
                <w:u w:val="single"/>
              </w:rPr>
              <w:t>á</w:t>
            </w:r>
            <w:r w:rsidRPr="00C5744C">
              <w:rPr>
                <w:rFonts w:ascii="Calibri" w:hAnsi="Calibri" w:cs="Calibri"/>
                <w:color w:val="0000FF"/>
                <w:sz w:val="20"/>
                <w:szCs w:val="20"/>
                <w:u w:val="single"/>
              </w:rPr>
              <w:t>ž repasovaných stanic a demontáže TS</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600000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82800</w:t>
            </w:r>
          </w:p>
        </w:tc>
        <w:tc>
          <w:tcPr>
            <w:tcW w:w="2700" w:type="dxa"/>
            <w:tcBorders>
              <w:top w:val="nil"/>
              <w:left w:val="nil"/>
              <w:bottom w:val="single" w:sz="8" w:space="0" w:color="auto"/>
              <w:right w:val="single" w:sz="8" w:space="0" w:color="auto"/>
            </w:tcBorders>
            <w:shd w:val="clear" w:color="auto" w:fill="auto"/>
            <w:vAlign w:val="center"/>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20 stanic x 4140</w:t>
            </w:r>
          </w:p>
        </w:tc>
      </w:tr>
      <w:tr w:rsidR="00C5744C" w:rsidRPr="00C5744C" w:rsidTr="00474AF1">
        <w:trPr>
          <w:trHeight w:val="825"/>
        </w:trPr>
        <w:tc>
          <w:tcPr>
            <w:tcW w:w="605" w:type="dxa"/>
            <w:tcBorders>
              <w:top w:val="nil"/>
              <w:left w:val="single" w:sz="8" w:space="0" w:color="auto"/>
              <w:bottom w:val="single" w:sz="8" w:space="0" w:color="auto"/>
              <w:right w:val="single" w:sz="8" w:space="0" w:color="auto"/>
            </w:tcBorders>
            <w:shd w:val="clear" w:color="auto" w:fill="auto"/>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1 202 000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10000</w:t>
            </w:r>
          </w:p>
        </w:tc>
        <w:tc>
          <w:tcPr>
            <w:tcW w:w="2700" w:type="dxa"/>
            <w:tcBorders>
              <w:top w:val="nil"/>
              <w:left w:val="nil"/>
              <w:bottom w:val="single" w:sz="8" w:space="0" w:color="auto"/>
              <w:right w:val="single" w:sz="8" w:space="0" w:color="auto"/>
            </w:tcBorders>
            <w:shd w:val="clear" w:color="auto" w:fill="auto"/>
            <w:vAlign w:val="center"/>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5000 telefonní poplatky a 5 000 na správu IT a víkendovou pohotovost</w:t>
            </w:r>
          </w:p>
        </w:tc>
      </w:tr>
      <w:tr w:rsidR="00C5744C" w:rsidRPr="00C5744C" w:rsidTr="00474AF1">
        <w:trPr>
          <w:trHeight w:val="600"/>
        </w:trPr>
        <w:tc>
          <w:tcPr>
            <w:tcW w:w="356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5744C" w:rsidRPr="00C5744C" w:rsidRDefault="00C5744C" w:rsidP="00C5744C">
            <w:pPr>
              <w:rPr>
                <w:rFonts w:ascii="Calibri" w:hAnsi="Calibri" w:cs="Calibri"/>
                <w:b/>
                <w:bCs/>
                <w:color w:val="000000"/>
                <w:sz w:val="20"/>
                <w:szCs w:val="20"/>
              </w:rPr>
            </w:pPr>
            <w:r w:rsidRPr="00C5744C">
              <w:rPr>
                <w:rFonts w:ascii="Calibri" w:hAnsi="Calibri" w:cs="Calibri"/>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6688000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63000</w:t>
            </w:r>
          </w:p>
        </w:tc>
        <w:tc>
          <w:tcPr>
            <w:tcW w:w="2700" w:type="dxa"/>
            <w:tcBorders>
              <w:top w:val="nil"/>
              <w:left w:val="nil"/>
              <w:bottom w:val="single" w:sz="8" w:space="0" w:color="auto"/>
              <w:right w:val="single" w:sz="8" w:space="0" w:color="auto"/>
            </w:tcBorders>
            <w:shd w:val="clear" w:color="auto" w:fill="auto"/>
            <w:vAlign w:val="center"/>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Poměrná část osobních nákladů operátorky TP</w:t>
            </w:r>
          </w:p>
        </w:tc>
      </w:tr>
      <w:tr w:rsidR="00C5744C" w:rsidRPr="00C5744C" w:rsidTr="00474AF1">
        <w:trPr>
          <w:trHeight w:val="600"/>
        </w:trPr>
        <w:tc>
          <w:tcPr>
            <w:tcW w:w="356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10615000</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160800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 </w:t>
            </w:r>
          </w:p>
        </w:tc>
      </w:tr>
      <w:tr w:rsidR="00C5744C" w:rsidRPr="00C5744C" w:rsidTr="00474AF1">
        <w:trPr>
          <w:trHeight w:val="600"/>
        </w:trPr>
        <w:tc>
          <w:tcPr>
            <w:tcW w:w="356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5744C" w:rsidRPr="00C5744C" w:rsidRDefault="00C5744C" w:rsidP="00C5744C">
            <w:pPr>
              <w:rPr>
                <w:rFonts w:ascii="Calibri" w:hAnsi="Calibri" w:cs="Calibri"/>
                <w:b/>
                <w:bCs/>
                <w:sz w:val="20"/>
                <w:szCs w:val="20"/>
              </w:rPr>
            </w:pPr>
            <w:r w:rsidRPr="00C5744C">
              <w:rPr>
                <w:rFonts w:ascii="Calibri" w:hAnsi="Calibri" w:cs="Calibri"/>
                <w:b/>
                <w:bCs/>
                <w:sz w:val="20"/>
                <w:szCs w:val="20"/>
              </w:rPr>
              <w:t xml:space="preserve">Úhrada poplatku 400Kč/měsíčně za 20 uživatelů </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48 000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 </w:t>
            </w:r>
          </w:p>
        </w:tc>
      </w:tr>
      <w:tr w:rsidR="00C5744C" w:rsidRPr="00C5744C" w:rsidTr="00474AF1">
        <w:trPr>
          <w:trHeight w:val="600"/>
        </w:trPr>
        <w:tc>
          <w:tcPr>
            <w:tcW w:w="3565"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C5744C" w:rsidRPr="00C5744C" w:rsidRDefault="00C5744C" w:rsidP="00C5744C">
            <w:pPr>
              <w:rPr>
                <w:rFonts w:ascii="Calibri" w:hAnsi="Calibri" w:cs="Calibri"/>
                <w:b/>
                <w:bCs/>
                <w:sz w:val="20"/>
                <w:szCs w:val="20"/>
              </w:rPr>
            </w:pPr>
            <w:proofErr w:type="gramStart"/>
            <w:r w:rsidRPr="00C5744C">
              <w:rPr>
                <w:rFonts w:ascii="Calibri" w:hAnsi="Calibri" w:cs="Calibri"/>
                <w:b/>
                <w:bCs/>
                <w:sz w:val="20"/>
                <w:szCs w:val="20"/>
              </w:rPr>
              <w:t>Celkový  požadavek</w:t>
            </w:r>
            <w:proofErr w:type="gramEnd"/>
            <w:r w:rsidRPr="00C5744C">
              <w:rPr>
                <w:rFonts w:ascii="Calibri" w:hAnsi="Calibri" w:cs="Calibri"/>
                <w:b/>
                <w:bCs/>
                <w:sz w:val="20"/>
                <w:szCs w:val="20"/>
              </w:rPr>
              <w:t xml:space="preserve"> finančních prostředků</w:t>
            </w:r>
          </w:p>
        </w:tc>
        <w:tc>
          <w:tcPr>
            <w:tcW w:w="15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b/>
                <w:bCs/>
                <w:sz w:val="20"/>
                <w:szCs w:val="20"/>
              </w:rPr>
            </w:pPr>
            <w:r w:rsidRPr="00C5744C">
              <w:rPr>
                <w:rFonts w:ascii="Calibri" w:hAnsi="Calibri" w:cs="Calibri"/>
                <w:b/>
                <w:bCs/>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3E3BE8">
            <w:pPr>
              <w:jc w:val="center"/>
              <w:rPr>
                <w:rFonts w:ascii="Calibri" w:hAnsi="Calibri" w:cs="Calibri"/>
                <w:b/>
                <w:bCs/>
                <w:sz w:val="20"/>
                <w:szCs w:val="20"/>
              </w:rPr>
            </w:pPr>
            <w:r w:rsidRPr="00C5744C">
              <w:rPr>
                <w:rFonts w:ascii="Calibri" w:hAnsi="Calibri" w:cs="Calibri"/>
                <w:b/>
                <w:bCs/>
                <w:sz w:val="20"/>
                <w:szCs w:val="20"/>
              </w:rPr>
              <w:t>2</w:t>
            </w:r>
            <w:r w:rsidR="003E3BE8">
              <w:rPr>
                <w:rFonts w:ascii="Calibri" w:hAnsi="Calibri" w:cs="Calibri"/>
                <w:b/>
                <w:bCs/>
                <w:sz w:val="20"/>
                <w:szCs w:val="20"/>
              </w:rPr>
              <w:t>0</w:t>
            </w:r>
            <w:r w:rsidRPr="00C5744C">
              <w:rPr>
                <w:rFonts w:ascii="Calibri" w:hAnsi="Calibri" w:cs="Calibri"/>
                <w:b/>
                <w:bCs/>
                <w:sz w:val="20"/>
                <w:szCs w:val="20"/>
              </w:rPr>
              <w:t>8 800</w:t>
            </w:r>
          </w:p>
        </w:tc>
        <w:tc>
          <w:tcPr>
            <w:tcW w:w="2700" w:type="dxa"/>
            <w:tcBorders>
              <w:top w:val="nil"/>
              <w:left w:val="nil"/>
              <w:bottom w:val="single" w:sz="8" w:space="0" w:color="auto"/>
              <w:right w:val="single" w:sz="8" w:space="0" w:color="auto"/>
            </w:tcBorders>
            <w:shd w:val="clear" w:color="auto" w:fill="auto"/>
            <w:vAlign w:val="bottom"/>
            <w:hideMark/>
          </w:tcPr>
          <w:p w:rsidR="00C5744C" w:rsidRPr="00C5744C" w:rsidRDefault="00C5744C" w:rsidP="00C5744C">
            <w:pPr>
              <w:jc w:val="center"/>
              <w:rPr>
                <w:rFonts w:ascii="Calibri" w:hAnsi="Calibri" w:cs="Calibri"/>
                <w:sz w:val="20"/>
                <w:szCs w:val="20"/>
              </w:rPr>
            </w:pPr>
            <w:r w:rsidRPr="00C5744C">
              <w:rPr>
                <w:rFonts w:ascii="Calibri" w:hAnsi="Calibri" w:cs="Calibri"/>
                <w:sz w:val="20"/>
                <w:szCs w:val="20"/>
              </w:rPr>
              <w:t> </w:t>
            </w:r>
          </w:p>
        </w:tc>
      </w:tr>
      <w:tr w:rsidR="00C5744C" w:rsidRPr="00C5744C" w:rsidTr="00474AF1">
        <w:trPr>
          <w:trHeight w:val="255"/>
        </w:trPr>
        <w:tc>
          <w:tcPr>
            <w:tcW w:w="5145" w:type="dxa"/>
            <w:gridSpan w:val="3"/>
            <w:tcBorders>
              <w:top w:val="nil"/>
              <w:left w:val="nil"/>
              <w:bottom w:val="nil"/>
              <w:right w:val="nil"/>
            </w:tcBorders>
            <w:shd w:val="clear" w:color="auto" w:fill="auto"/>
            <w:noWrap/>
            <w:vAlign w:val="bottom"/>
            <w:hideMark/>
          </w:tcPr>
          <w:p w:rsidR="00C5744C" w:rsidRPr="00C5744C" w:rsidRDefault="00852325" w:rsidP="00C5744C">
            <w:pPr>
              <w:jc w:val="both"/>
              <w:rPr>
                <w:rFonts w:ascii="Calibri" w:hAnsi="Calibri" w:cs="Calibri"/>
                <w:color w:val="0000FF"/>
                <w:sz w:val="20"/>
                <w:szCs w:val="20"/>
                <w:u w:val="single"/>
              </w:rPr>
            </w:pPr>
            <w:hyperlink r:id="rId11" w:anchor="RANGE!_ftnref1" w:history="1">
              <w:r w:rsidR="00C5744C" w:rsidRPr="00C5744C">
                <w:rPr>
                  <w:rFonts w:ascii="Calibri" w:hAnsi="Calibri" w:cs="Calibri"/>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C5744C" w:rsidRPr="00C5744C" w:rsidRDefault="00C5744C" w:rsidP="00C5744C">
            <w:pPr>
              <w:jc w:val="both"/>
              <w:rPr>
                <w:rFonts w:ascii="Calibri" w:hAnsi="Calibri" w:cs="Calibri"/>
                <w:color w:val="0000FF"/>
                <w:sz w:val="20"/>
                <w:szCs w:val="20"/>
                <w:u w:val="single"/>
              </w:rPr>
            </w:pPr>
          </w:p>
        </w:tc>
        <w:tc>
          <w:tcPr>
            <w:tcW w:w="2700" w:type="dxa"/>
            <w:tcBorders>
              <w:top w:val="nil"/>
              <w:left w:val="nil"/>
              <w:bottom w:val="nil"/>
              <w:right w:val="nil"/>
            </w:tcBorders>
            <w:shd w:val="clear" w:color="auto" w:fill="auto"/>
            <w:noWrap/>
            <w:vAlign w:val="bottom"/>
            <w:hideMark/>
          </w:tcPr>
          <w:p w:rsidR="00C5744C" w:rsidRPr="00C5744C" w:rsidRDefault="00C5744C" w:rsidP="00C5744C">
            <w:pPr>
              <w:rPr>
                <w:sz w:val="20"/>
                <w:szCs w:val="20"/>
              </w:rPr>
            </w:pPr>
          </w:p>
        </w:tc>
      </w:tr>
    </w:tbl>
    <w:p w:rsidR="00C5744C" w:rsidRDefault="00474AF1" w:rsidP="00474AF1">
      <w:pPr>
        <w:rPr>
          <w:rFonts w:ascii="Calibri" w:hAnsi="Calibri"/>
          <w:sz w:val="22"/>
          <w:szCs w:val="22"/>
        </w:rPr>
      </w:pPr>
      <w:r>
        <w:rPr>
          <w:rFonts w:ascii="Calibri" w:hAnsi="Calibri" w:cs="Calibri"/>
          <w:color w:val="0000FF"/>
          <w:sz w:val="20"/>
          <w:szCs w:val="20"/>
          <w:u w:val="single"/>
        </w:rPr>
        <w:t xml:space="preserve"> </w:t>
      </w:r>
      <w:r w:rsidR="008573C3">
        <w:rPr>
          <w:rFonts w:ascii="Calibri" w:hAnsi="Calibri" w:cs="Calibri"/>
          <w:color w:val="0000FF"/>
          <w:sz w:val="20"/>
          <w:szCs w:val="20"/>
          <w:u w:val="single"/>
        </w:rPr>
        <w:t xml:space="preserve"> </w:t>
      </w:r>
      <w:hyperlink r:id="rId12" w:anchor="RANGE!_ftnref2" w:history="1">
        <w:r w:rsidRPr="00C5744C">
          <w:rPr>
            <w:rFonts w:ascii="Calibri" w:hAnsi="Calibri" w:cs="Calibri"/>
            <w:color w:val="0000FF"/>
            <w:sz w:val="20"/>
            <w:szCs w:val="20"/>
            <w:u w:val="single"/>
          </w:rPr>
          <w:t>[2] DNM - drobný nehmotný majetek</w:t>
        </w:r>
      </w:hyperlink>
    </w:p>
    <w:sectPr w:rsidR="00C5744C" w:rsidSect="00A54C85">
      <w:footerReference w:type="even" r:id="rId13"/>
      <w:footerReference w:type="default" r:id="rId14"/>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97" w:rsidRDefault="003E5697">
      <w:r>
        <w:separator/>
      </w:r>
    </w:p>
  </w:endnote>
  <w:endnote w:type="continuationSeparator" w:id="0">
    <w:p w:rsidR="003E5697" w:rsidRDefault="003E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85232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A8F" w:rsidRDefault="00852325">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97" w:rsidRDefault="003E5697">
      <w:r>
        <w:separator/>
      </w:r>
    </w:p>
  </w:footnote>
  <w:footnote w:type="continuationSeparator" w:id="0">
    <w:p w:rsidR="003E5697" w:rsidRDefault="003E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9"/>
  </w:num>
  <w:num w:numId="2">
    <w:abstractNumId w:val="12"/>
  </w:num>
  <w:num w:numId="3">
    <w:abstractNumId w:val="1"/>
  </w:num>
  <w:num w:numId="4">
    <w:abstractNumId w:val="13"/>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4058A"/>
    <w:rsid w:val="000411FF"/>
    <w:rsid w:val="00041CED"/>
    <w:rsid w:val="00050899"/>
    <w:rsid w:val="00073AB5"/>
    <w:rsid w:val="000A0147"/>
    <w:rsid w:val="000E7D7E"/>
    <w:rsid w:val="001744FC"/>
    <w:rsid w:val="00196C43"/>
    <w:rsid w:val="001E5C88"/>
    <w:rsid w:val="002424EA"/>
    <w:rsid w:val="00271822"/>
    <w:rsid w:val="0027527A"/>
    <w:rsid w:val="002B0435"/>
    <w:rsid w:val="002B07F1"/>
    <w:rsid w:val="002B3740"/>
    <w:rsid w:val="002B6DD9"/>
    <w:rsid w:val="002C1F75"/>
    <w:rsid w:val="002E4DF8"/>
    <w:rsid w:val="002E6D8D"/>
    <w:rsid w:val="0031665F"/>
    <w:rsid w:val="00331D45"/>
    <w:rsid w:val="00375EFA"/>
    <w:rsid w:val="00393BF8"/>
    <w:rsid w:val="003A68C7"/>
    <w:rsid w:val="003B19FB"/>
    <w:rsid w:val="003C030B"/>
    <w:rsid w:val="003E3BE8"/>
    <w:rsid w:val="003E5697"/>
    <w:rsid w:val="0041209F"/>
    <w:rsid w:val="00463556"/>
    <w:rsid w:val="00474AF1"/>
    <w:rsid w:val="0049087D"/>
    <w:rsid w:val="00497DFF"/>
    <w:rsid w:val="004D53D0"/>
    <w:rsid w:val="004D75BF"/>
    <w:rsid w:val="00530ED9"/>
    <w:rsid w:val="00572CE5"/>
    <w:rsid w:val="005871DF"/>
    <w:rsid w:val="005A63A0"/>
    <w:rsid w:val="005C09D0"/>
    <w:rsid w:val="005D1B0A"/>
    <w:rsid w:val="0060186E"/>
    <w:rsid w:val="00714CA8"/>
    <w:rsid w:val="00767660"/>
    <w:rsid w:val="007826B4"/>
    <w:rsid w:val="007948E3"/>
    <w:rsid w:val="007C6A47"/>
    <w:rsid w:val="007E5D07"/>
    <w:rsid w:val="007F765A"/>
    <w:rsid w:val="00852325"/>
    <w:rsid w:val="008573C3"/>
    <w:rsid w:val="00857CBB"/>
    <w:rsid w:val="00877910"/>
    <w:rsid w:val="008A23D7"/>
    <w:rsid w:val="008C22A2"/>
    <w:rsid w:val="008D0146"/>
    <w:rsid w:val="008D258D"/>
    <w:rsid w:val="008D53F1"/>
    <w:rsid w:val="008E7E19"/>
    <w:rsid w:val="00920B7A"/>
    <w:rsid w:val="009310BB"/>
    <w:rsid w:val="00932B78"/>
    <w:rsid w:val="00956DF5"/>
    <w:rsid w:val="00974D3B"/>
    <w:rsid w:val="009B06CE"/>
    <w:rsid w:val="009C47C7"/>
    <w:rsid w:val="009D2883"/>
    <w:rsid w:val="009D60BC"/>
    <w:rsid w:val="00A16F26"/>
    <w:rsid w:val="00A2236F"/>
    <w:rsid w:val="00A22708"/>
    <w:rsid w:val="00A24FD7"/>
    <w:rsid w:val="00A53C1F"/>
    <w:rsid w:val="00A60F23"/>
    <w:rsid w:val="00AA5C41"/>
    <w:rsid w:val="00AE5FF2"/>
    <w:rsid w:val="00B23FBF"/>
    <w:rsid w:val="00BF6D91"/>
    <w:rsid w:val="00C03D1F"/>
    <w:rsid w:val="00C41721"/>
    <w:rsid w:val="00C45529"/>
    <w:rsid w:val="00C5744C"/>
    <w:rsid w:val="00C7599F"/>
    <w:rsid w:val="00C8265D"/>
    <w:rsid w:val="00CF21FE"/>
    <w:rsid w:val="00CF2BB9"/>
    <w:rsid w:val="00D33593"/>
    <w:rsid w:val="00D71766"/>
    <w:rsid w:val="00DA1CF3"/>
    <w:rsid w:val="00DB16DF"/>
    <w:rsid w:val="00DC7BC0"/>
    <w:rsid w:val="00DD28EA"/>
    <w:rsid w:val="00DD5A10"/>
    <w:rsid w:val="00DE372C"/>
    <w:rsid w:val="00DE74F5"/>
    <w:rsid w:val="00E11678"/>
    <w:rsid w:val="00E238EC"/>
    <w:rsid w:val="00E3282C"/>
    <w:rsid w:val="00E61849"/>
    <w:rsid w:val="00E77A44"/>
    <w:rsid w:val="00E841DC"/>
    <w:rsid w:val="00E975FE"/>
    <w:rsid w:val="00EC5F57"/>
    <w:rsid w:val="00ED2D4B"/>
    <w:rsid w:val="00EF3C05"/>
    <w:rsid w:val="00EF5471"/>
    <w:rsid w:val="00F72AAE"/>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BA3A"/>
  <w15:docId w15:val="{FD863938-E6A4-45E9-A614-67465B0D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rosttext">
    <w:name w:val="Plain Text"/>
    <w:basedOn w:val="Normln"/>
    <w:link w:val="ProsttextChar"/>
    <w:uiPriority w:val="99"/>
    <w:rsid w:val="00375EFA"/>
    <w:rPr>
      <w:rFonts w:ascii="Courier New" w:hAnsi="Courier New"/>
      <w:sz w:val="20"/>
      <w:szCs w:val="20"/>
      <w:lang w:val="x-none"/>
    </w:rPr>
  </w:style>
  <w:style w:type="character" w:customStyle="1" w:styleId="ProsttextChar">
    <w:name w:val="Prostý text Char"/>
    <w:basedOn w:val="Standardnpsmoodstavce"/>
    <w:link w:val="Prosttext"/>
    <w:uiPriority w:val="99"/>
    <w:rsid w:val="00375EFA"/>
    <w:rPr>
      <w:rFonts w:ascii="Courier New" w:eastAsia="Times New Roman" w:hAnsi="Courier New"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AA5C41"/>
    <w:rPr>
      <w:b/>
      <w:bCs/>
      <w:szCs w:val="20"/>
    </w:rPr>
  </w:style>
  <w:style w:type="character" w:customStyle="1" w:styleId="PedmtkomenteChar">
    <w:name w:val="Předmět komentáře Char"/>
    <w:basedOn w:val="TextkomenteChar"/>
    <w:link w:val="Pedmtkomente"/>
    <w:uiPriority w:val="99"/>
    <w:semiHidden/>
    <w:rsid w:val="00AA5C4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7861">
      <w:bodyDiv w:val="1"/>
      <w:marLeft w:val="0"/>
      <w:marRight w:val="0"/>
      <w:marTop w:val="0"/>
      <w:marBottom w:val="0"/>
      <w:divBdr>
        <w:top w:val="none" w:sz="0" w:space="0" w:color="auto"/>
        <w:left w:val="none" w:sz="0" w:space="0" w:color="auto"/>
        <w:bottom w:val="none" w:sz="0" w:space="0" w:color="auto"/>
        <w:right w:val="none" w:sz="0" w:space="0" w:color="auto"/>
      </w:divBdr>
    </w:div>
    <w:div w:id="658073817">
      <w:bodyDiv w:val="1"/>
      <w:marLeft w:val="0"/>
      <w:marRight w:val="0"/>
      <w:marTop w:val="0"/>
      <w:marBottom w:val="0"/>
      <w:divBdr>
        <w:top w:val="none" w:sz="0" w:space="0" w:color="auto"/>
        <w:left w:val="none" w:sz="0" w:space="0" w:color="auto"/>
        <w:bottom w:val="none" w:sz="0" w:space="0" w:color="auto"/>
        <w:right w:val="none" w:sz="0" w:space="0" w:color="auto"/>
      </w:divBdr>
    </w:div>
    <w:div w:id="688722644">
      <w:bodyDiv w:val="1"/>
      <w:marLeft w:val="0"/>
      <w:marRight w:val="0"/>
      <w:marTop w:val="0"/>
      <w:marBottom w:val="0"/>
      <w:divBdr>
        <w:top w:val="none" w:sz="0" w:space="0" w:color="auto"/>
        <w:left w:val="none" w:sz="0" w:space="0" w:color="auto"/>
        <w:bottom w:val="none" w:sz="0" w:space="0" w:color="auto"/>
        <w:right w:val="none" w:sz="0" w:space="0" w:color="auto"/>
      </w:divBdr>
    </w:div>
    <w:div w:id="693462775">
      <w:bodyDiv w:val="1"/>
      <w:marLeft w:val="0"/>
      <w:marRight w:val="0"/>
      <w:marTop w:val="0"/>
      <w:marBottom w:val="0"/>
      <w:divBdr>
        <w:top w:val="none" w:sz="0" w:space="0" w:color="auto"/>
        <w:left w:val="none" w:sz="0" w:space="0" w:color="auto"/>
        <w:bottom w:val="none" w:sz="0" w:space="0" w:color="auto"/>
        <w:right w:val="none" w:sz="0" w:space="0" w:color="auto"/>
      </w:divBdr>
    </w:div>
    <w:div w:id="782965701">
      <w:bodyDiv w:val="1"/>
      <w:marLeft w:val="0"/>
      <w:marRight w:val="0"/>
      <w:marTop w:val="0"/>
      <w:marBottom w:val="0"/>
      <w:divBdr>
        <w:top w:val="none" w:sz="0" w:space="0" w:color="auto"/>
        <w:left w:val="none" w:sz="0" w:space="0" w:color="auto"/>
        <w:bottom w:val="none" w:sz="0" w:space="0" w:color="auto"/>
        <w:right w:val="none" w:sz="0" w:space="0" w:color="auto"/>
      </w:divBdr>
    </w:div>
    <w:div w:id="19310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viznerovad\AppData\Local\Microsoft\Windows\INetCache\Content.Outlook\GMJQDQJS\UPRAVA_Zadost_2017_TPA_Pardubice_final.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iznerovad\AppData\Local\Microsoft\Windows\INetCache\Content.Outlook\GMJQDQJS\UPRAVA_Zadost_2017_TPA_Pardubice_final.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viznerovad\AppData\Local\Microsoft\Windows\INetCache\Content.Outlook\GMJQDQJS\UPRAVA_Zadost_2017_TPA_Pardubice_final.xlsx" TargetMode="External"/><Relationship Id="rId4" Type="http://schemas.openxmlformats.org/officeDocument/2006/relationships/settings" Target="settings.xml"/><Relationship Id="rId9" Type="http://schemas.openxmlformats.org/officeDocument/2006/relationships/hyperlink" Target="file:///C:\Users\viznerovad\AppData\Local\Microsoft\Windows\INetCache\Content.Outlook\GMJQDQJS\UPRAVA_Zadost_2017_TPA_Pardubice_final.xlsx"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0242-763E-4EC9-B3A6-C11304B4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2200</Words>
  <Characters>12980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Víznerová Daniela</cp:lastModifiedBy>
  <cp:revision>40</cp:revision>
  <cp:lastPrinted>2017-09-25T10:09:00Z</cp:lastPrinted>
  <dcterms:created xsi:type="dcterms:W3CDTF">2016-09-01T09:44:00Z</dcterms:created>
  <dcterms:modified xsi:type="dcterms:W3CDTF">2017-11-10T08:55:00Z</dcterms:modified>
</cp:coreProperties>
</file>