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E3F" w14:textId="77777777" w:rsidR="00482E9F" w:rsidRPr="00AE221D" w:rsidRDefault="00482E9F" w:rsidP="0007693D">
      <w:pPr>
        <w:spacing w:after="0"/>
        <w:jc w:val="center"/>
        <w:rPr>
          <w:rFonts w:ascii="Arial Narrow" w:hAnsi="Arial Narrow"/>
          <w:b/>
          <w:sz w:val="32"/>
          <w:szCs w:val="24"/>
        </w:rPr>
      </w:pPr>
      <w:r w:rsidRPr="00AE221D">
        <w:rPr>
          <w:rFonts w:ascii="Arial Narrow" w:hAnsi="Arial Narrow"/>
          <w:b/>
          <w:sz w:val="32"/>
          <w:szCs w:val="24"/>
        </w:rPr>
        <w:t>Kupní smlouva</w:t>
      </w:r>
    </w:p>
    <w:p w14:paraId="5843204E" w14:textId="77777777" w:rsidR="00482E9F" w:rsidRPr="002E18C7" w:rsidRDefault="00482E9F" w:rsidP="00482E9F">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223B2F46" w14:textId="77777777" w:rsidR="00482E9F" w:rsidRPr="005F081E" w:rsidRDefault="00482E9F" w:rsidP="00482E9F">
      <w:pPr>
        <w:spacing w:after="0"/>
        <w:jc w:val="center"/>
        <w:rPr>
          <w:rFonts w:ascii="Arial Narrow" w:hAnsi="Arial Narrow"/>
          <w:sz w:val="24"/>
          <w:szCs w:val="24"/>
        </w:rPr>
      </w:pPr>
    </w:p>
    <w:p w14:paraId="53914939" w14:textId="77777777" w:rsidR="00482E9F" w:rsidRDefault="00482E9F" w:rsidP="00482E9F">
      <w:pPr>
        <w:spacing w:after="0"/>
        <w:rPr>
          <w:rFonts w:ascii="Arial Narrow" w:hAnsi="Arial Narrow"/>
          <w:b/>
          <w:sz w:val="24"/>
          <w:szCs w:val="24"/>
        </w:rPr>
      </w:pPr>
    </w:p>
    <w:p w14:paraId="07B303C6" w14:textId="77777777"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79A48444"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37730D87"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53DAD260"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0CC5A104"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Perem Chudomelem, MBA</w:t>
      </w:r>
    </w:p>
    <w:p w14:paraId="14BEDEC3" w14:textId="77777777"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79749D2D" w14:textId="1B36E625" w:rsidR="00482E9F" w:rsidRDefault="00482E9F" w:rsidP="00482E9F">
      <w:pPr>
        <w:spacing w:after="0"/>
        <w:rPr>
          <w:rFonts w:ascii="Arial Narrow" w:hAnsi="Arial Narrow"/>
          <w:sz w:val="24"/>
          <w:szCs w:val="24"/>
        </w:rPr>
      </w:pPr>
      <w:r>
        <w:rPr>
          <w:rFonts w:ascii="Arial Narrow" w:hAnsi="Arial Narrow"/>
          <w:sz w:val="24"/>
          <w:szCs w:val="24"/>
        </w:rPr>
        <w:t xml:space="preserve">č. účtu: </w:t>
      </w:r>
    </w:p>
    <w:p w14:paraId="09BECC59" w14:textId="77777777" w:rsidR="00467E68" w:rsidRPr="00927FCF" w:rsidRDefault="00467E68" w:rsidP="00467E68">
      <w:pPr>
        <w:rPr>
          <w:rFonts w:ascii="Arial Narrow" w:hAnsi="Arial Narrow" w:cs="Arial"/>
          <w:bCs/>
          <w:sz w:val="24"/>
          <w:szCs w:val="24"/>
        </w:rPr>
      </w:pPr>
      <w:r w:rsidRPr="00927FCF">
        <w:rPr>
          <w:rFonts w:ascii="Arial Narrow" w:hAnsi="Arial Narrow" w:cs="Arial"/>
          <w:bCs/>
          <w:sz w:val="24"/>
          <w:szCs w:val="24"/>
        </w:rPr>
        <w:t>Společnost je zapsána v Obchodním rejstříku vedeném Městským soudem v Praze, dne 21. června 2005, oddíl B, vložka 10018.</w:t>
      </w:r>
    </w:p>
    <w:p w14:paraId="77B235B1" w14:textId="77777777" w:rsidR="00482E9F" w:rsidRDefault="00482E9F" w:rsidP="00482E9F">
      <w:pPr>
        <w:spacing w:after="0"/>
        <w:rPr>
          <w:rFonts w:ascii="Arial Narrow" w:hAnsi="Arial Narrow"/>
          <w:sz w:val="24"/>
          <w:szCs w:val="24"/>
        </w:rPr>
      </w:pPr>
    </w:p>
    <w:p w14:paraId="0AC2AC75"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695EC05F" w14:textId="77777777" w:rsidR="00482E9F" w:rsidRDefault="00482E9F" w:rsidP="000967EF">
      <w:pPr>
        <w:spacing w:after="0" w:line="240" w:lineRule="auto"/>
        <w:rPr>
          <w:rFonts w:ascii="Arial Narrow" w:hAnsi="Arial Narrow"/>
          <w:sz w:val="24"/>
          <w:szCs w:val="24"/>
        </w:rPr>
      </w:pPr>
    </w:p>
    <w:p w14:paraId="7306DB5E"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691AA3B3" w14:textId="77777777" w:rsidR="00482E9F" w:rsidRPr="005F081E" w:rsidRDefault="00482E9F" w:rsidP="000967EF">
      <w:pPr>
        <w:spacing w:after="0" w:line="240" w:lineRule="auto"/>
        <w:rPr>
          <w:rFonts w:ascii="Arial Narrow" w:hAnsi="Arial Narrow"/>
          <w:sz w:val="24"/>
          <w:szCs w:val="24"/>
        </w:rPr>
      </w:pPr>
    </w:p>
    <w:p w14:paraId="3E07024A" w14:textId="77BAA6BB"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w:t>
      </w:r>
      <w:proofErr w:type="spellStart"/>
      <w:r w:rsidR="00B75F3E">
        <w:rPr>
          <w:rFonts w:ascii="Arial Narrow" w:hAnsi="Arial Narrow"/>
          <w:b/>
          <w:sz w:val="24"/>
          <w:szCs w:val="24"/>
        </w:rPr>
        <w:t>Miele</w:t>
      </w:r>
      <w:proofErr w:type="spellEnd"/>
      <w:r w:rsidR="00B75F3E">
        <w:rPr>
          <w:rFonts w:ascii="Arial Narrow" w:hAnsi="Arial Narrow"/>
          <w:b/>
          <w:sz w:val="24"/>
          <w:szCs w:val="24"/>
        </w:rPr>
        <w:t>, spol. s r.o.</w:t>
      </w:r>
    </w:p>
    <w:p w14:paraId="2DEF98D1" w14:textId="0FD86C26" w:rsidR="00482E9F" w:rsidRPr="005F081E" w:rsidRDefault="00482E9F" w:rsidP="00482E9F">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r w:rsidRPr="005F081E">
        <w:rPr>
          <w:rFonts w:ascii="Arial Narrow" w:hAnsi="Arial Narrow"/>
          <w:sz w:val="24"/>
          <w:szCs w:val="24"/>
        </w:rPr>
        <w:t>v </w:t>
      </w:r>
      <w:r w:rsidR="00B75F3E">
        <w:rPr>
          <w:rFonts w:ascii="Arial Narrow" w:hAnsi="Arial Narrow"/>
          <w:sz w:val="24"/>
          <w:szCs w:val="24"/>
        </w:rPr>
        <w:t>O</w:t>
      </w:r>
      <w:r w:rsidRPr="005F081E">
        <w:rPr>
          <w:rFonts w:ascii="Arial Narrow" w:hAnsi="Arial Narrow"/>
          <w:sz w:val="24"/>
          <w:szCs w:val="24"/>
        </w:rPr>
        <w:t xml:space="preserve">bchodním rejstříku vedeného </w:t>
      </w:r>
      <w:r w:rsidR="00B75F3E">
        <w:rPr>
          <w:rFonts w:ascii="Arial Narrow" w:hAnsi="Arial Narrow"/>
          <w:sz w:val="24"/>
          <w:szCs w:val="24"/>
        </w:rPr>
        <w:t xml:space="preserve">Krajským soudem v Brně </w:t>
      </w:r>
      <w:r w:rsidRPr="005F081E">
        <w:rPr>
          <w:rFonts w:ascii="Arial Narrow" w:hAnsi="Arial Narrow"/>
          <w:sz w:val="24"/>
          <w:szCs w:val="24"/>
        </w:rPr>
        <w:t>v</w:t>
      </w:r>
      <w:r>
        <w:rPr>
          <w:rFonts w:ascii="Arial Narrow" w:hAnsi="Arial Narrow"/>
          <w:sz w:val="24"/>
          <w:szCs w:val="24"/>
        </w:rPr>
        <w:t> </w:t>
      </w:r>
      <w:r w:rsidRPr="005F081E">
        <w:rPr>
          <w:rFonts w:ascii="Arial Narrow" w:hAnsi="Arial Narrow"/>
          <w:sz w:val="24"/>
          <w:szCs w:val="24"/>
        </w:rPr>
        <w:t>oddíle</w:t>
      </w:r>
      <w:r>
        <w:rPr>
          <w:rFonts w:ascii="Arial Narrow" w:hAnsi="Arial Narrow"/>
          <w:sz w:val="24"/>
          <w:szCs w:val="24"/>
        </w:rPr>
        <w:t xml:space="preserve"> </w:t>
      </w:r>
      <w:r w:rsidR="00B75F3E">
        <w:rPr>
          <w:rFonts w:ascii="Arial Narrow" w:hAnsi="Arial Narrow"/>
          <w:sz w:val="24"/>
          <w:szCs w:val="24"/>
        </w:rPr>
        <w:t>C</w:t>
      </w:r>
      <w:r>
        <w:rPr>
          <w:rFonts w:ascii="Arial Narrow" w:hAnsi="Arial Narrow"/>
          <w:sz w:val="24"/>
          <w:szCs w:val="24"/>
        </w:rPr>
        <w:t>,</w:t>
      </w:r>
      <w:r w:rsidRPr="005F081E">
        <w:rPr>
          <w:rFonts w:ascii="Arial Narrow" w:hAnsi="Arial Narrow"/>
          <w:sz w:val="24"/>
          <w:szCs w:val="24"/>
        </w:rPr>
        <w:t xml:space="preserve"> vložce </w:t>
      </w:r>
      <w:r w:rsidR="00B75F3E">
        <w:rPr>
          <w:rFonts w:ascii="Arial Narrow" w:hAnsi="Arial Narrow"/>
          <w:sz w:val="24"/>
          <w:szCs w:val="24"/>
        </w:rPr>
        <w:t>1790</w:t>
      </w:r>
    </w:p>
    <w:p w14:paraId="5BC64BC9" w14:textId="39731420"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r w:rsidR="00B75F3E" w:rsidRPr="00A0455E">
        <w:rPr>
          <w:rFonts w:ascii="Arial Narrow" w:hAnsi="Arial Narrow"/>
          <w:b/>
          <w:sz w:val="24"/>
          <w:szCs w:val="24"/>
        </w:rPr>
        <w:t>Holandská 4, 639 00 Brno</w:t>
      </w:r>
    </w:p>
    <w:p w14:paraId="61565142" w14:textId="754D672E"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r w:rsidR="00B75F3E">
        <w:rPr>
          <w:rFonts w:ascii="Arial Narrow" w:hAnsi="Arial Narrow"/>
          <w:sz w:val="24"/>
          <w:szCs w:val="24"/>
        </w:rPr>
        <w:t>18829503</w:t>
      </w:r>
    </w:p>
    <w:p w14:paraId="477838C1" w14:textId="4D6264EC"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w:t>
      </w:r>
      <w:r w:rsidR="00B75F3E">
        <w:rPr>
          <w:rFonts w:ascii="Arial Narrow" w:hAnsi="Arial Narrow"/>
          <w:sz w:val="24"/>
          <w:szCs w:val="24"/>
        </w:rPr>
        <w:t>CZ18829503</w:t>
      </w:r>
    </w:p>
    <w:p w14:paraId="6A260D8A" w14:textId="1DD5A5AA"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w:t>
      </w:r>
      <w:r w:rsidR="00B75F3E">
        <w:rPr>
          <w:rFonts w:ascii="Arial Narrow" w:hAnsi="Arial Narrow"/>
          <w:sz w:val="24"/>
          <w:szCs w:val="24"/>
        </w:rPr>
        <w:t xml:space="preserve">Ing. Filipem </w:t>
      </w:r>
      <w:proofErr w:type="spellStart"/>
      <w:r w:rsidR="00B75F3E">
        <w:rPr>
          <w:rFonts w:ascii="Arial Narrow" w:hAnsi="Arial Narrow"/>
          <w:sz w:val="24"/>
          <w:szCs w:val="24"/>
        </w:rPr>
        <w:t>Pospíškem</w:t>
      </w:r>
      <w:proofErr w:type="spellEnd"/>
      <w:r w:rsidR="00B75F3E">
        <w:rPr>
          <w:rFonts w:ascii="Arial Narrow" w:hAnsi="Arial Narrow"/>
          <w:sz w:val="24"/>
          <w:szCs w:val="24"/>
        </w:rPr>
        <w:t xml:space="preserve">, </w:t>
      </w:r>
      <w:proofErr w:type="spellStart"/>
      <w:r w:rsidR="00B75F3E">
        <w:rPr>
          <w:rFonts w:ascii="Arial Narrow" w:hAnsi="Arial Narrow"/>
          <w:sz w:val="24"/>
          <w:szCs w:val="24"/>
        </w:rPr>
        <w:t>Ppa</w:t>
      </w:r>
      <w:proofErr w:type="spellEnd"/>
      <w:r w:rsidR="00B75F3E">
        <w:rPr>
          <w:rFonts w:ascii="Arial Narrow" w:hAnsi="Arial Narrow"/>
          <w:sz w:val="24"/>
          <w:szCs w:val="24"/>
        </w:rPr>
        <w:t>., prokuristou</w:t>
      </w:r>
    </w:p>
    <w:p w14:paraId="50E267A2" w14:textId="1B2EB459" w:rsidR="00482E9F" w:rsidRPr="005F081E"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proofErr w:type="spellStart"/>
      <w:r w:rsidR="00B75F3E">
        <w:rPr>
          <w:rFonts w:ascii="Arial Narrow" w:hAnsi="Arial Narrow"/>
          <w:sz w:val="24"/>
          <w:szCs w:val="24"/>
        </w:rPr>
        <w:t>UNICREDITBan</w:t>
      </w:r>
      <w:r w:rsidR="0047681C">
        <w:rPr>
          <w:rFonts w:ascii="Arial Narrow" w:hAnsi="Arial Narrow"/>
          <w:sz w:val="24"/>
          <w:szCs w:val="24"/>
        </w:rPr>
        <w:t>k</w:t>
      </w:r>
      <w:proofErr w:type="spellEnd"/>
      <w:r w:rsidR="0047681C">
        <w:rPr>
          <w:rFonts w:ascii="Arial Narrow" w:hAnsi="Arial Narrow"/>
          <w:sz w:val="24"/>
          <w:szCs w:val="24"/>
        </w:rPr>
        <w:t xml:space="preserve"> Brno, č. účtu: </w:t>
      </w:r>
    </w:p>
    <w:p w14:paraId="18AE9F66" w14:textId="77777777" w:rsidR="00482E9F" w:rsidRDefault="00482E9F" w:rsidP="00482E9F">
      <w:pPr>
        <w:spacing w:after="0"/>
        <w:rPr>
          <w:rFonts w:ascii="Arial Narrow" w:hAnsi="Arial Narrow"/>
          <w:sz w:val="24"/>
          <w:szCs w:val="24"/>
        </w:rPr>
      </w:pPr>
    </w:p>
    <w:p w14:paraId="7E25D4F5"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0C67B118" w14:textId="77777777" w:rsidR="00482E9F" w:rsidRDefault="00482E9F" w:rsidP="00482E9F">
      <w:pPr>
        <w:spacing w:after="0"/>
        <w:rPr>
          <w:rFonts w:ascii="Arial Narrow" w:hAnsi="Arial Narrow"/>
          <w:sz w:val="24"/>
          <w:szCs w:val="24"/>
        </w:rPr>
      </w:pPr>
    </w:p>
    <w:p w14:paraId="0101A364"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36E5D340"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29E60044" w14:textId="77777777" w:rsidR="00482E9F" w:rsidRDefault="00482E9F" w:rsidP="00482E9F">
      <w:pPr>
        <w:spacing w:after="0"/>
        <w:rPr>
          <w:rFonts w:ascii="Arial Narrow" w:hAnsi="Arial Narrow"/>
          <w:sz w:val="24"/>
          <w:szCs w:val="24"/>
        </w:rPr>
      </w:pPr>
    </w:p>
    <w:p w14:paraId="77A4F09D" w14:textId="7816F2DE" w:rsidR="00482E9F" w:rsidRDefault="00482E9F" w:rsidP="0007693D">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CC6498">
        <w:rPr>
          <w:rFonts w:ascii="Arial Narrow" w:hAnsi="Arial Narrow"/>
          <w:sz w:val="24"/>
          <w:szCs w:val="24"/>
        </w:rPr>
        <w:t>znění (dále jen „</w:t>
      </w:r>
      <w:r w:rsidRPr="00CC6498">
        <w:rPr>
          <w:rFonts w:ascii="Arial Narrow" w:hAnsi="Arial Narrow"/>
          <w:b/>
          <w:sz w:val="24"/>
          <w:szCs w:val="24"/>
        </w:rPr>
        <w:t>občanský zákoník</w:t>
      </w:r>
      <w:r w:rsidRPr="00CC6498">
        <w:rPr>
          <w:rFonts w:ascii="Arial Narrow" w:hAnsi="Arial Narrow"/>
          <w:sz w:val="24"/>
          <w:szCs w:val="24"/>
        </w:rPr>
        <w:t xml:space="preserve">“), jako výsledek </w:t>
      </w:r>
      <w:r w:rsidR="003D7EE2" w:rsidRPr="00CC6498">
        <w:rPr>
          <w:rFonts w:ascii="Arial Narrow" w:hAnsi="Arial Narrow"/>
          <w:sz w:val="24"/>
          <w:szCs w:val="24"/>
        </w:rPr>
        <w:t xml:space="preserve">otevřeného </w:t>
      </w:r>
      <w:r w:rsidRPr="00CC6498">
        <w:rPr>
          <w:rFonts w:ascii="Arial Narrow" w:hAnsi="Arial Narrow"/>
          <w:sz w:val="24"/>
          <w:szCs w:val="24"/>
        </w:rPr>
        <w:t>zadávacího řízení na realizaci</w:t>
      </w:r>
      <w:r w:rsidR="001C7E73" w:rsidRPr="00CC6498">
        <w:rPr>
          <w:rFonts w:ascii="Arial Narrow" w:hAnsi="Arial Narrow"/>
          <w:sz w:val="24"/>
          <w:szCs w:val="24"/>
        </w:rPr>
        <w:t xml:space="preserve"> </w:t>
      </w:r>
      <w:r w:rsidR="003044BE" w:rsidRPr="00CC6498">
        <w:rPr>
          <w:rFonts w:ascii="Arial Narrow" w:hAnsi="Arial Narrow"/>
          <w:b/>
          <w:sz w:val="24"/>
          <w:szCs w:val="24"/>
          <w:u w:val="single"/>
        </w:rPr>
        <w:t>Části 1</w:t>
      </w:r>
      <w:r w:rsidR="003044BE" w:rsidRPr="00CC6498">
        <w:rPr>
          <w:rFonts w:ascii="Arial Narrow" w:hAnsi="Arial Narrow"/>
          <w:sz w:val="24"/>
          <w:szCs w:val="24"/>
        </w:rPr>
        <w:t xml:space="preserve"> </w:t>
      </w:r>
      <w:r w:rsidR="003D7EE2" w:rsidRPr="00CC6498">
        <w:rPr>
          <w:rFonts w:ascii="Arial Narrow" w:hAnsi="Arial Narrow"/>
          <w:sz w:val="24"/>
          <w:szCs w:val="24"/>
        </w:rPr>
        <w:t xml:space="preserve">nadlimitní </w:t>
      </w:r>
      <w:r w:rsidR="001C7E73" w:rsidRPr="00CC6498">
        <w:rPr>
          <w:rFonts w:ascii="Arial Narrow" w:hAnsi="Arial Narrow"/>
          <w:sz w:val="24"/>
          <w:szCs w:val="24"/>
        </w:rPr>
        <w:t>veřejn</w:t>
      </w:r>
      <w:r w:rsidR="008D781A" w:rsidRPr="00CC6498">
        <w:rPr>
          <w:rFonts w:ascii="Arial Narrow" w:hAnsi="Arial Narrow"/>
          <w:sz w:val="24"/>
          <w:szCs w:val="24"/>
        </w:rPr>
        <w:t>é</w:t>
      </w:r>
      <w:r w:rsidR="001C7E73" w:rsidRPr="00CC6498">
        <w:rPr>
          <w:rFonts w:ascii="Arial Narrow" w:hAnsi="Arial Narrow"/>
          <w:sz w:val="24"/>
          <w:szCs w:val="24"/>
        </w:rPr>
        <w:t xml:space="preserve"> zakázk</w:t>
      </w:r>
      <w:r w:rsidR="008D781A" w:rsidRPr="00CC6498">
        <w:rPr>
          <w:rFonts w:ascii="Arial Narrow" w:hAnsi="Arial Narrow"/>
          <w:sz w:val="24"/>
          <w:szCs w:val="24"/>
        </w:rPr>
        <w:t>y</w:t>
      </w:r>
      <w:r w:rsidR="003D7EE2" w:rsidRPr="00CC6498">
        <w:rPr>
          <w:rFonts w:ascii="Arial Narrow" w:hAnsi="Arial Narrow"/>
          <w:sz w:val="24"/>
          <w:szCs w:val="24"/>
        </w:rPr>
        <w:t xml:space="preserve"> </w:t>
      </w:r>
      <w:r w:rsidRPr="00CC6498">
        <w:rPr>
          <w:rFonts w:ascii="Arial Narrow" w:hAnsi="Arial Narrow"/>
          <w:sz w:val="24"/>
          <w:szCs w:val="24"/>
        </w:rPr>
        <w:t>nazvané „</w:t>
      </w:r>
      <w:r w:rsidR="00913D4F">
        <w:rPr>
          <w:rFonts w:ascii="Arial Narrow" w:hAnsi="Arial Narrow"/>
          <w:sz w:val="24"/>
          <w:szCs w:val="24"/>
        </w:rPr>
        <w:t>Vybavení pro sterilizaci</w:t>
      </w:r>
      <w:r w:rsidR="003D7EE2" w:rsidRPr="00CC6498">
        <w:rPr>
          <w:rFonts w:ascii="Arial Narrow" w:hAnsi="Arial Narrow"/>
          <w:sz w:val="24"/>
          <w:szCs w:val="24"/>
        </w:rPr>
        <w:t xml:space="preserve"> – Zvýšení kvality návazné péče v ON Kolín</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sidR="003D7EE2">
        <w:rPr>
          <w:rFonts w:ascii="Arial Narrow" w:hAnsi="Arial Narrow"/>
          <w:sz w:val="24"/>
          <w:szCs w:val="24"/>
        </w:rPr>
        <w:t>“),</w:t>
      </w:r>
      <w:r w:rsidR="003D7EE2" w:rsidRPr="003D7EE2">
        <w:rPr>
          <w:rFonts w:ascii="Arial Narrow" w:eastAsia="Calibri" w:hAnsi="Arial Narrow" w:cs="Times New Roman"/>
          <w:sz w:val="24"/>
          <w:szCs w:val="24"/>
        </w:rPr>
        <w:t xml:space="preserve"> </w:t>
      </w:r>
      <w:r w:rsidR="003D7EE2">
        <w:rPr>
          <w:rFonts w:ascii="Arial Narrow" w:hAnsi="Arial Narrow"/>
          <w:sz w:val="24"/>
          <w:szCs w:val="24"/>
        </w:rPr>
        <w:t>v souladu se zákonem č. 134/201</w:t>
      </w:r>
      <w:r w:rsidR="003D7EE2" w:rsidRPr="003D7EE2">
        <w:rPr>
          <w:rFonts w:ascii="Arial Narrow" w:hAnsi="Arial Narrow"/>
          <w:sz w:val="24"/>
          <w:szCs w:val="24"/>
        </w:rPr>
        <w:t xml:space="preserve">6 Sb., o </w:t>
      </w:r>
      <w:r w:rsidR="003D7EE2">
        <w:rPr>
          <w:rFonts w:ascii="Arial Narrow" w:hAnsi="Arial Narrow"/>
          <w:sz w:val="24"/>
          <w:szCs w:val="24"/>
        </w:rPr>
        <w:t>zadávání veřejných zakázek</w:t>
      </w:r>
      <w:r w:rsidR="003D7EE2" w:rsidRPr="003D7EE2">
        <w:rPr>
          <w:rFonts w:ascii="Arial Narrow" w:hAnsi="Arial Narrow"/>
          <w:sz w:val="24"/>
          <w:szCs w:val="24"/>
        </w:rPr>
        <w:t>, ve znění pozdějších předpisů (dále jen „</w:t>
      </w:r>
      <w:r w:rsidR="003D7EE2" w:rsidRPr="003D7EE2">
        <w:rPr>
          <w:rFonts w:ascii="Arial Narrow" w:hAnsi="Arial Narrow"/>
          <w:b/>
          <w:sz w:val="24"/>
          <w:szCs w:val="24"/>
        </w:rPr>
        <w:t>Z</w:t>
      </w:r>
      <w:r w:rsidR="003D7EE2">
        <w:rPr>
          <w:rFonts w:ascii="Arial Narrow" w:hAnsi="Arial Narrow"/>
          <w:b/>
          <w:sz w:val="24"/>
          <w:szCs w:val="24"/>
        </w:rPr>
        <w:t>Z</w:t>
      </w:r>
      <w:r w:rsidR="003D7EE2" w:rsidRPr="003D7EE2">
        <w:rPr>
          <w:rFonts w:ascii="Arial Narrow" w:hAnsi="Arial Narrow"/>
          <w:b/>
          <w:sz w:val="24"/>
          <w:szCs w:val="24"/>
        </w:rPr>
        <w:t>VZ</w:t>
      </w:r>
      <w:r w:rsidR="003D7EE2" w:rsidRPr="003D7EE2">
        <w:rPr>
          <w:rFonts w:ascii="Arial Narrow" w:hAnsi="Arial Narrow"/>
          <w:sz w:val="24"/>
          <w:szCs w:val="24"/>
        </w:rPr>
        <w:t xml:space="preserve">“), v rámci projektu spolufinancovaného Evropskou unií z Evropského fondu pro regionální rozvoj v rámci </w:t>
      </w:r>
      <w:r w:rsidR="003D7EE2">
        <w:rPr>
          <w:rFonts w:ascii="Arial Narrow" w:hAnsi="Arial Narrow"/>
          <w:sz w:val="24"/>
          <w:szCs w:val="24"/>
        </w:rPr>
        <w:t>Integrovaného r</w:t>
      </w:r>
      <w:r w:rsidR="003D7EE2" w:rsidRPr="003D7EE2">
        <w:rPr>
          <w:rFonts w:ascii="Arial Narrow" w:hAnsi="Arial Narrow"/>
          <w:sz w:val="24"/>
          <w:szCs w:val="24"/>
        </w:rPr>
        <w:t xml:space="preserve">egionálního operačního programu </w:t>
      </w:r>
      <w:r w:rsidR="003D7EE2">
        <w:rPr>
          <w:rFonts w:ascii="Arial Narrow" w:hAnsi="Arial Narrow"/>
          <w:sz w:val="24"/>
          <w:szCs w:val="24"/>
        </w:rPr>
        <w:t>IROP Ministerstva pro místní rozvoj ČR</w:t>
      </w:r>
      <w:r w:rsidR="003D7EE2" w:rsidRPr="003D7EE2">
        <w:rPr>
          <w:rFonts w:ascii="Arial Narrow" w:hAnsi="Arial Narrow"/>
          <w:sz w:val="24"/>
          <w:szCs w:val="24"/>
        </w:rPr>
        <w:t xml:space="preserve"> s názvem „</w:t>
      </w:r>
      <w:r w:rsidR="003D7EE2">
        <w:rPr>
          <w:rFonts w:ascii="Arial Narrow" w:hAnsi="Arial Narrow"/>
          <w:sz w:val="24"/>
          <w:szCs w:val="24"/>
        </w:rPr>
        <w:t xml:space="preserve">Zvýšení kvality návazné péče </w:t>
      </w:r>
      <w:r w:rsidR="003D7EE2" w:rsidRPr="003D7EE2">
        <w:rPr>
          <w:rFonts w:ascii="Arial Narrow" w:hAnsi="Arial Narrow"/>
          <w:sz w:val="24"/>
          <w:szCs w:val="24"/>
        </w:rPr>
        <w:t>v Oblastní nemocnici Kolín, a.s.“, s</w:t>
      </w:r>
      <w:r w:rsidR="003D7EE2">
        <w:rPr>
          <w:rFonts w:ascii="Arial Narrow" w:hAnsi="Arial Narrow"/>
          <w:sz w:val="24"/>
          <w:szCs w:val="24"/>
        </w:rPr>
        <w:t> identifikačním číslem projektu: 117D03F000022 a identifikačním číslem EIS:</w:t>
      </w:r>
      <w:r w:rsidR="003D7EE2" w:rsidRPr="003D7EE2">
        <w:rPr>
          <w:rFonts w:ascii="Arial Narrow" w:hAnsi="Arial Narrow"/>
          <w:sz w:val="24"/>
          <w:szCs w:val="24"/>
        </w:rPr>
        <w:t xml:space="preserve"> </w:t>
      </w:r>
      <w:r w:rsidR="003D7EE2">
        <w:rPr>
          <w:rFonts w:ascii="Arial Narrow" w:hAnsi="Arial Narrow"/>
          <w:sz w:val="24"/>
          <w:szCs w:val="24"/>
        </w:rPr>
        <w:t>CZ.06.2.56/0.0/0.0/16_043/0001453,</w:t>
      </w:r>
      <w:r w:rsidR="003D7EE2" w:rsidRPr="003D7EE2">
        <w:rPr>
          <w:rFonts w:ascii="Arial Narrow" w:hAnsi="Arial Narrow"/>
          <w:sz w:val="24"/>
          <w:szCs w:val="24"/>
        </w:rPr>
        <w:t xml:space="preserve"> v rámci Výzvy</w:t>
      </w:r>
      <w:r w:rsidR="003D7EE2">
        <w:rPr>
          <w:rFonts w:ascii="Arial Narrow" w:hAnsi="Arial Narrow"/>
          <w:sz w:val="24"/>
          <w:szCs w:val="24"/>
        </w:rPr>
        <w:t xml:space="preserve"> č. 31</w:t>
      </w:r>
      <w:r w:rsidR="007B40C7">
        <w:rPr>
          <w:rFonts w:ascii="Arial Narrow" w:hAnsi="Arial Narrow"/>
          <w:sz w:val="24"/>
          <w:szCs w:val="24"/>
        </w:rPr>
        <w:t>., specifický cíl 2.3 Rozvoj infrastruktury pro poskytování zdravotních služeb a péče o zdraví.</w:t>
      </w:r>
    </w:p>
    <w:p w14:paraId="0DAFB4EB" w14:textId="77777777" w:rsidR="0007693D" w:rsidRDefault="0007693D" w:rsidP="0007693D">
      <w:pPr>
        <w:jc w:val="both"/>
        <w:rPr>
          <w:rFonts w:ascii="Arial Narrow" w:hAnsi="Arial Narrow"/>
          <w:sz w:val="24"/>
          <w:szCs w:val="24"/>
        </w:rPr>
      </w:pPr>
    </w:p>
    <w:p w14:paraId="28BC54D8"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lastRenderedPageBreak/>
        <w:t>Předmět smlouvy</w:t>
      </w:r>
    </w:p>
    <w:p w14:paraId="5C0FA228" w14:textId="77777777" w:rsidR="00482E9F" w:rsidRPr="005F081E" w:rsidRDefault="00482E9F" w:rsidP="00482E9F">
      <w:pPr>
        <w:spacing w:after="0"/>
        <w:ind w:left="284" w:hanging="284"/>
        <w:rPr>
          <w:rFonts w:ascii="Arial Narrow" w:hAnsi="Arial Narrow"/>
          <w:b/>
          <w:sz w:val="24"/>
          <w:szCs w:val="24"/>
        </w:rPr>
      </w:pPr>
    </w:p>
    <w:p w14:paraId="5ECCC181" w14:textId="11D4B127" w:rsidR="00835061" w:rsidRPr="00835061" w:rsidRDefault="00482E9F"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sidR="00913D4F">
        <w:rPr>
          <w:rFonts w:ascii="Arial Narrow" w:hAnsi="Arial Narrow"/>
          <w:b/>
          <w:sz w:val="24"/>
          <w:szCs w:val="24"/>
        </w:rPr>
        <w:t>1</w:t>
      </w:r>
      <w:r w:rsidR="00A1131F" w:rsidRPr="00A1131F">
        <w:rPr>
          <w:rFonts w:ascii="Arial Narrow" w:hAnsi="Arial Narrow"/>
          <w:b/>
          <w:sz w:val="24"/>
          <w:szCs w:val="24"/>
        </w:rPr>
        <w:t>ks</w:t>
      </w:r>
      <w:r w:rsidR="00A1131F">
        <w:rPr>
          <w:rFonts w:ascii="Arial Narrow" w:hAnsi="Arial Narrow"/>
          <w:sz w:val="24"/>
          <w:szCs w:val="24"/>
        </w:rPr>
        <w:t xml:space="preserve"> </w:t>
      </w:r>
      <w:r w:rsidR="00913D4F">
        <w:rPr>
          <w:rFonts w:ascii="Arial Narrow" w:hAnsi="Arial Narrow"/>
          <w:b/>
          <w:sz w:val="24"/>
          <w:szCs w:val="24"/>
        </w:rPr>
        <w:t>zdravotnického prostředku - „Automat mycí a desinfekční pro operační obuv</w:t>
      </w:r>
      <w:r w:rsidR="003044BE" w:rsidRPr="00FD6F3F">
        <w:rPr>
          <w:rFonts w:ascii="Arial Narrow" w:hAnsi="Arial Narrow"/>
          <w:b/>
          <w:sz w:val="24"/>
          <w:szCs w:val="24"/>
        </w:rPr>
        <w:t>“</w:t>
      </w:r>
      <w:r w:rsidR="000967EF">
        <w:rPr>
          <w:rFonts w:ascii="Arial Narrow" w:hAnsi="Arial Narrow"/>
          <w:b/>
          <w:sz w:val="24"/>
          <w:szCs w:val="24"/>
        </w:rPr>
        <w:t xml:space="preserve"> </w:t>
      </w:r>
      <w:r w:rsidR="001C7E73" w:rsidRPr="005F081E">
        <w:rPr>
          <w:rFonts w:ascii="Arial Narrow" w:hAnsi="Arial Narrow"/>
          <w:sz w:val="24"/>
          <w:szCs w:val="24"/>
        </w:rPr>
        <w:t>(dále jen „</w:t>
      </w:r>
      <w:r w:rsidR="001C7E73" w:rsidRPr="005F081E">
        <w:rPr>
          <w:rFonts w:ascii="Arial Narrow" w:hAnsi="Arial Narrow"/>
          <w:b/>
          <w:sz w:val="24"/>
          <w:szCs w:val="24"/>
        </w:rPr>
        <w:t>zařízení</w:t>
      </w:r>
      <w:r w:rsidR="001C7E73" w:rsidRPr="005F081E">
        <w:rPr>
          <w:rFonts w:ascii="Arial Narrow" w:hAnsi="Arial Narrow"/>
          <w:sz w:val="24"/>
          <w:szCs w:val="24"/>
        </w:rPr>
        <w:t>“ nebo „</w:t>
      </w:r>
      <w:r w:rsidR="001C7E73" w:rsidRPr="005F081E">
        <w:rPr>
          <w:rFonts w:ascii="Arial Narrow" w:hAnsi="Arial Narrow"/>
          <w:b/>
          <w:sz w:val="24"/>
          <w:szCs w:val="24"/>
        </w:rPr>
        <w:t>předmět plnění</w:t>
      </w:r>
      <w:r w:rsidR="001C7E73" w:rsidRPr="005F081E">
        <w:rPr>
          <w:rFonts w:ascii="Arial Narrow" w:hAnsi="Arial Narrow"/>
          <w:sz w:val="24"/>
          <w:szCs w:val="24"/>
        </w:rPr>
        <w:t xml:space="preserve">“) </w:t>
      </w:r>
      <w:r>
        <w:rPr>
          <w:rFonts w:ascii="Arial Narrow" w:hAnsi="Arial Narrow"/>
          <w:sz w:val="24"/>
          <w:szCs w:val="24"/>
        </w:rPr>
        <w:t xml:space="preserve">dle </w:t>
      </w:r>
      <w:r w:rsidR="008F6A5A">
        <w:rPr>
          <w:rFonts w:ascii="Arial Narrow" w:hAnsi="Arial Narrow"/>
          <w:sz w:val="24"/>
          <w:szCs w:val="24"/>
        </w:rPr>
        <w:t xml:space="preserve">Specifikace </w:t>
      </w:r>
      <w:r w:rsidR="00835061">
        <w:rPr>
          <w:rFonts w:ascii="Arial Narrow" w:hAnsi="Arial Narrow"/>
          <w:sz w:val="24"/>
          <w:szCs w:val="24"/>
        </w:rPr>
        <w:t>polož</w:t>
      </w:r>
      <w:r w:rsidR="008F6A5A">
        <w:rPr>
          <w:rFonts w:ascii="Arial Narrow" w:hAnsi="Arial Narrow"/>
          <w:sz w:val="24"/>
          <w:szCs w:val="24"/>
        </w:rPr>
        <w:t>e</w:t>
      </w:r>
      <w:r w:rsidR="00835061">
        <w:rPr>
          <w:rFonts w:ascii="Arial Narrow" w:hAnsi="Arial Narrow"/>
          <w:sz w:val="24"/>
          <w:szCs w:val="24"/>
        </w:rPr>
        <w:t>k</w:t>
      </w:r>
      <w:r w:rsidR="008F6A5A">
        <w:rPr>
          <w:rFonts w:ascii="Arial Narrow" w:hAnsi="Arial Narrow"/>
          <w:sz w:val="24"/>
          <w:szCs w:val="24"/>
        </w:rPr>
        <w:t xml:space="preserve"> </w:t>
      </w:r>
      <w:r w:rsidR="00EB46DE">
        <w:rPr>
          <w:rFonts w:ascii="Arial Narrow" w:hAnsi="Arial Narrow"/>
          <w:sz w:val="24"/>
          <w:szCs w:val="24"/>
        </w:rPr>
        <w:t>uvedené v příloze č. 2</w:t>
      </w:r>
      <w:r>
        <w:rPr>
          <w:rFonts w:ascii="Arial Narrow" w:hAnsi="Arial Narrow"/>
          <w:sz w:val="24"/>
          <w:szCs w:val="24"/>
        </w:rPr>
        <w:t xml:space="preserve"> této smlouvy</w:t>
      </w:r>
      <w:r w:rsidRPr="005F081E">
        <w:rPr>
          <w:rFonts w:ascii="Arial Narrow" w:hAnsi="Arial Narrow"/>
          <w:sz w:val="24"/>
          <w:szCs w:val="24"/>
        </w:rPr>
        <w:t xml:space="preserve"> a umožnit kupujícímu nabýt </w:t>
      </w:r>
      <w:r w:rsidR="00EB3851">
        <w:rPr>
          <w:rFonts w:ascii="Arial Narrow" w:hAnsi="Arial Narrow"/>
          <w:sz w:val="24"/>
          <w:szCs w:val="24"/>
        </w:rPr>
        <w:t xml:space="preserve">k zařízení </w:t>
      </w:r>
      <w:r w:rsidRPr="005F081E">
        <w:rPr>
          <w:rFonts w:ascii="Arial Narrow" w:hAnsi="Arial Narrow"/>
          <w:sz w:val="24"/>
          <w:szCs w:val="24"/>
        </w:rPr>
        <w:t xml:space="preserve">vlastnické právo. </w:t>
      </w:r>
    </w:p>
    <w:p w14:paraId="70285E0F"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 xml:space="preserve">do místa určení, poskytování bezplatného záručního servisu, likvidace obalů a odpadu. </w:t>
      </w:r>
    </w:p>
    <w:p w14:paraId="57AD4A60"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Součástí předmětu plnění je předání dokumentace a návodu na obsluhu v českém jazyce 1x v elektronické podobě na CD a prohlášení o shodě.</w:t>
      </w:r>
    </w:p>
    <w:p w14:paraId="2E0B387E"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7F82F7A9"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E640FF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734849E7" w14:textId="77777777" w:rsidR="00482E9F" w:rsidRPr="005F081E"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zařízení převzít a zaplatit prodávajícímu níže uvedenou kupní cenu. </w:t>
      </w:r>
    </w:p>
    <w:p w14:paraId="37481A21" w14:textId="77777777" w:rsidR="00D6597B" w:rsidRPr="005F081E" w:rsidRDefault="00D6597B" w:rsidP="00482E9F">
      <w:pPr>
        <w:pStyle w:val="Odstavecseseznamem"/>
        <w:spacing w:after="0"/>
        <w:ind w:left="284" w:hanging="284"/>
        <w:rPr>
          <w:rFonts w:ascii="Arial Narrow" w:hAnsi="Arial Narrow"/>
          <w:sz w:val="24"/>
          <w:szCs w:val="24"/>
        </w:rPr>
      </w:pPr>
    </w:p>
    <w:p w14:paraId="641F3D8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1D884035" w14:textId="77777777" w:rsidR="00482E9F" w:rsidRPr="005F081E" w:rsidRDefault="00482E9F" w:rsidP="00482E9F">
      <w:pPr>
        <w:spacing w:after="0"/>
        <w:ind w:left="284" w:hanging="284"/>
        <w:rPr>
          <w:rFonts w:ascii="Arial Narrow" w:hAnsi="Arial Narrow"/>
          <w:b/>
          <w:sz w:val="24"/>
          <w:szCs w:val="24"/>
        </w:rPr>
      </w:pPr>
    </w:p>
    <w:p w14:paraId="0F13F4C5" w14:textId="420E33FD"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w:t>
      </w:r>
      <w:r w:rsidRPr="00FD6F3F">
        <w:rPr>
          <w:rFonts w:ascii="Arial Narrow" w:hAnsi="Arial Narrow"/>
          <w:sz w:val="24"/>
          <w:szCs w:val="24"/>
        </w:rPr>
        <w:t xml:space="preserve">na </w:t>
      </w:r>
      <w:r w:rsidR="00081149" w:rsidRPr="00FD6F3F">
        <w:rPr>
          <w:rFonts w:ascii="Arial Narrow" w:hAnsi="Arial Narrow"/>
          <w:sz w:val="24"/>
          <w:szCs w:val="24"/>
        </w:rPr>
        <w:t>Č</w:t>
      </w:r>
      <w:r w:rsidR="003044BE" w:rsidRPr="00FD6F3F">
        <w:rPr>
          <w:rFonts w:ascii="Arial Narrow" w:hAnsi="Arial Narrow"/>
          <w:sz w:val="24"/>
          <w:szCs w:val="24"/>
        </w:rPr>
        <w:t>ást</w:t>
      </w:r>
      <w:r w:rsidR="00081149" w:rsidRPr="00FD6F3F">
        <w:rPr>
          <w:rFonts w:ascii="Arial Narrow" w:hAnsi="Arial Narrow"/>
          <w:sz w:val="24"/>
          <w:szCs w:val="24"/>
        </w:rPr>
        <w:t xml:space="preserve"> 1</w:t>
      </w:r>
      <w:r w:rsidR="003044BE">
        <w:rPr>
          <w:rFonts w:ascii="Arial Narrow" w:hAnsi="Arial Narrow"/>
          <w:sz w:val="24"/>
          <w:szCs w:val="24"/>
        </w:rPr>
        <w:t xml:space="preserve"> veřejné zakázky</w:t>
      </w:r>
      <w:r w:rsidRPr="005F081E">
        <w:rPr>
          <w:rFonts w:ascii="Arial Narrow" w:hAnsi="Arial Narrow"/>
          <w:sz w:val="24"/>
          <w:szCs w:val="24"/>
        </w:rPr>
        <w:t xml:space="preserve">. </w:t>
      </w:r>
    </w:p>
    <w:p w14:paraId="0BA1CFEF" w14:textId="2947B07D" w:rsidR="00482E9F" w:rsidRPr="005F081E"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činí: </w:t>
      </w:r>
      <w:r w:rsidR="00B75F3E">
        <w:rPr>
          <w:rFonts w:ascii="Arial Narrow" w:hAnsi="Arial Narrow"/>
          <w:sz w:val="24"/>
          <w:szCs w:val="24"/>
        </w:rPr>
        <w:t>232 320</w:t>
      </w:r>
      <w:r w:rsidRPr="005F081E">
        <w:rPr>
          <w:rFonts w:ascii="Arial Narrow" w:hAnsi="Arial Narrow"/>
          <w:sz w:val="24"/>
          <w:szCs w:val="24"/>
        </w:rPr>
        <w:t xml:space="preserve">,- Kč bez DPH, tj. </w:t>
      </w:r>
      <w:r w:rsidR="00B75F3E">
        <w:rPr>
          <w:rFonts w:ascii="Arial Narrow" w:hAnsi="Arial Narrow"/>
          <w:sz w:val="24"/>
          <w:szCs w:val="24"/>
        </w:rPr>
        <w:t>281 107</w:t>
      </w:r>
      <w:r w:rsidRPr="005F081E">
        <w:rPr>
          <w:rFonts w:ascii="Arial Narrow" w:hAnsi="Arial Narrow"/>
          <w:sz w:val="24"/>
          <w:szCs w:val="24"/>
        </w:rPr>
        <w:t xml:space="preserve">,- Kč vč. </w:t>
      </w:r>
      <w:r w:rsidR="00B75F3E">
        <w:rPr>
          <w:rFonts w:ascii="Arial Narrow" w:hAnsi="Arial Narrow"/>
          <w:sz w:val="24"/>
          <w:szCs w:val="24"/>
        </w:rPr>
        <w:t>21</w:t>
      </w:r>
      <w:r w:rsidRPr="005F081E">
        <w:rPr>
          <w:rFonts w:ascii="Arial Narrow" w:hAnsi="Arial Narrow"/>
          <w:sz w:val="24"/>
          <w:szCs w:val="24"/>
        </w:rPr>
        <w:t>% DPH.</w:t>
      </w:r>
    </w:p>
    <w:p w14:paraId="59B2B74C" w14:textId="576C2CC8"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Kupní cena včetně DPH může být měněna pouze v souvislosti se změnou daňových předpisů majících prokazatelný vliv na cenu předmětu plnění. Z jakýchkoliv j</w:t>
      </w:r>
      <w:r w:rsidR="003044BE">
        <w:rPr>
          <w:rFonts w:ascii="Arial Narrow" w:hAnsi="Arial Narrow"/>
          <w:sz w:val="24"/>
          <w:szCs w:val="24"/>
        </w:rPr>
        <w:t xml:space="preserve">iných důvodů nesmí </w:t>
      </w:r>
      <w:r w:rsidR="003044BE" w:rsidRPr="00FD6F3F">
        <w:rPr>
          <w:rFonts w:ascii="Arial Narrow" w:hAnsi="Arial Narrow"/>
          <w:sz w:val="24"/>
          <w:szCs w:val="24"/>
        </w:rPr>
        <w:t>být kupní</w:t>
      </w:r>
      <w:r w:rsidRPr="00FD6F3F">
        <w:rPr>
          <w:rFonts w:ascii="Arial Narrow" w:hAnsi="Arial Narrow"/>
          <w:sz w:val="24"/>
          <w:szCs w:val="24"/>
        </w:rPr>
        <w:t xml:space="preserve"> cena</w:t>
      </w:r>
      <w:r>
        <w:rPr>
          <w:rFonts w:ascii="Arial Narrow" w:hAnsi="Arial Narrow"/>
          <w:sz w:val="24"/>
          <w:szCs w:val="24"/>
        </w:rPr>
        <w:t xml:space="preserve"> měněna. </w:t>
      </w:r>
    </w:p>
    <w:p w14:paraId="382ED6A5" w14:textId="77777777" w:rsidR="00482E9F" w:rsidRDefault="00482E9F"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sidR="0077581C">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w:t>
      </w:r>
      <w:r w:rsidRPr="000C23A2">
        <w:rPr>
          <w:rFonts w:ascii="Arial Narrow" w:hAnsi="Arial Narrow"/>
          <w:sz w:val="24"/>
          <w:szCs w:val="24"/>
        </w:rPr>
        <w:lastRenderedPageBreak/>
        <w:t xml:space="preserve">software, </w:t>
      </w:r>
      <w:r w:rsidRPr="00B8331E">
        <w:rPr>
          <w:rFonts w:ascii="Arial Narrow" w:hAnsi="Arial Narrow"/>
          <w:sz w:val="24"/>
          <w:szCs w:val="24"/>
        </w:rPr>
        <w:t>to vše po dobu záruky bez povinnosti kupujícího platit prodávajícímu nad rámec sjednané kupní ceny.</w:t>
      </w:r>
    </w:p>
    <w:p w14:paraId="77ED5154" w14:textId="77777777" w:rsidR="00D6597B" w:rsidRPr="005F081E" w:rsidRDefault="00D6597B" w:rsidP="00482E9F">
      <w:pPr>
        <w:spacing w:after="0"/>
        <w:ind w:left="284" w:hanging="284"/>
        <w:jc w:val="both"/>
        <w:rPr>
          <w:rFonts w:ascii="Arial Narrow" w:hAnsi="Arial Narrow"/>
          <w:sz w:val="24"/>
          <w:szCs w:val="24"/>
        </w:rPr>
      </w:pPr>
    </w:p>
    <w:p w14:paraId="6655F81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0B1BEF91" w14:textId="77777777" w:rsidR="00482E9F" w:rsidRPr="005F081E" w:rsidRDefault="00482E9F" w:rsidP="00482E9F">
      <w:pPr>
        <w:spacing w:after="0"/>
        <w:ind w:left="284" w:hanging="284"/>
        <w:rPr>
          <w:rFonts w:ascii="Arial Narrow" w:hAnsi="Arial Narrow"/>
          <w:b/>
          <w:sz w:val="24"/>
          <w:szCs w:val="24"/>
        </w:rPr>
      </w:pPr>
    </w:p>
    <w:p w14:paraId="49C2334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3A367EC4" w14:textId="77777777" w:rsidR="00482E9F" w:rsidRPr="00D35837" w:rsidRDefault="00482E9F" w:rsidP="00D35837">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sidR="00D35837">
        <w:rPr>
          <w:rFonts w:ascii="Arial Narrow" w:hAnsi="Arial Narrow"/>
          <w:sz w:val="24"/>
          <w:szCs w:val="24"/>
        </w:rPr>
        <w:t xml:space="preserve"> a text: </w:t>
      </w:r>
      <w:r w:rsidR="00D35837" w:rsidRPr="00D35837">
        <w:rPr>
          <w:rFonts w:ascii="Arial Narrow" w:hAnsi="Arial Narrow"/>
          <w:i/>
          <w:sz w:val="24"/>
          <w:szCs w:val="24"/>
        </w:rPr>
        <w:t>Tento projekt „</w:t>
      </w:r>
      <w:r w:rsidR="00D35837">
        <w:rPr>
          <w:rFonts w:ascii="Arial Narrow" w:hAnsi="Arial Narrow"/>
          <w:i/>
          <w:sz w:val="24"/>
          <w:szCs w:val="24"/>
        </w:rPr>
        <w:t>Zvýšení kvality návazné péče v Oblastní nemocnici Kolín, a.s.</w:t>
      </w:r>
      <w:r w:rsidR="00D35837" w:rsidRPr="00D35837">
        <w:rPr>
          <w:rFonts w:ascii="Arial Narrow" w:hAnsi="Arial Narrow"/>
          <w:i/>
          <w:sz w:val="24"/>
          <w:szCs w:val="24"/>
        </w:rPr>
        <w:t xml:space="preserve">“ je spolufinancován Evropskou unií z Evropského fondu pro regionální rozvoj v rámci </w:t>
      </w:r>
      <w:r w:rsidR="00D35837">
        <w:rPr>
          <w:rFonts w:ascii="Arial Narrow" w:hAnsi="Arial Narrow"/>
          <w:i/>
          <w:sz w:val="24"/>
          <w:szCs w:val="24"/>
        </w:rPr>
        <w:t>Integrovaného r</w:t>
      </w:r>
      <w:r w:rsidR="00D35837" w:rsidRPr="00D35837">
        <w:rPr>
          <w:rFonts w:ascii="Arial Narrow" w:hAnsi="Arial Narrow"/>
          <w:i/>
          <w:sz w:val="24"/>
          <w:szCs w:val="24"/>
        </w:rPr>
        <w:t xml:space="preserve">egionálního operačního programu </w:t>
      </w:r>
      <w:r w:rsidR="00D35837">
        <w:rPr>
          <w:rFonts w:ascii="Arial Narrow" w:hAnsi="Arial Narrow"/>
          <w:i/>
          <w:sz w:val="24"/>
          <w:szCs w:val="24"/>
        </w:rPr>
        <w:t xml:space="preserve">IROP Ministerstva pro místní rozvoj s </w:t>
      </w:r>
      <w:r w:rsidR="00D35837" w:rsidRPr="00D35837">
        <w:rPr>
          <w:rFonts w:ascii="Arial Narrow" w:hAnsi="Arial Narrow"/>
          <w:i/>
          <w:sz w:val="24"/>
          <w:szCs w:val="24"/>
        </w:rPr>
        <w:t>identifikačním číslem projektu: 117D03F000022 a identifikačním číslem EIS: CZ.06.2.56/0.0/0.0/16_043/0001453</w:t>
      </w:r>
      <w:r w:rsidR="00D35837">
        <w:rPr>
          <w:rFonts w:ascii="Arial Narrow" w:hAnsi="Arial Narrow"/>
          <w:i/>
          <w:sz w:val="24"/>
          <w:szCs w:val="24"/>
        </w:rPr>
        <w:t>.</w:t>
      </w:r>
    </w:p>
    <w:p w14:paraId="57A9F9B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2EDE03D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16468D47" w14:textId="77777777" w:rsidR="00482E9F" w:rsidRPr="005F081E" w:rsidRDefault="00482E9F" w:rsidP="00482E9F">
      <w:pPr>
        <w:spacing w:after="0"/>
        <w:ind w:left="284" w:hanging="284"/>
        <w:jc w:val="both"/>
        <w:rPr>
          <w:rFonts w:ascii="Arial Narrow" w:hAnsi="Arial Narrow"/>
          <w:sz w:val="24"/>
          <w:szCs w:val="24"/>
        </w:rPr>
      </w:pPr>
    </w:p>
    <w:p w14:paraId="2BA6906C"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2FFF387B" w14:textId="77777777" w:rsidR="00482E9F" w:rsidRPr="005F081E" w:rsidRDefault="00482E9F" w:rsidP="00482E9F">
      <w:pPr>
        <w:spacing w:after="0"/>
        <w:ind w:left="284" w:hanging="284"/>
        <w:rPr>
          <w:rFonts w:ascii="Arial Narrow" w:hAnsi="Arial Narrow"/>
          <w:b/>
          <w:sz w:val="24"/>
          <w:szCs w:val="24"/>
        </w:rPr>
      </w:pPr>
    </w:p>
    <w:p w14:paraId="6D2697D4" w14:textId="35F1E53E" w:rsidR="00482E9F" w:rsidRPr="005F081E" w:rsidRDefault="00482E9F" w:rsidP="00482E9F">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dle podmínek sjednaných v čl. V. této smlouvy nejpozději </w:t>
      </w:r>
      <w:r w:rsidRPr="003931AF">
        <w:rPr>
          <w:rFonts w:ascii="Arial Narrow" w:hAnsi="Arial Narrow"/>
          <w:sz w:val="24"/>
          <w:szCs w:val="24"/>
        </w:rPr>
        <w:t xml:space="preserve">do </w:t>
      </w:r>
      <w:r w:rsidR="003A0839" w:rsidRPr="003931AF">
        <w:rPr>
          <w:rFonts w:ascii="Arial Narrow" w:hAnsi="Arial Narrow"/>
          <w:sz w:val="24"/>
          <w:szCs w:val="24"/>
        </w:rPr>
        <w:t>8 (osmi</w:t>
      </w:r>
      <w:r w:rsidR="008A4097" w:rsidRPr="003931AF">
        <w:rPr>
          <w:rFonts w:ascii="Arial Narrow" w:hAnsi="Arial Narrow"/>
          <w:sz w:val="24"/>
          <w:szCs w:val="24"/>
        </w:rPr>
        <w:t>)</w:t>
      </w:r>
      <w:r w:rsidR="00D9523F" w:rsidRPr="003931AF">
        <w:rPr>
          <w:rFonts w:ascii="Arial Narrow" w:hAnsi="Arial Narrow"/>
          <w:sz w:val="24"/>
          <w:szCs w:val="24"/>
        </w:rPr>
        <w:t xml:space="preserve"> týdnů</w:t>
      </w:r>
      <w:r w:rsidRPr="005F081E">
        <w:rPr>
          <w:rFonts w:ascii="Arial Narrow" w:hAnsi="Arial Narrow"/>
          <w:sz w:val="24"/>
          <w:szCs w:val="24"/>
        </w:rPr>
        <w:t xml:space="preserve"> </w:t>
      </w:r>
      <w:r w:rsidRPr="004A4EAF">
        <w:rPr>
          <w:rFonts w:ascii="Arial Narrow" w:hAnsi="Arial Narrow"/>
          <w:sz w:val="24"/>
          <w:szCs w:val="24"/>
        </w:rPr>
        <w:t xml:space="preserve">od </w:t>
      </w:r>
      <w:r w:rsidR="00C26B93" w:rsidRPr="004A4EAF">
        <w:rPr>
          <w:rFonts w:ascii="Arial Narrow" w:hAnsi="Arial Narrow"/>
          <w:sz w:val="24"/>
          <w:szCs w:val="24"/>
        </w:rPr>
        <w:t>podpisu této smlouvy oběma účastníky.</w:t>
      </w:r>
    </w:p>
    <w:p w14:paraId="7C9B955A" w14:textId="77777777" w:rsidR="00482E9F" w:rsidRPr="005F081E" w:rsidRDefault="00482E9F" w:rsidP="00482E9F">
      <w:pPr>
        <w:spacing w:after="0"/>
        <w:ind w:left="284" w:hanging="284"/>
        <w:jc w:val="both"/>
        <w:rPr>
          <w:rFonts w:ascii="Arial Narrow" w:hAnsi="Arial Narrow"/>
          <w:sz w:val="24"/>
          <w:szCs w:val="24"/>
        </w:rPr>
      </w:pPr>
    </w:p>
    <w:p w14:paraId="77BD88EA" w14:textId="77777777" w:rsidR="00482E9F" w:rsidRPr="0028244C" w:rsidRDefault="00482E9F" w:rsidP="00482E9F">
      <w:pPr>
        <w:numPr>
          <w:ilvl w:val="0"/>
          <w:numId w:val="13"/>
        </w:numPr>
        <w:spacing w:after="0"/>
        <w:ind w:left="284" w:hanging="284"/>
        <w:jc w:val="center"/>
        <w:rPr>
          <w:rFonts w:ascii="Arial Narrow" w:hAnsi="Arial Narrow"/>
          <w:b/>
          <w:sz w:val="24"/>
          <w:szCs w:val="24"/>
        </w:rPr>
      </w:pPr>
      <w:r w:rsidRPr="0028244C">
        <w:rPr>
          <w:rFonts w:ascii="Arial Narrow" w:hAnsi="Arial Narrow"/>
          <w:b/>
          <w:sz w:val="24"/>
          <w:szCs w:val="24"/>
        </w:rPr>
        <w:t>Místo plnění</w:t>
      </w:r>
    </w:p>
    <w:p w14:paraId="3D3A7683" w14:textId="77777777" w:rsidR="00482E9F" w:rsidRPr="0028244C" w:rsidRDefault="00482E9F" w:rsidP="00482E9F">
      <w:pPr>
        <w:spacing w:after="0"/>
        <w:ind w:left="284" w:hanging="284"/>
        <w:rPr>
          <w:rFonts w:ascii="Arial Narrow" w:hAnsi="Arial Narrow"/>
          <w:b/>
          <w:sz w:val="24"/>
          <w:szCs w:val="24"/>
        </w:rPr>
      </w:pPr>
    </w:p>
    <w:p w14:paraId="06E16306" w14:textId="7EB46411" w:rsidR="00482E9F" w:rsidRPr="0028244C" w:rsidRDefault="00482E9F" w:rsidP="00482E9F">
      <w:pPr>
        <w:numPr>
          <w:ilvl w:val="0"/>
          <w:numId w:val="6"/>
        </w:numPr>
        <w:spacing w:after="0"/>
        <w:ind w:left="284" w:hanging="284"/>
        <w:jc w:val="both"/>
        <w:rPr>
          <w:rFonts w:ascii="Arial Narrow" w:hAnsi="Arial Narrow"/>
          <w:sz w:val="24"/>
          <w:szCs w:val="24"/>
        </w:rPr>
      </w:pPr>
      <w:r w:rsidRPr="0028244C">
        <w:rPr>
          <w:rFonts w:ascii="Arial Narrow" w:hAnsi="Arial Narrow"/>
          <w:sz w:val="24"/>
          <w:szCs w:val="24"/>
        </w:rPr>
        <w:t>Zařízení bude odevzdáno v sídle kupujícího</w:t>
      </w:r>
      <w:r w:rsidR="00C8432C" w:rsidRPr="0028244C">
        <w:rPr>
          <w:rFonts w:ascii="Arial Narrow" w:hAnsi="Arial Narrow"/>
          <w:sz w:val="24"/>
          <w:szCs w:val="24"/>
        </w:rPr>
        <w:t xml:space="preserve"> v pavilonu </w:t>
      </w:r>
      <w:r w:rsidR="00A1131F">
        <w:rPr>
          <w:rFonts w:ascii="Arial Narrow" w:hAnsi="Arial Narrow"/>
          <w:sz w:val="24"/>
          <w:szCs w:val="24"/>
        </w:rPr>
        <w:t>CH – Centrální operační sály</w:t>
      </w:r>
      <w:r w:rsidRPr="0028244C">
        <w:rPr>
          <w:rFonts w:ascii="Arial Narrow" w:hAnsi="Arial Narrow"/>
          <w:sz w:val="24"/>
          <w:szCs w:val="24"/>
        </w:rPr>
        <w:t>.</w:t>
      </w:r>
    </w:p>
    <w:p w14:paraId="0FA09215"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1E10EC40" w14:textId="0F0DBB8E" w:rsidR="00482E9F" w:rsidRDefault="00482E9F" w:rsidP="008A4097">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ly této smlouvy určen</w:t>
      </w:r>
      <w:r w:rsidR="008A4097">
        <w:rPr>
          <w:rFonts w:ascii="Arial Narrow" w:hAnsi="Arial Narrow"/>
          <w:sz w:val="24"/>
          <w:szCs w:val="24"/>
        </w:rPr>
        <w:t>a</w:t>
      </w:r>
      <w:r w:rsidR="00A773F4">
        <w:rPr>
          <w:rFonts w:ascii="Arial Narrow" w:hAnsi="Arial Narrow"/>
          <w:sz w:val="24"/>
          <w:szCs w:val="24"/>
        </w:rPr>
        <w:t xml:space="preserve"> </w:t>
      </w:r>
    </w:p>
    <w:p w14:paraId="0A4404B5" w14:textId="0BE475C2" w:rsidR="00482E9F" w:rsidRDefault="00482E9F" w:rsidP="00E70811">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prodávajícího je pro účely</w:t>
      </w:r>
      <w:r>
        <w:rPr>
          <w:rFonts w:ascii="Arial Narrow" w:hAnsi="Arial Narrow"/>
          <w:sz w:val="24"/>
          <w:szCs w:val="24"/>
        </w:rPr>
        <w:t xml:space="preserve"> této smlouvy určen </w:t>
      </w:r>
      <w:bookmarkStart w:id="0" w:name="_GoBack"/>
      <w:bookmarkEnd w:id="0"/>
    </w:p>
    <w:p w14:paraId="6E7542BB"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238DFBD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w:t>
      </w:r>
      <w:r w:rsidRPr="005F081E">
        <w:rPr>
          <w:rFonts w:ascii="Arial Narrow" w:hAnsi="Arial Narrow"/>
          <w:sz w:val="24"/>
          <w:szCs w:val="24"/>
        </w:rPr>
        <w:lastRenderedPageBreak/>
        <w:t xml:space="preserve">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190437E9"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51E1AB54"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59768C82"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33F92CA5"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sidR="00B223CE">
        <w:rPr>
          <w:rFonts w:ascii="Arial Narrow" w:hAnsi="Arial Narrow"/>
          <w:sz w:val="24"/>
          <w:szCs w:val="24"/>
        </w:rPr>
        <w:t>.</w:t>
      </w:r>
    </w:p>
    <w:p w14:paraId="7932927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2A38A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02CCFD1F"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0D17518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52A0460C"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69AC1131"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091C635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1CA31B"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62A9FEC0"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E9EF194"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720A118" w14:textId="77777777" w:rsidR="009240B7" w:rsidRDefault="009240B7" w:rsidP="008171A9">
      <w:pPr>
        <w:spacing w:after="0"/>
        <w:ind w:left="284"/>
        <w:jc w:val="both"/>
        <w:rPr>
          <w:rFonts w:ascii="Arial Narrow" w:hAnsi="Arial Narrow"/>
          <w:sz w:val="24"/>
          <w:szCs w:val="24"/>
        </w:rPr>
      </w:pPr>
    </w:p>
    <w:p w14:paraId="71EACC4F" w14:textId="7688FBDA" w:rsidR="00AB1392" w:rsidRDefault="009240B7" w:rsidP="008171A9">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8171A9">
        <w:rPr>
          <w:rFonts w:ascii="Arial Narrow" w:hAnsi="Arial Narrow"/>
          <w:b/>
          <w:sz w:val="24"/>
          <w:szCs w:val="24"/>
        </w:rPr>
        <w:t xml:space="preserve">Poddodavatelé </w:t>
      </w:r>
      <w:bookmarkEnd w:id="1"/>
      <w:bookmarkEnd w:id="2"/>
      <w:r w:rsidR="008369B1">
        <w:rPr>
          <w:rFonts w:ascii="Arial Narrow" w:hAnsi="Arial Narrow"/>
          <w:b/>
          <w:sz w:val="24"/>
          <w:szCs w:val="24"/>
        </w:rPr>
        <w:t>prodávajícího</w:t>
      </w:r>
    </w:p>
    <w:p w14:paraId="69D109EE" w14:textId="77777777" w:rsidR="009240B7" w:rsidRPr="008171A9" w:rsidRDefault="009240B7" w:rsidP="008171A9">
      <w:pPr>
        <w:spacing w:after="0"/>
        <w:ind w:left="284"/>
        <w:rPr>
          <w:rFonts w:ascii="Arial Narrow" w:hAnsi="Arial Narrow"/>
          <w:sz w:val="24"/>
          <w:szCs w:val="24"/>
        </w:rPr>
      </w:pPr>
    </w:p>
    <w:p w14:paraId="57ACE6E9" w14:textId="6B7E9FC2" w:rsidR="00AB1392" w:rsidRPr="008171A9" w:rsidRDefault="009240B7" w:rsidP="008171A9">
      <w:pPr>
        <w:numPr>
          <w:ilvl w:val="0"/>
          <w:numId w:val="17"/>
        </w:numPr>
        <w:spacing w:after="0"/>
        <w:ind w:left="284" w:hanging="284"/>
        <w:jc w:val="both"/>
        <w:rPr>
          <w:rFonts w:ascii="Arial Narrow" w:hAnsi="Arial Narrow"/>
          <w:sz w:val="24"/>
          <w:szCs w:val="24"/>
        </w:rPr>
      </w:pPr>
      <w:bookmarkStart w:id="3" w:name="_Ref336248913"/>
      <w:r>
        <w:rPr>
          <w:rFonts w:ascii="Arial Narrow" w:hAnsi="Arial Narrow"/>
          <w:sz w:val="24"/>
          <w:szCs w:val="24"/>
        </w:rPr>
        <w:t xml:space="preserve">Prodávající </w:t>
      </w:r>
      <w:r w:rsidR="00AB1392" w:rsidRPr="008171A9">
        <w:rPr>
          <w:rFonts w:ascii="Arial Narrow" w:hAnsi="Arial Narrow"/>
          <w:sz w:val="24"/>
          <w:szCs w:val="24"/>
        </w:rPr>
        <w:t xml:space="preserve">se zavazuje při poskytování </w:t>
      </w:r>
      <w:r w:rsidR="008369B1">
        <w:rPr>
          <w:rFonts w:ascii="Arial Narrow" w:hAnsi="Arial Narrow"/>
          <w:sz w:val="24"/>
          <w:szCs w:val="24"/>
        </w:rPr>
        <w:t>předmětu plnění</w:t>
      </w:r>
      <w:r w:rsidR="00AB1392" w:rsidRPr="008171A9">
        <w:rPr>
          <w:rFonts w:ascii="Arial Narrow" w:hAnsi="Arial Narrow"/>
          <w:sz w:val="24"/>
          <w:szCs w:val="24"/>
        </w:rPr>
        <w:t xml:space="preserve"> využít výhradně poddodavatele, kteří jsou uvedeni v příloze č. 3 této </w:t>
      </w:r>
      <w:r w:rsidR="008369B1">
        <w:rPr>
          <w:rFonts w:ascii="Arial Narrow" w:hAnsi="Arial Narrow"/>
          <w:sz w:val="24"/>
          <w:szCs w:val="24"/>
        </w:rPr>
        <w:t>smlouvy</w:t>
      </w:r>
      <w:r w:rsidR="00AB1392" w:rsidRPr="008171A9">
        <w:rPr>
          <w:rFonts w:ascii="Arial Narrow" w:hAnsi="Arial Narrow"/>
          <w:sz w:val="24"/>
          <w:szCs w:val="24"/>
        </w:rPr>
        <w:t xml:space="preserve">. Poddodavatelé jsou povinni plnit ty části plnění, které specifikuje příloha č. 3 </w:t>
      </w:r>
      <w:r w:rsidR="008369B1">
        <w:rPr>
          <w:rFonts w:ascii="Arial Narrow" w:hAnsi="Arial Narrow"/>
          <w:sz w:val="24"/>
          <w:szCs w:val="24"/>
        </w:rPr>
        <w:t>smlouvy</w:t>
      </w:r>
      <w:r w:rsidR="00AB1392" w:rsidRPr="008171A9">
        <w:rPr>
          <w:rFonts w:ascii="Arial Narrow" w:hAnsi="Arial Narrow"/>
          <w:sz w:val="24"/>
          <w:szCs w:val="24"/>
        </w:rPr>
        <w:t xml:space="preserve">, a to plně v souladu s podmínkami této </w:t>
      </w:r>
      <w:r w:rsidR="008369B1">
        <w:rPr>
          <w:rFonts w:ascii="Arial Narrow" w:hAnsi="Arial Narrow"/>
          <w:sz w:val="24"/>
          <w:szCs w:val="24"/>
        </w:rPr>
        <w:t>smlouvy</w:t>
      </w:r>
      <w:r w:rsidR="00AB1392" w:rsidRPr="008171A9">
        <w:rPr>
          <w:rFonts w:ascii="Arial Narrow" w:hAnsi="Arial Narrow"/>
          <w:sz w:val="24"/>
          <w:szCs w:val="24"/>
        </w:rPr>
        <w:t xml:space="preserve">. </w:t>
      </w:r>
      <w:r w:rsidR="008369B1">
        <w:rPr>
          <w:rFonts w:ascii="Arial Narrow" w:hAnsi="Arial Narrow"/>
          <w:sz w:val="24"/>
          <w:szCs w:val="24"/>
        </w:rPr>
        <w:t>Prodávající</w:t>
      </w:r>
      <w:r w:rsidR="00AB1392" w:rsidRPr="008171A9">
        <w:rPr>
          <w:rFonts w:ascii="Arial Narrow" w:hAnsi="Arial Narrow"/>
          <w:sz w:val="24"/>
          <w:szCs w:val="24"/>
        </w:rPr>
        <w:t xml:space="preserve"> však odpovídá za plnění svých závazků podle této </w:t>
      </w:r>
      <w:r w:rsidR="008369B1">
        <w:rPr>
          <w:rFonts w:ascii="Arial Narrow" w:hAnsi="Arial Narrow"/>
          <w:sz w:val="24"/>
          <w:szCs w:val="24"/>
        </w:rPr>
        <w:t>smlouvy</w:t>
      </w:r>
      <w:r w:rsidR="00AB1392" w:rsidRPr="008171A9">
        <w:rPr>
          <w:rFonts w:ascii="Arial Narrow" w:hAnsi="Arial Narrow"/>
          <w:sz w:val="24"/>
          <w:szCs w:val="24"/>
        </w:rPr>
        <w:t xml:space="preserve"> bez ohledu na to, že k jejímu plnění bude užívat poddodavatele</w:t>
      </w:r>
      <w:bookmarkEnd w:id="3"/>
      <w:r w:rsidR="00AB1392" w:rsidRPr="008171A9">
        <w:rPr>
          <w:rFonts w:ascii="Arial Narrow" w:hAnsi="Arial Narrow"/>
          <w:sz w:val="24"/>
          <w:szCs w:val="24"/>
        </w:rPr>
        <w:t xml:space="preserve">, a to včetně plné odpovědnosti za vznik škody způsobené </w:t>
      </w:r>
      <w:r w:rsidR="008369B1">
        <w:rPr>
          <w:rFonts w:ascii="Arial Narrow" w:hAnsi="Arial Narrow"/>
          <w:sz w:val="24"/>
          <w:szCs w:val="24"/>
        </w:rPr>
        <w:t>p</w:t>
      </w:r>
      <w:r w:rsidR="00AB1392" w:rsidRPr="008171A9">
        <w:rPr>
          <w:rFonts w:ascii="Arial Narrow" w:hAnsi="Arial Narrow"/>
          <w:sz w:val="24"/>
          <w:szCs w:val="24"/>
        </w:rPr>
        <w:t>oddodavateli.</w:t>
      </w:r>
    </w:p>
    <w:p w14:paraId="1F236E5C" w14:textId="299B19D4" w:rsidR="00AB1392" w:rsidRPr="008171A9" w:rsidRDefault="00AB1392" w:rsidP="008171A9">
      <w:pPr>
        <w:numPr>
          <w:ilvl w:val="0"/>
          <w:numId w:val="17"/>
        </w:numPr>
        <w:spacing w:after="0"/>
        <w:ind w:left="284" w:hanging="284"/>
        <w:jc w:val="both"/>
        <w:rPr>
          <w:rFonts w:ascii="Arial Narrow" w:hAnsi="Arial Narrow"/>
          <w:sz w:val="24"/>
          <w:szCs w:val="24"/>
        </w:rPr>
      </w:pPr>
      <w:bookmarkStart w:id="4" w:name="_Ref336248914"/>
      <w:r w:rsidRPr="008171A9">
        <w:rPr>
          <w:rFonts w:ascii="Arial Narrow" w:hAnsi="Arial Narrow"/>
          <w:sz w:val="24"/>
          <w:szCs w:val="24"/>
        </w:rPr>
        <w:t xml:space="preserve">Výměna kteréhokoli z poddodavatelů uvedených v příloze č. 3 této </w:t>
      </w:r>
      <w:r w:rsidR="008369B1">
        <w:rPr>
          <w:rFonts w:ascii="Arial Narrow" w:hAnsi="Arial Narrow"/>
          <w:sz w:val="24"/>
          <w:szCs w:val="24"/>
        </w:rPr>
        <w:t>smlouvy</w:t>
      </w:r>
      <w:r w:rsidRPr="008171A9">
        <w:rPr>
          <w:rFonts w:ascii="Arial Narrow" w:hAnsi="Arial Narrow"/>
          <w:sz w:val="24"/>
          <w:szCs w:val="24"/>
        </w:rPr>
        <w:t xml:space="preserve"> je možná jen s předchozím písemným souhlasem </w:t>
      </w:r>
      <w:r w:rsidR="008369B1">
        <w:rPr>
          <w:rFonts w:ascii="Arial Narrow" w:hAnsi="Arial Narrow"/>
          <w:sz w:val="24"/>
          <w:szCs w:val="24"/>
        </w:rPr>
        <w:t>kupujícího</w:t>
      </w:r>
      <w:r w:rsidRPr="008171A9">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Pr>
          <w:rFonts w:ascii="Arial Narrow" w:hAnsi="Arial Narrow"/>
          <w:sz w:val="24"/>
          <w:szCs w:val="24"/>
        </w:rPr>
        <w:t xml:space="preserve">prodávající </w:t>
      </w:r>
      <w:r w:rsidRPr="008171A9">
        <w:rPr>
          <w:rFonts w:ascii="Arial Narrow" w:hAnsi="Arial Narrow"/>
          <w:sz w:val="24"/>
          <w:szCs w:val="24"/>
        </w:rPr>
        <w:t>prokazoval v Zadávacím řízení kvalifikaci a Poskytovatel neprokáže 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w:t>
      </w:r>
      <w:r w:rsidR="008369B1" w:rsidRPr="008171A9">
        <w:rPr>
          <w:rFonts w:ascii="Arial Narrow" w:hAnsi="Arial Narrow"/>
          <w:sz w:val="24"/>
          <w:szCs w:val="24"/>
        </w:rPr>
        <w:t>dodavatel podal v z</w:t>
      </w:r>
      <w:r w:rsidRPr="008171A9">
        <w:rPr>
          <w:rFonts w:ascii="Arial Narrow" w:hAnsi="Arial Narrow"/>
          <w:sz w:val="24"/>
          <w:szCs w:val="24"/>
        </w:rPr>
        <w:t xml:space="preserve">adávacím řízení </w:t>
      </w:r>
      <w:r w:rsidR="008369B1">
        <w:rPr>
          <w:rFonts w:ascii="Arial Narrow" w:hAnsi="Arial Narrow"/>
          <w:sz w:val="24"/>
          <w:szCs w:val="24"/>
        </w:rPr>
        <w:t xml:space="preserve">na veřejnou zakázku </w:t>
      </w:r>
      <w:r w:rsidRPr="008171A9">
        <w:rPr>
          <w:rFonts w:ascii="Arial Narrow" w:hAnsi="Arial Narrow"/>
          <w:sz w:val="24"/>
          <w:szCs w:val="24"/>
        </w:rPr>
        <w:t xml:space="preserve">vlastní nabídku nebo </w:t>
      </w:r>
      <w:bookmarkEnd w:id="4"/>
      <w:r w:rsidRPr="008171A9">
        <w:rPr>
          <w:rFonts w:ascii="Arial Narrow" w:hAnsi="Arial Narrow"/>
          <w:sz w:val="24"/>
          <w:szCs w:val="24"/>
        </w:rPr>
        <w:t xml:space="preserve">je subjektem, který již poskytoval </w:t>
      </w:r>
      <w:r w:rsidR="008369B1">
        <w:rPr>
          <w:rFonts w:ascii="Arial Narrow" w:hAnsi="Arial Narrow"/>
          <w:sz w:val="24"/>
          <w:szCs w:val="24"/>
        </w:rPr>
        <w:t>kupujícímu</w:t>
      </w:r>
      <w:r w:rsidRPr="008171A9">
        <w:rPr>
          <w:rFonts w:ascii="Arial Narrow" w:hAnsi="Arial Narrow"/>
          <w:sz w:val="24"/>
          <w:szCs w:val="24"/>
        </w:rPr>
        <w:t xml:space="preserve"> služby, na jejíchž základě vznikla </w:t>
      </w:r>
      <w:r w:rsidR="008369B1">
        <w:rPr>
          <w:rFonts w:ascii="Arial Narrow" w:hAnsi="Arial Narrow"/>
          <w:sz w:val="24"/>
          <w:szCs w:val="24"/>
        </w:rPr>
        <w:t>kupujícímu</w:t>
      </w:r>
      <w:r w:rsidRPr="008171A9">
        <w:rPr>
          <w:rFonts w:ascii="Arial Narrow" w:hAnsi="Arial Narrow"/>
          <w:sz w:val="24"/>
          <w:szCs w:val="24"/>
        </w:rPr>
        <w:t xml:space="preserve"> škoda nebo pokud měl </w:t>
      </w:r>
      <w:r w:rsidR="008369B1">
        <w:rPr>
          <w:rFonts w:ascii="Arial Narrow" w:hAnsi="Arial Narrow"/>
          <w:sz w:val="24"/>
          <w:szCs w:val="24"/>
        </w:rPr>
        <w:t>kupující</w:t>
      </w:r>
      <w:r w:rsidRPr="008171A9">
        <w:rPr>
          <w:rFonts w:ascii="Arial Narrow" w:hAnsi="Arial Narrow"/>
          <w:sz w:val="24"/>
          <w:szCs w:val="24"/>
        </w:rPr>
        <w:t xml:space="preserve"> k takto poskytovaným službám námitky související </w:t>
      </w:r>
      <w:r w:rsidRPr="008171A9">
        <w:rPr>
          <w:rFonts w:ascii="Arial Narrow" w:hAnsi="Arial Narrow"/>
          <w:sz w:val="24"/>
          <w:szCs w:val="24"/>
        </w:rPr>
        <w:lastRenderedPageBreak/>
        <w:t xml:space="preserve">s kvalitou, rozsahem či účtováním služeb. </w:t>
      </w:r>
      <w:r w:rsidR="008369B1">
        <w:rPr>
          <w:rFonts w:ascii="Arial Narrow" w:hAnsi="Arial Narrow"/>
          <w:sz w:val="24"/>
          <w:szCs w:val="24"/>
        </w:rPr>
        <w:t>Kupující</w:t>
      </w:r>
      <w:r w:rsidRPr="008171A9">
        <w:rPr>
          <w:rFonts w:ascii="Arial Narrow" w:hAnsi="Arial Narrow"/>
          <w:sz w:val="24"/>
          <w:szCs w:val="24"/>
        </w:rPr>
        <w:t xml:space="preserve"> je také oprávněn požadovat výměnu </w:t>
      </w:r>
      <w:r w:rsidR="008369B1">
        <w:rPr>
          <w:rFonts w:ascii="Arial Narrow" w:hAnsi="Arial Narrow"/>
          <w:sz w:val="24"/>
          <w:szCs w:val="24"/>
        </w:rPr>
        <w:t>pod</w:t>
      </w:r>
      <w:r w:rsidRPr="008171A9">
        <w:rPr>
          <w:rFonts w:ascii="Arial Narrow" w:hAnsi="Arial Narrow"/>
          <w:sz w:val="24"/>
          <w:szCs w:val="24"/>
        </w:rPr>
        <w:t xml:space="preserve">dodavatele, pokud tento prokazatelně přispívá k vadnému poskytování </w:t>
      </w:r>
      <w:r w:rsidR="008369B1">
        <w:rPr>
          <w:rFonts w:ascii="Arial Narrow" w:hAnsi="Arial Narrow"/>
          <w:sz w:val="24"/>
          <w:szCs w:val="24"/>
        </w:rPr>
        <w:t xml:space="preserve">předmětu plnění </w:t>
      </w:r>
      <w:r w:rsidRPr="008171A9">
        <w:rPr>
          <w:rFonts w:ascii="Arial Narrow" w:hAnsi="Arial Narrow"/>
          <w:sz w:val="24"/>
          <w:szCs w:val="24"/>
        </w:rPr>
        <w:t xml:space="preserve">a </w:t>
      </w:r>
      <w:r w:rsidR="008369B1">
        <w:rPr>
          <w:rFonts w:ascii="Arial Narrow" w:hAnsi="Arial Narrow"/>
          <w:sz w:val="24"/>
          <w:szCs w:val="24"/>
        </w:rPr>
        <w:t xml:space="preserve">prodávající </w:t>
      </w:r>
      <w:r w:rsidRPr="008171A9">
        <w:rPr>
          <w:rFonts w:ascii="Arial Narrow" w:hAnsi="Arial Narrow"/>
          <w:sz w:val="24"/>
          <w:szCs w:val="24"/>
        </w:rPr>
        <w:t xml:space="preserve">je povinen této žádosti vyhovět. </w:t>
      </w:r>
    </w:p>
    <w:p w14:paraId="6F8F9241" w14:textId="74F3B904" w:rsidR="00AB1392" w:rsidRPr="008369B1" w:rsidRDefault="00AB1392" w:rsidP="008171A9">
      <w:pPr>
        <w:numPr>
          <w:ilvl w:val="0"/>
          <w:numId w:val="17"/>
        </w:numPr>
        <w:spacing w:after="0"/>
        <w:ind w:left="284" w:hanging="284"/>
        <w:jc w:val="both"/>
        <w:rPr>
          <w:rFonts w:ascii="Arial Narrow" w:hAnsi="Arial Narrow"/>
          <w:sz w:val="24"/>
          <w:szCs w:val="24"/>
        </w:rPr>
      </w:pPr>
      <w:r w:rsidRPr="008171A9">
        <w:rPr>
          <w:rFonts w:ascii="Arial Narrow" w:hAnsi="Arial Narrow"/>
          <w:sz w:val="24"/>
          <w:szCs w:val="24"/>
        </w:rPr>
        <w:t xml:space="preserve">Porušení jakékoli povinnosti dle </w:t>
      </w:r>
      <w:r w:rsidR="008369B1">
        <w:rPr>
          <w:rFonts w:ascii="Arial Narrow" w:hAnsi="Arial Narrow"/>
          <w:sz w:val="24"/>
          <w:szCs w:val="24"/>
        </w:rPr>
        <w:t>tohoto článku</w:t>
      </w:r>
      <w:r w:rsidRPr="008171A9">
        <w:rPr>
          <w:rFonts w:ascii="Arial Narrow" w:hAnsi="Arial Narrow"/>
          <w:sz w:val="24"/>
          <w:szCs w:val="24"/>
        </w:rPr>
        <w:t xml:space="preserve"> </w:t>
      </w:r>
      <w:r w:rsidR="008369B1">
        <w:rPr>
          <w:rFonts w:ascii="Arial Narrow" w:hAnsi="Arial Narrow"/>
          <w:sz w:val="24"/>
          <w:szCs w:val="24"/>
        </w:rPr>
        <w:t>prodávajícím</w:t>
      </w:r>
      <w:r w:rsidRPr="008171A9">
        <w:rPr>
          <w:rFonts w:ascii="Arial Narrow" w:hAnsi="Arial Narrow"/>
          <w:sz w:val="24"/>
          <w:szCs w:val="24"/>
        </w:rPr>
        <w:t xml:space="preserve"> opravňuje </w:t>
      </w:r>
      <w:r w:rsidR="008369B1">
        <w:rPr>
          <w:rFonts w:ascii="Arial Narrow" w:hAnsi="Arial Narrow"/>
          <w:sz w:val="24"/>
          <w:szCs w:val="24"/>
        </w:rPr>
        <w:t>kupujícího</w:t>
      </w:r>
      <w:r w:rsidRPr="008171A9">
        <w:rPr>
          <w:rFonts w:ascii="Arial Narrow" w:hAnsi="Arial Narrow"/>
          <w:sz w:val="24"/>
          <w:szCs w:val="24"/>
        </w:rPr>
        <w:t xml:space="preserve"> k odstoupení od </w:t>
      </w:r>
      <w:r w:rsidR="008369B1">
        <w:rPr>
          <w:rFonts w:ascii="Arial Narrow" w:hAnsi="Arial Narrow"/>
          <w:sz w:val="24"/>
          <w:szCs w:val="24"/>
        </w:rPr>
        <w:t>této smlouvy.</w:t>
      </w:r>
    </w:p>
    <w:p w14:paraId="22A68ED6" w14:textId="77777777" w:rsidR="00482E9F" w:rsidRDefault="00482E9F" w:rsidP="00482E9F">
      <w:pPr>
        <w:spacing w:after="0"/>
        <w:ind w:left="284" w:hanging="284"/>
        <w:jc w:val="both"/>
        <w:rPr>
          <w:rFonts w:ascii="Arial Narrow" w:hAnsi="Arial Narrow"/>
          <w:sz w:val="24"/>
          <w:szCs w:val="24"/>
        </w:rPr>
      </w:pPr>
    </w:p>
    <w:p w14:paraId="6AC279F0"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14:paraId="41CCCFFE" w14:textId="77777777" w:rsidR="00482E9F" w:rsidRDefault="00482E9F" w:rsidP="00482E9F">
      <w:pPr>
        <w:spacing w:after="0"/>
        <w:ind w:left="284" w:hanging="284"/>
        <w:rPr>
          <w:rFonts w:ascii="Arial Narrow" w:hAnsi="Arial Narrow"/>
          <w:b/>
          <w:sz w:val="24"/>
          <w:szCs w:val="24"/>
        </w:rPr>
      </w:pPr>
    </w:p>
    <w:p w14:paraId="69541B03" w14:textId="77777777"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Pr>
          <w:rFonts w:ascii="Arial Narrow" w:hAnsi="Arial Narrow"/>
          <w:sz w:val="24"/>
          <w:szCs w:val="24"/>
        </w:rPr>
        <w:t xml:space="preserve">bez vad a </w:t>
      </w:r>
      <w:r>
        <w:rPr>
          <w:rFonts w:ascii="Arial Narrow" w:hAnsi="Arial Narrow"/>
          <w:sz w:val="24"/>
          <w:szCs w:val="24"/>
        </w:rPr>
        <w:t>způsobilé pro použití k ujednaným, případně jinak obvyklým účelům a zachová si ujednané, případně jinak obvyklé vlastnosti.</w:t>
      </w:r>
    </w:p>
    <w:p w14:paraId="5A9D36D4" w14:textId="4C9C8F7F" w:rsidR="00482E9F" w:rsidRDefault="00482E9F" w:rsidP="00482E9F">
      <w:pPr>
        <w:numPr>
          <w:ilvl w:val="0"/>
          <w:numId w:val="12"/>
        </w:numPr>
        <w:spacing w:after="0"/>
        <w:ind w:left="284" w:hanging="284"/>
        <w:jc w:val="both"/>
        <w:rPr>
          <w:rFonts w:ascii="Arial Narrow" w:hAnsi="Arial Narrow"/>
          <w:sz w:val="24"/>
          <w:szCs w:val="24"/>
        </w:rPr>
      </w:pPr>
      <w:r w:rsidRPr="003931AF">
        <w:rPr>
          <w:rFonts w:ascii="Arial Narrow" w:hAnsi="Arial Narrow"/>
          <w:sz w:val="24"/>
          <w:szCs w:val="24"/>
        </w:rPr>
        <w:t>Záruční doba</w:t>
      </w:r>
      <w:r>
        <w:rPr>
          <w:rFonts w:ascii="Arial Narrow" w:hAnsi="Arial Narrow"/>
          <w:sz w:val="24"/>
          <w:szCs w:val="24"/>
        </w:rPr>
        <w:t xml:space="preserve"> se sjednává v délce </w:t>
      </w:r>
      <w:r w:rsidR="00183792">
        <w:rPr>
          <w:rFonts w:ascii="Arial Narrow" w:hAnsi="Arial Narrow"/>
          <w:sz w:val="24"/>
          <w:szCs w:val="24"/>
        </w:rPr>
        <w:t>24</w:t>
      </w:r>
      <w:r>
        <w:rPr>
          <w:rFonts w:ascii="Arial Narrow" w:hAnsi="Arial Narrow"/>
          <w:sz w:val="24"/>
          <w:szCs w:val="24"/>
        </w:rPr>
        <w:t xml:space="preserve"> měsíců ode dne převzetí zařízení kupujícím.</w:t>
      </w:r>
    </w:p>
    <w:p w14:paraId="5C4D3CB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1A1EAF7E" w14:textId="09D61195" w:rsidR="00D63CA5" w:rsidRPr="00D63CA5" w:rsidRDefault="00482E9F"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záručního servisu 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w:t>
      </w:r>
      <w:r w:rsidR="00B23185">
        <w:rPr>
          <w:rFonts w:ascii="Arial Narrow" w:hAnsi="Arial Narrow"/>
          <w:sz w:val="24"/>
          <w:szCs w:val="24"/>
        </w:rPr>
        <w:t xml:space="preserve"> termínu ji bezplatně</w:t>
      </w:r>
      <w:r w:rsidR="00913D4F">
        <w:rPr>
          <w:rFonts w:ascii="Arial Narrow" w:hAnsi="Arial Narrow"/>
          <w:sz w:val="24"/>
          <w:szCs w:val="24"/>
        </w:rPr>
        <w:t xml:space="preserve"> odstranit nejpozději však do 24</w:t>
      </w:r>
      <w:r w:rsidR="00B23185">
        <w:rPr>
          <w:rFonts w:ascii="Arial Narrow" w:hAnsi="Arial Narrow"/>
          <w:sz w:val="24"/>
          <w:szCs w:val="24"/>
        </w:rPr>
        <w:t xml:space="preserve"> hodin od nahlášení vady. Pokud v důsledku výskytu záruční vady na zařízení, kterou se prodávajícímu nepodař</w:t>
      </w:r>
      <w:r w:rsidR="00913D4F">
        <w:rPr>
          <w:rFonts w:ascii="Arial Narrow" w:hAnsi="Arial Narrow"/>
          <w:sz w:val="24"/>
          <w:szCs w:val="24"/>
        </w:rPr>
        <w:t>í odstranit do stanovené doby 24</w:t>
      </w:r>
      <w:r w:rsidR="00B23185">
        <w:rPr>
          <w:rFonts w:ascii="Arial Narrow" w:hAnsi="Arial Narrow"/>
          <w:sz w:val="24"/>
          <w:szCs w:val="24"/>
        </w:rPr>
        <w:t xml:space="preserve"> hodin od nahlášení vady (např. při nemožnosti zajištění včasné dodávky náhradních dílů), nebude moci zařízení nadále užívat, zavazuje se prodávající na výzvu kupujícího poskytnout </w:t>
      </w:r>
      <w:r w:rsidR="0077581C">
        <w:rPr>
          <w:rFonts w:ascii="Arial Narrow" w:hAnsi="Arial Narrow"/>
          <w:sz w:val="24"/>
          <w:szCs w:val="24"/>
        </w:rPr>
        <w:t xml:space="preserve">popř. zajistit poskytnutí </w:t>
      </w:r>
      <w:r w:rsidR="00B23185">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a to nejpozději druhý den po doručení výzvy kupujícího, přičemž v takovém případě veškeré náklady související s poskytnutím i vrácením náhradního zařízení ponese prodávající.</w:t>
      </w:r>
    </w:p>
    <w:p w14:paraId="263F300B"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6122E378"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127D6BC2"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lastRenderedPageBreak/>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709B99EF" w14:textId="77777777" w:rsidR="00482E9F" w:rsidRDefault="00482E9F" w:rsidP="00482E9F">
      <w:pPr>
        <w:spacing w:after="0"/>
        <w:ind w:left="426"/>
        <w:rPr>
          <w:rFonts w:ascii="Arial Narrow" w:hAnsi="Arial Narrow"/>
          <w:b/>
          <w:sz w:val="24"/>
          <w:szCs w:val="24"/>
        </w:rPr>
      </w:pPr>
    </w:p>
    <w:p w14:paraId="1C6D6953" w14:textId="77777777" w:rsidR="00305194" w:rsidRPr="005F081E" w:rsidRDefault="00305194" w:rsidP="00482E9F">
      <w:pPr>
        <w:spacing w:after="0"/>
        <w:ind w:left="426"/>
        <w:rPr>
          <w:rFonts w:ascii="Arial Narrow" w:hAnsi="Arial Narrow"/>
          <w:b/>
          <w:sz w:val="24"/>
          <w:szCs w:val="24"/>
        </w:rPr>
      </w:pPr>
    </w:p>
    <w:p w14:paraId="2C6E669A"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14:paraId="2262E66F" w14:textId="77777777" w:rsidR="00482E9F" w:rsidRPr="005F081E" w:rsidRDefault="00482E9F" w:rsidP="00482E9F">
      <w:pPr>
        <w:spacing w:after="0"/>
        <w:ind w:left="426"/>
        <w:rPr>
          <w:rFonts w:ascii="Arial Narrow" w:hAnsi="Arial Narrow"/>
          <w:b/>
          <w:sz w:val="24"/>
          <w:szCs w:val="24"/>
        </w:rPr>
      </w:pPr>
    </w:p>
    <w:p w14:paraId="472EE48D"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1D86E4B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B01F8B5"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75AF0D9E"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EB3851">
        <w:rPr>
          <w:rFonts w:ascii="Arial Narrow" w:hAnsi="Arial Narrow"/>
          <w:sz w:val="24"/>
          <w:szCs w:val="24"/>
        </w:rPr>
        <w:t>3</w:t>
      </w:r>
      <w:r>
        <w:rPr>
          <w:rFonts w:ascii="Arial Narrow" w:hAnsi="Arial Narrow"/>
          <w:sz w:val="24"/>
          <w:szCs w:val="24"/>
        </w:rPr>
        <w:t xml:space="preserve">0 kalendářních dnů; </w:t>
      </w:r>
    </w:p>
    <w:p w14:paraId="57AA6CBE"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56625110" w14:textId="77777777" w:rsidR="00516B25"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p>
    <w:p w14:paraId="401AA916" w14:textId="4312F1B5" w:rsidR="00482E9F" w:rsidRPr="008171A9" w:rsidRDefault="00516B25">
      <w:pPr>
        <w:numPr>
          <w:ilvl w:val="0"/>
          <w:numId w:val="7"/>
        </w:numPr>
        <w:spacing w:after="0"/>
        <w:ind w:left="709" w:hanging="283"/>
        <w:jc w:val="both"/>
        <w:rPr>
          <w:rFonts w:ascii="Calibri" w:hAnsi="Calibri" w:cs="Calibri"/>
          <w:color w:val="1F497D"/>
        </w:rPr>
      </w:pPr>
      <w:r>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Pr>
          <w:rFonts w:ascii="Calibri" w:hAnsi="Calibri" w:cs="Calibri"/>
          <w:color w:val="1F497D"/>
        </w:rPr>
        <w:t xml:space="preserve"> </w:t>
      </w:r>
      <w:r w:rsidR="00482E9F" w:rsidRPr="00516B25">
        <w:rPr>
          <w:rFonts w:ascii="Arial Narrow" w:hAnsi="Arial Narrow"/>
          <w:sz w:val="24"/>
          <w:szCs w:val="24"/>
        </w:rPr>
        <w:t>nebo</w:t>
      </w:r>
    </w:p>
    <w:p w14:paraId="59D598B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724FA71F"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74CB54E2" w14:textId="77777777" w:rsidR="00482E9F" w:rsidRPr="00305194" w:rsidRDefault="00482E9F"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37844F6C" w14:textId="77777777" w:rsidR="00482E9F" w:rsidRDefault="00482E9F" w:rsidP="00482E9F">
      <w:pPr>
        <w:spacing w:after="0"/>
        <w:rPr>
          <w:rFonts w:ascii="Arial Narrow" w:hAnsi="Arial Narrow"/>
          <w:b/>
          <w:sz w:val="24"/>
          <w:szCs w:val="24"/>
        </w:rPr>
      </w:pPr>
    </w:p>
    <w:p w14:paraId="696FD416" w14:textId="77777777" w:rsidR="00A1131F" w:rsidRDefault="00A1131F" w:rsidP="00482E9F">
      <w:pPr>
        <w:spacing w:after="0"/>
        <w:rPr>
          <w:rFonts w:ascii="Arial Narrow" w:hAnsi="Arial Narrow"/>
          <w:b/>
          <w:sz w:val="24"/>
          <w:szCs w:val="24"/>
        </w:rPr>
      </w:pPr>
    </w:p>
    <w:p w14:paraId="02285033" w14:textId="77777777" w:rsidR="00A1131F" w:rsidRDefault="00A1131F" w:rsidP="00482E9F">
      <w:pPr>
        <w:spacing w:after="0"/>
        <w:rPr>
          <w:rFonts w:ascii="Arial Narrow" w:hAnsi="Arial Narrow"/>
          <w:b/>
          <w:sz w:val="24"/>
          <w:szCs w:val="24"/>
        </w:rPr>
      </w:pPr>
    </w:p>
    <w:p w14:paraId="69E7BCAC"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14:paraId="7A3DF589" w14:textId="77777777" w:rsidR="00482E9F" w:rsidRPr="005F081E" w:rsidRDefault="00482E9F" w:rsidP="00482E9F">
      <w:pPr>
        <w:spacing w:after="0"/>
        <w:rPr>
          <w:rFonts w:ascii="Arial Narrow" w:hAnsi="Arial Narrow"/>
          <w:b/>
          <w:sz w:val="24"/>
          <w:szCs w:val="24"/>
        </w:rPr>
      </w:pPr>
    </w:p>
    <w:p w14:paraId="36018DEB"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74AE41AA"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lastRenderedPageBreak/>
        <w:t>Prodávající uhradí kupujícímu náklady vzniklé při uplatňování práv z odpovědnosti za vady.</w:t>
      </w:r>
    </w:p>
    <w:p w14:paraId="7FAF19C7" w14:textId="39D2C168" w:rsidR="00C30E9E" w:rsidRPr="00C30E9E" w:rsidRDefault="00482E9F" w:rsidP="00C30E9E">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3A119436" w14:textId="51C98E32" w:rsidR="00C30E9E" w:rsidRPr="00D35837" w:rsidRDefault="00C30E9E" w:rsidP="00C30E9E">
      <w:pPr>
        <w:numPr>
          <w:ilvl w:val="0"/>
          <w:numId w:val="10"/>
        </w:numPr>
        <w:tabs>
          <w:tab w:val="left" w:pos="0"/>
        </w:tabs>
        <w:spacing w:after="0"/>
        <w:ind w:left="420" w:hanging="420"/>
        <w:jc w:val="both"/>
        <w:rPr>
          <w:rFonts w:ascii="Arial Narrow" w:hAnsi="Arial Narrow"/>
          <w:sz w:val="24"/>
          <w:szCs w:val="24"/>
        </w:rPr>
      </w:pPr>
      <w:r>
        <w:rPr>
          <w:rFonts w:ascii="Arial Narrow" w:hAnsi="Arial Narrow"/>
          <w:sz w:val="24"/>
          <w:szCs w:val="24"/>
        </w:rPr>
        <w:t xml:space="preserve">Prodávající </w:t>
      </w:r>
      <w:r w:rsidRPr="00CD55E9">
        <w:rPr>
          <w:rFonts w:ascii="Arial Narrow" w:hAnsi="Arial Narrow"/>
          <w:sz w:val="24"/>
          <w:szCs w:val="24"/>
        </w:rPr>
        <w:t xml:space="preserve">se zavazuje uzavřít </w:t>
      </w:r>
      <w:r w:rsidRPr="00CC6498">
        <w:rPr>
          <w:rFonts w:ascii="Arial Narrow" w:hAnsi="Arial Narrow"/>
          <w:sz w:val="24"/>
          <w:szCs w:val="24"/>
        </w:rPr>
        <w:t xml:space="preserve">pojištění odpovědnosti za škodu způsobenou prodávajícím </w:t>
      </w:r>
      <w:r>
        <w:rPr>
          <w:rFonts w:ascii="Arial Narrow" w:hAnsi="Arial Narrow"/>
          <w:sz w:val="24"/>
          <w:szCs w:val="24"/>
        </w:rPr>
        <w:t>třetí osobě ve výši minimálně 5</w:t>
      </w:r>
      <w:r w:rsidRPr="00CC6498">
        <w:rPr>
          <w:rFonts w:ascii="Arial Narrow" w:hAnsi="Arial Narrow"/>
          <w:sz w:val="24"/>
          <w:szCs w:val="24"/>
        </w:rPr>
        <w:t xml:space="preserve"> mil. Kč</w:t>
      </w:r>
      <w:r>
        <w:rPr>
          <w:rFonts w:ascii="Arial Narrow" w:hAnsi="Arial Narrow"/>
          <w:sz w:val="24"/>
          <w:szCs w:val="24"/>
        </w:rPr>
        <w:t xml:space="preserve"> </w:t>
      </w:r>
      <w:r w:rsidRPr="00560806">
        <w:rPr>
          <w:rFonts w:ascii="Arial Narrow" w:hAnsi="Arial Narrow"/>
          <w:sz w:val="24"/>
          <w:szCs w:val="24"/>
        </w:rPr>
        <w:t>se spoluúčastí prodávajícího nejvýše 150 tis. Kč</w:t>
      </w:r>
      <w:r>
        <w:rPr>
          <w:rFonts w:ascii="Arial Narrow" w:hAnsi="Arial Narrow"/>
          <w:sz w:val="24"/>
          <w:szCs w:val="24"/>
        </w:rPr>
        <w:t>,</w:t>
      </w:r>
      <w:r w:rsidRPr="00CC6498">
        <w:rPr>
          <w:rFonts w:ascii="Arial Narrow" w:hAnsi="Arial Narrow"/>
          <w:sz w:val="24"/>
          <w:szCs w:val="24"/>
        </w:rPr>
        <w:t xml:space="preserve"> a to</w:t>
      </w:r>
      <w:r w:rsidRPr="00CD55E9">
        <w:rPr>
          <w:rFonts w:ascii="Arial Narrow" w:hAnsi="Arial Narrow"/>
          <w:sz w:val="24"/>
          <w:szCs w:val="24"/>
        </w:rPr>
        <w:t xml:space="preserve"> v případě, že pojištění v požadovaném rozsahu a výši již sjednáno nemá. Prodávající se zavazuje předložit před podpisem smlouvy doklad o uzavření pojištění kupujícímu.</w:t>
      </w:r>
      <w:r>
        <w:rPr>
          <w:rFonts w:ascii="Arial Narrow" w:hAnsi="Arial Narrow"/>
          <w:sz w:val="24"/>
          <w:szCs w:val="24"/>
        </w:rPr>
        <w:t xml:space="preserve"> </w:t>
      </w:r>
      <w:r w:rsidRPr="00AB1392">
        <w:rPr>
          <w:rFonts w:ascii="Arial Narrow" w:hAnsi="Arial Narrow"/>
          <w:sz w:val="24"/>
          <w:szCs w:val="24"/>
        </w:rPr>
        <w:t xml:space="preserve">Pojistná smlouva musí být platná po celou dobu </w:t>
      </w:r>
      <w:r>
        <w:rPr>
          <w:rFonts w:ascii="Arial Narrow" w:hAnsi="Arial Narrow"/>
          <w:sz w:val="24"/>
          <w:szCs w:val="24"/>
        </w:rPr>
        <w:t>trvání této smlouvy.</w:t>
      </w:r>
    </w:p>
    <w:p w14:paraId="3644D1AD" w14:textId="77777777" w:rsidR="00FD6F3F" w:rsidRDefault="00FD6F3F" w:rsidP="00482E9F">
      <w:pPr>
        <w:spacing w:after="0"/>
        <w:rPr>
          <w:rFonts w:ascii="Arial Narrow" w:hAnsi="Arial Narrow"/>
          <w:sz w:val="24"/>
          <w:szCs w:val="24"/>
        </w:rPr>
      </w:pPr>
    </w:p>
    <w:p w14:paraId="009AB6DF" w14:textId="77777777" w:rsidR="00482E9F" w:rsidRDefault="00482E9F" w:rsidP="00482E9F">
      <w:pPr>
        <w:spacing w:after="0"/>
        <w:rPr>
          <w:rFonts w:ascii="Arial Narrow" w:hAnsi="Arial Narrow"/>
          <w:sz w:val="24"/>
          <w:szCs w:val="24"/>
        </w:rPr>
      </w:pPr>
    </w:p>
    <w:p w14:paraId="4A664568" w14:textId="77777777" w:rsidR="00482E9F"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14:paraId="508180B0" w14:textId="77777777" w:rsidR="00482E9F" w:rsidRPr="005F081E" w:rsidRDefault="00482E9F" w:rsidP="00482E9F">
      <w:pPr>
        <w:spacing w:after="0"/>
        <w:ind w:left="1004"/>
        <w:rPr>
          <w:rFonts w:ascii="Arial Narrow" w:hAnsi="Arial Narrow"/>
          <w:b/>
          <w:sz w:val="24"/>
          <w:szCs w:val="24"/>
        </w:rPr>
      </w:pPr>
    </w:p>
    <w:p w14:paraId="1332CBD6"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1EC299CD" w14:textId="5ABEFA29"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w:t>
      </w:r>
      <w:r w:rsidR="00516B25">
        <w:rPr>
          <w:rFonts w:ascii="Arial Narrow" w:hAnsi="Arial Narrow"/>
          <w:sz w:val="24"/>
          <w:szCs w:val="24"/>
        </w:rPr>
        <w:t>I.</w:t>
      </w:r>
      <w:r>
        <w:rPr>
          <w:rFonts w:ascii="Arial Narrow" w:hAnsi="Arial Narrow"/>
          <w:sz w:val="24"/>
          <w:szCs w:val="24"/>
        </w:rPr>
        <w:t xml:space="preserve"> odst. 4 této smlouvy, zaplatí kupujícímu smluvní pokutu ve výši 0,5% kupní ceny včetně DPH uvedené v čl. II této smlouvy za každých započatých 24 hodin prodlení. </w:t>
      </w:r>
    </w:p>
    <w:p w14:paraId="2A9304C5" w14:textId="144AFEE4"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Pokud nebude závada odstraněna do doby dle č. V</w:t>
      </w:r>
      <w:r w:rsidR="00516B25">
        <w:rPr>
          <w:rFonts w:ascii="Arial Narrow" w:hAnsi="Arial Narrow"/>
          <w:sz w:val="24"/>
          <w:szCs w:val="24"/>
        </w:rPr>
        <w:t>I</w:t>
      </w:r>
      <w:r>
        <w:rPr>
          <w:rFonts w:ascii="Arial Narrow" w:hAnsi="Arial Narrow"/>
          <w:sz w:val="24"/>
          <w:szCs w:val="24"/>
        </w:rPr>
        <w:t>I</w:t>
      </w:r>
      <w:r w:rsidR="00516B25">
        <w:rPr>
          <w:rFonts w:ascii="Arial Narrow" w:hAnsi="Arial Narrow"/>
          <w:sz w:val="24"/>
          <w:szCs w:val="24"/>
        </w:rPr>
        <w:t>.</w:t>
      </w:r>
      <w:r>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0,5% kupní ceny zařízení včetně DPH uvedené v čl. II této smlouvy za každých započatých 24 hodin, o kterou doba trvání opravy překročí dobu uvedenou v čl. VI</w:t>
      </w:r>
      <w:r w:rsidR="00516B25">
        <w:rPr>
          <w:rFonts w:ascii="Arial Narrow" w:hAnsi="Arial Narrow"/>
          <w:sz w:val="24"/>
          <w:szCs w:val="24"/>
        </w:rPr>
        <w:t>I</w:t>
      </w:r>
      <w:r>
        <w:rPr>
          <w:rFonts w:ascii="Arial Narrow" w:hAnsi="Arial Narrow"/>
          <w:sz w:val="24"/>
          <w:szCs w:val="24"/>
        </w:rPr>
        <w:t xml:space="preserve">. odst. 4 této smlouvy. </w:t>
      </w:r>
    </w:p>
    <w:p w14:paraId="652AD55A"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3747CB17"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celková kupní cena včetně DPH.</w:t>
      </w:r>
    </w:p>
    <w:p w14:paraId="584712B0"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dnů ode dne doručení výzvy k jejímu zaplacení.</w:t>
      </w:r>
      <w:r w:rsidR="00C26B93">
        <w:rPr>
          <w:rFonts w:ascii="Arial Narrow" w:hAnsi="Arial Narrow"/>
          <w:sz w:val="24"/>
          <w:szCs w:val="24"/>
        </w:rPr>
        <w:t xml:space="preserve"> </w:t>
      </w:r>
      <w:r w:rsidR="00C26B93" w:rsidRPr="004A4EAF">
        <w:rPr>
          <w:rFonts w:ascii="Arial Narrow" w:hAnsi="Arial Narrow"/>
          <w:sz w:val="24"/>
          <w:szCs w:val="24"/>
        </w:rPr>
        <w:t>V případě nepřevzetí výzvy k zaplacení smluvní pokuty se za doručení považuje 3. den po předání listiny s výzvou k zaplacení k poštovní přepravě.</w:t>
      </w:r>
      <w:r w:rsidRPr="00E1335F">
        <w:rPr>
          <w:rFonts w:ascii="Arial Narrow" w:hAnsi="Arial Narrow"/>
          <w:sz w:val="24"/>
          <w:szCs w:val="24"/>
        </w:rPr>
        <w:t xml:space="preserve">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2323D689" w14:textId="77777777" w:rsidR="006F5FB0" w:rsidRDefault="006F5FB0" w:rsidP="00482E9F">
      <w:pPr>
        <w:spacing w:after="0"/>
        <w:rPr>
          <w:rFonts w:ascii="Arial Narrow" w:hAnsi="Arial Narrow"/>
          <w:sz w:val="24"/>
          <w:szCs w:val="24"/>
        </w:rPr>
      </w:pPr>
    </w:p>
    <w:p w14:paraId="00AF9E34"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6C54D7DA" w14:textId="77777777" w:rsidR="00482E9F" w:rsidRPr="00E5748A" w:rsidRDefault="00482E9F" w:rsidP="00482E9F">
      <w:pPr>
        <w:spacing w:after="0"/>
        <w:rPr>
          <w:lang w:eastAsia="x-none"/>
        </w:rPr>
      </w:pPr>
    </w:p>
    <w:p w14:paraId="0DE9B16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5948388D"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643D3B2" w14:textId="77777777" w:rsidR="00CC6498" w:rsidRPr="00286643" w:rsidRDefault="00CC6498" w:rsidP="00CC6498">
      <w:pPr>
        <w:pStyle w:val="Smlouva-slo"/>
        <w:widowControl w:val="0"/>
        <w:numPr>
          <w:ilvl w:val="0"/>
          <w:numId w:val="9"/>
        </w:numPr>
        <w:tabs>
          <w:tab w:val="left" w:pos="426"/>
        </w:tabs>
        <w:spacing w:before="0" w:line="276" w:lineRule="auto"/>
        <w:ind w:left="426" w:hanging="426"/>
        <w:rPr>
          <w:rFonts w:ascii="Arial Narrow" w:hAnsi="Arial Narrow"/>
        </w:rPr>
      </w:pPr>
      <w:r w:rsidRPr="00286643">
        <w:rPr>
          <w:rFonts w:ascii="Arial Narrow" w:hAnsi="Arial Narrow"/>
        </w:rPr>
        <w:t xml:space="preserve">Prodávající je povinen archivovat originální vyhotovení smlouvy, její dodatky, originály účetních dokladů a dalších dokladů vztahujících se k realizaci předmětu této smlouvy po dobu 10 let od zániku závazku vyplývajícího ze smlouvy, minimálně však do konce roku 2028. Po tuto dobu je prodávající povinen poskytovat požadované informace a dokumentaci související s realizací předmětu této smlouvy zaměstnancům nebo zmocněncům pověřených orgánů (CRR, MMR ČR, </w:t>
      </w:r>
      <w:r w:rsidRPr="00286643">
        <w:rPr>
          <w:rFonts w:ascii="Arial Narrow" w:hAnsi="Arial Narrow"/>
        </w:rPr>
        <w:lastRenderedPageBreak/>
        <w:t>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a poskytnout jim při provádění kontroly součinnost.</w:t>
      </w:r>
    </w:p>
    <w:p w14:paraId="5A0B5214" w14:textId="77777777" w:rsidR="00482E9F" w:rsidRPr="00E23D24" w:rsidRDefault="00482E9F" w:rsidP="00E23D24">
      <w:pPr>
        <w:pStyle w:val="Smlouva-slo"/>
        <w:widowControl w:val="0"/>
        <w:numPr>
          <w:ilvl w:val="0"/>
          <w:numId w:val="9"/>
        </w:numPr>
        <w:tabs>
          <w:tab w:val="left" w:pos="426"/>
        </w:tabs>
        <w:spacing w:before="0" w:line="276" w:lineRule="auto"/>
        <w:ind w:left="426" w:hanging="426"/>
        <w:rPr>
          <w:rFonts w:ascii="Arial Narrow" w:hAnsi="Arial Narrow"/>
        </w:rPr>
      </w:pPr>
      <w:r w:rsidRPr="00E23D24">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0B109F76"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17C2233F"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0DCEF644"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57CA420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0553F0A5"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6F250718" w14:textId="1969AB75" w:rsidR="00FD6F3F" w:rsidRPr="00A1131F" w:rsidRDefault="00482E9F" w:rsidP="00FD6F3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7A8E0AE4" w14:textId="77777777" w:rsidR="00FD6F3F" w:rsidRPr="005F081E" w:rsidRDefault="00FD6F3F" w:rsidP="00FD6F3F">
      <w:pPr>
        <w:pStyle w:val="Smlouva-slo"/>
        <w:widowControl w:val="0"/>
        <w:tabs>
          <w:tab w:val="left" w:pos="0"/>
        </w:tabs>
        <w:spacing w:before="0" w:line="276" w:lineRule="auto"/>
        <w:rPr>
          <w:rFonts w:ascii="Arial Narrow" w:hAnsi="Arial Narrow"/>
        </w:rPr>
      </w:pPr>
    </w:p>
    <w:p w14:paraId="3E25D618" w14:textId="77777777" w:rsidR="00EB46DE" w:rsidRPr="00EB46DE" w:rsidRDefault="00482E9F" w:rsidP="00EB46DE">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 xml:space="preserve">Nedílnou součástí této smlouvy </w:t>
      </w:r>
      <w:r w:rsidR="002D5494">
        <w:rPr>
          <w:rFonts w:ascii="Arial Narrow" w:hAnsi="Arial Narrow"/>
        </w:rPr>
        <w:t>je příloha</w:t>
      </w:r>
    </w:p>
    <w:p w14:paraId="4C93298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44AC8A2A"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lastRenderedPageBreak/>
        <w:t>Příloha č. 1 – Položkový rozpočet</w:t>
      </w:r>
    </w:p>
    <w:p w14:paraId="2A3D459A" w14:textId="77777777"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EB46DE">
        <w:rPr>
          <w:rFonts w:ascii="Arial Narrow" w:hAnsi="Arial Narrow"/>
        </w:rPr>
        <w:t>2</w:t>
      </w:r>
      <w:r w:rsidR="002D5494">
        <w:rPr>
          <w:rFonts w:ascii="Arial Narrow" w:hAnsi="Arial Narrow"/>
        </w:rPr>
        <w:t xml:space="preserve"> – </w:t>
      </w:r>
      <w:r w:rsidR="008F6A5A">
        <w:rPr>
          <w:rFonts w:ascii="Arial Narrow" w:hAnsi="Arial Narrow"/>
        </w:rPr>
        <w:t xml:space="preserve">Specifikace </w:t>
      </w:r>
      <w:r w:rsidR="002D5494">
        <w:rPr>
          <w:rFonts w:ascii="Arial Narrow" w:hAnsi="Arial Narrow"/>
        </w:rPr>
        <w:t>polož</w:t>
      </w:r>
      <w:r w:rsidR="008F6A5A">
        <w:rPr>
          <w:rFonts w:ascii="Arial Narrow" w:hAnsi="Arial Narrow"/>
        </w:rPr>
        <w:t>e</w:t>
      </w:r>
      <w:r w:rsidR="002D5494">
        <w:rPr>
          <w:rFonts w:ascii="Arial Narrow" w:hAnsi="Arial Narrow"/>
        </w:rPr>
        <w:t>k</w:t>
      </w:r>
      <w:r w:rsidR="008F6A5A">
        <w:rPr>
          <w:rFonts w:ascii="Arial Narrow" w:hAnsi="Arial Narrow"/>
        </w:rPr>
        <w:t xml:space="preserve"> </w:t>
      </w:r>
      <w:r w:rsidR="002D5494">
        <w:rPr>
          <w:rFonts w:ascii="Arial Narrow" w:hAnsi="Arial Narrow"/>
        </w:rPr>
        <w:t xml:space="preserve">předmětu </w:t>
      </w:r>
      <w:r w:rsidR="008F6A5A">
        <w:rPr>
          <w:rFonts w:ascii="Arial Narrow" w:hAnsi="Arial Narrow"/>
        </w:rPr>
        <w:t xml:space="preserve">plnění </w:t>
      </w:r>
    </w:p>
    <w:p w14:paraId="0BA3DE58"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3 – Seznam poddodavatelů</w:t>
      </w:r>
    </w:p>
    <w:p w14:paraId="28958EB1" w14:textId="77777777" w:rsidR="00305194" w:rsidRPr="00EB46DE"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4 – </w:t>
      </w:r>
      <w:r w:rsidR="00305194" w:rsidRPr="00EB46DE">
        <w:rPr>
          <w:rFonts w:ascii="Arial Narrow" w:hAnsi="Arial Narrow"/>
        </w:rPr>
        <w:t>Návod na obsluhu zařízení v českém jazyce na CD-ROM</w:t>
      </w:r>
    </w:p>
    <w:p w14:paraId="0C8FE309" w14:textId="77777777" w:rsidR="00305194"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5 – </w:t>
      </w:r>
      <w:r w:rsidR="00305194" w:rsidRPr="00EB46DE">
        <w:rPr>
          <w:rFonts w:ascii="Arial Narrow" w:hAnsi="Arial Narrow"/>
        </w:rPr>
        <w:t>Prohlášení o shodě – CE certifikát</w:t>
      </w:r>
    </w:p>
    <w:p w14:paraId="070595BB" w14:textId="77777777" w:rsidR="00CF51D9" w:rsidRDefault="00CF51D9" w:rsidP="00CF51D9">
      <w:pPr>
        <w:pStyle w:val="Smlouva-slo"/>
        <w:widowControl w:val="0"/>
        <w:spacing w:before="0" w:line="276" w:lineRule="auto"/>
        <w:rPr>
          <w:rFonts w:ascii="Arial Narrow" w:hAnsi="Arial Narrow"/>
        </w:rPr>
      </w:pPr>
    </w:p>
    <w:p w14:paraId="7C4DE904" w14:textId="77777777" w:rsidR="00CF51D9" w:rsidRDefault="00CF51D9" w:rsidP="00CF51D9">
      <w:pPr>
        <w:pStyle w:val="Smlouva-slo"/>
        <w:widowControl w:val="0"/>
        <w:spacing w:before="0" w:line="276" w:lineRule="auto"/>
        <w:rPr>
          <w:rFonts w:ascii="Arial Narrow" w:hAnsi="Arial Narrow"/>
        </w:rPr>
      </w:pPr>
    </w:p>
    <w:p w14:paraId="53F14699" w14:textId="77777777" w:rsidR="00CF51D9" w:rsidRDefault="00CF51D9" w:rsidP="00CF51D9">
      <w:pPr>
        <w:pStyle w:val="Smlouva-slo"/>
        <w:widowControl w:val="0"/>
        <w:spacing w:before="0" w:line="276" w:lineRule="auto"/>
        <w:rPr>
          <w:rFonts w:ascii="Arial Narrow" w:hAnsi="Arial Narrow"/>
        </w:rPr>
      </w:pPr>
    </w:p>
    <w:p w14:paraId="6A2E3711" w14:textId="77777777" w:rsidR="00CF51D9" w:rsidRPr="00EB46DE" w:rsidRDefault="00CF51D9" w:rsidP="00CF51D9">
      <w:pPr>
        <w:pStyle w:val="Smlouva-slo"/>
        <w:widowControl w:val="0"/>
        <w:spacing w:before="0" w:line="276" w:lineRule="auto"/>
        <w:rPr>
          <w:rFonts w:ascii="Arial Narrow" w:hAnsi="Arial Narrow"/>
        </w:rPr>
      </w:pPr>
    </w:p>
    <w:p w14:paraId="0A037F11" w14:textId="77777777" w:rsidR="00305194" w:rsidRDefault="00305194" w:rsidP="00305194">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343"/>
        <w:gridCol w:w="4343"/>
      </w:tblGrid>
      <w:tr w:rsidR="00482E9F" w:rsidRPr="007157BD" w14:paraId="536CA042" w14:textId="77777777" w:rsidTr="006F5FB0">
        <w:trPr>
          <w:trHeight w:val="3561"/>
        </w:trPr>
        <w:tc>
          <w:tcPr>
            <w:tcW w:w="4343" w:type="dxa"/>
          </w:tcPr>
          <w:p w14:paraId="432E5444"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3638B2B" w14:textId="77777777" w:rsidR="0029712C" w:rsidRDefault="0029712C" w:rsidP="005C2FAD">
            <w:pPr>
              <w:keepNext/>
              <w:suppressAutoHyphens/>
              <w:spacing w:after="0"/>
              <w:rPr>
                <w:rFonts w:ascii="Arial Narrow" w:hAnsi="Arial Narrow"/>
                <w:b/>
                <w:caps/>
                <w:sz w:val="24"/>
              </w:rPr>
            </w:pPr>
          </w:p>
          <w:p w14:paraId="7CDEE1FC" w14:textId="77777777" w:rsidR="00482E9F" w:rsidRPr="007157BD" w:rsidRDefault="00482E9F" w:rsidP="005C2FAD">
            <w:pPr>
              <w:keepNext/>
              <w:suppressAutoHyphens/>
              <w:spacing w:after="0"/>
              <w:rPr>
                <w:rFonts w:ascii="Arial Narrow" w:hAnsi="Arial Narrow"/>
                <w:b/>
                <w:caps/>
                <w:sz w:val="24"/>
              </w:rPr>
            </w:pPr>
            <w:r w:rsidRPr="007157BD">
              <w:rPr>
                <w:rFonts w:ascii="Arial Narrow" w:hAnsi="Arial Narrow"/>
                <w:b/>
                <w:caps/>
                <w:sz w:val="24"/>
              </w:rPr>
              <w:t>Kupující:</w:t>
            </w:r>
          </w:p>
          <w:p w14:paraId="0D9079EF" w14:textId="77777777" w:rsidR="00305194" w:rsidRDefault="00305194" w:rsidP="005C2FAD">
            <w:pPr>
              <w:keepNext/>
              <w:suppressAutoHyphens/>
              <w:spacing w:after="0"/>
              <w:rPr>
                <w:rFonts w:ascii="Arial Narrow" w:hAnsi="Arial Narrow"/>
                <w:sz w:val="24"/>
              </w:rPr>
            </w:pPr>
          </w:p>
          <w:p w14:paraId="7AA28330" w14:textId="77777777" w:rsidR="0029712C" w:rsidRDefault="0029712C" w:rsidP="005C2FAD">
            <w:pPr>
              <w:keepNext/>
              <w:suppressAutoHyphens/>
              <w:spacing w:after="0"/>
              <w:rPr>
                <w:rFonts w:ascii="Arial Narrow" w:hAnsi="Arial Narrow"/>
                <w:sz w:val="24"/>
              </w:rPr>
            </w:pPr>
          </w:p>
          <w:p w14:paraId="478FBF93" w14:textId="77777777" w:rsidR="00482E9F" w:rsidRPr="007157BD" w:rsidRDefault="00482E9F" w:rsidP="005C2FAD">
            <w:pPr>
              <w:keepNext/>
              <w:suppressAutoHyphens/>
              <w:spacing w:after="0"/>
              <w:rPr>
                <w:rFonts w:ascii="Arial Narrow" w:hAnsi="Arial Narrow"/>
                <w:sz w:val="24"/>
              </w:rPr>
            </w:pPr>
          </w:p>
          <w:p w14:paraId="70B53D0C"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___________________________________</w:t>
            </w:r>
          </w:p>
          <w:p w14:paraId="73F3DC9C" w14:textId="77777777" w:rsidR="00482E9F" w:rsidRPr="000915D6" w:rsidRDefault="00482E9F" w:rsidP="005C2FAD">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6D633233" w14:textId="2A267009" w:rsidR="00482E9F" w:rsidRPr="004A4EAF" w:rsidRDefault="006F5FB0" w:rsidP="005C2FAD">
            <w:pPr>
              <w:keepNext/>
              <w:suppressAutoHyphens/>
              <w:spacing w:after="0"/>
              <w:rPr>
                <w:rFonts w:ascii="Arial Narrow" w:hAnsi="Arial Narrow"/>
                <w:b/>
                <w:sz w:val="24"/>
              </w:rPr>
            </w:pPr>
            <w:r w:rsidRPr="004A4EAF">
              <w:rPr>
                <w:rFonts w:ascii="Arial Narrow" w:hAnsi="Arial Narrow"/>
                <w:b/>
                <w:sz w:val="24"/>
              </w:rPr>
              <w:t>n</w:t>
            </w:r>
            <w:r w:rsidR="00482E9F" w:rsidRPr="004A4EAF">
              <w:rPr>
                <w:rFonts w:ascii="Arial Narrow" w:hAnsi="Arial Narrow"/>
                <w:b/>
                <w:sz w:val="24"/>
              </w:rPr>
              <w:t>emocnice Středočeského kraje</w:t>
            </w:r>
          </w:p>
          <w:p w14:paraId="121D9D5E" w14:textId="77777777" w:rsidR="00482E9F" w:rsidRPr="004A4EAF" w:rsidRDefault="00482E9F" w:rsidP="005C2FAD">
            <w:pPr>
              <w:keepNext/>
              <w:suppressAutoHyphens/>
              <w:spacing w:after="0"/>
              <w:rPr>
                <w:rFonts w:ascii="Arial Narrow" w:hAnsi="Arial Narrow"/>
                <w:b/>
                <w:sz w:val="24"/>
              </w:rPr>
            </w:pPr>
            <w:r w:rsidRPr="004A4EAF">
              <w:rPr>
                <w:rFonts w:ascii="Arial Narrow" w:hAnsi="Arial Narrow"/>
                <w:b/>
                <w:sz w:val="24"/>
              </w:rPr>
              <w:t>MUDr. Petr Chudomel, MBA</w:t>
            </w:r>
          </w:p>
          <w:p w14:paraId="1189AD2A" w14:textId="117BD3F0" w:rsidR="006F5FB0" w:rsidRPr="006F5FB0" w:rsidRDefault="006F5FB0" w:rsidP="005C2FAD">
            <w:pPr>
              <w:keepNext/>
              <w:suppressAutoHyphens/>
              <w:spacing w:after="0"/>
              <w:rPr>
                <w:rFonts w:ascii="Arial Narrow" w:hAnsi="Arial Narrow"/>
                <w:sz w:val="24"/>
              </w:rPr>
            </w:pPr>
            <w:r w:rsidRPr="004A4EAF">
              <w:rPr>
                <w:rFonts w:ascii="Arial Narrow" w:hAnsi="Arial Narrow"/>
                <w:sz w:val="24"/>
              </w:rPr>
              <w:t xml:space="preserve">           ředitel</w:t>
            </w:r>
          </w:p>
        </w:tc>
        <w:tc>
          <w:tcPr>
            <w:tcW w:w="4343" w:type="dxa"/>
          </w:tcPr>
          <w:p w14:paraId="69C4E79E"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41F67D8D" w14:textId="77777777" w:rsidR="0029712C" w:rsidRDefault="0029712C" w:rsidP="005C2FAD">
            <w:pPr>
              <w:keepNext/>
              <w:suppressAutoHyphens/>
              <w:spacing w:after="0"/>
              <w:rPr>
                <w:rFonts w:ascii="Arial Narrow" w:hAnsi="Arial Narrow"/>
                <w:b/>
                <w:caps/>
                <w:sz w:val="24"/>
              </w:rPr>
            </w:pPr>
          </w:p>
          <w:p w14:paraId="283B6C4E" w14:textId="77777777" w:rsidR="00482E9F" w:rsidRPr="007157BD" w:rsidRDefault="00482E9F" w:rsidP="005C2FAD">
            <w:pPr>
              <w:keepNext/>
              <w:suppressAutoHyphens/>
              <w:spacing w:after="0"/>
              <w:rPr>
                <w:rFonts w:ascii="Arial Narrow" w:hAnsi="Arial Narrow"/>
                <w:b/>
                <w:caps/>
                <w:sz w:val="24"/>
              </w:rPr>
            </w:pPr>
            <w:r w:rsidRPr="007157BD">
              <w:rPr>
                <w:rFonts w:ascii="Arial Narrow" w:hAnsi="Arial Narrow"/>
                <w:b/>
                <w:caps/>
                <w:sz w:val="24"/>
              </w:rPr>
              <w:t>Prodávající:</w:t>
            </w:r>
          </w:p>
          <w:p w14:paraId="0AB6BD43" w14:textId="77777777" w:rsidR="00482E9F" w:rsidRDefault="00482E9F" w:rsidP="005C2FAD">
            <w:pPr>
              <w:keepNext/>
              <w:suppressAutoHyphens/>
              <w:spacing w:after="0"/>
              <w:rPr>
                <w:rFonts w:ascii="Arial Narrow" w:hAnsi="Arial Narrow"/>
                <w:sz w:val="24"/>
              </w:rPr>
            </w:pPr>
          </w:p>
          <w:p w14:paraId="1F876D69" w14:textId="77777777" w:rsidR="00305194" w:rsidRDefault="00305194" w:rsidP="005C2FAD">
            <w:pPr>
              <w:keepNext/>
              <w:suppressAutoHyphens/>
              <w:spacing w:after="0"/>
              <w:rPr>
                <w:rFonts w:ascii="Arial Narrow" w:hAnsi="Arial Narrow"/>
                <w:sz w:val="24"/>
              </w:rPr>
            </w:pPr>
          </w:p>
          <w:p w14:paraId="297D2638" w14:textId="77777777" w:rsidR="0029712C" w:rsidRPr="007157BD" w:rsidRDefault="0029712C" w:rsidP="005C2FAD">
            <w:pPr>
              <w:keepNext/>
              <w:suppressAutoHyphens/>
              <w:spacing w:after="0"/>
              <w:rPr>
                <w:rFonts w:ascii="Arial Narrow" w:hAnsi="Arial Narrow"/>
                <w:sz w:val="24"/>
              </w:rPr>
            </w:pPr>
          </w:p>
          <w:p w14:paraId="412FFA5A" w14:textId="77777777" w:rsidR="00482E9F" w:rsidRPr="007157BD" w:rsidRDefault="00482E9F" w:rsidP="005C2FAD">
            <w:pPr>
              <w:keepNext/>
              <w:suppressAutoHyphens/>
              <w:spacing w:after="0"/>
              <w:rPr>
                <w:rFonts w:ascii="Arial Narrow" w:hAnsi="Arial Narrow"/>
                <w:sz w:val="24"/>
              </w:rPr>
            </w:pPr>
            <w:r w:rsidRPr="007157BD">
              <w:rPr>
                <w:rFonts w:ascii="Arial Narrow" w:hAnsi="Arial Narrow"/>
                <w:sz w:val="24"/>
              </w:rPr>
              <w:t>___________________________________</w:t>
            </w:r>
          </w:p>
          <w:p w14:paraId="68A41786" w14:textId="7CAB679E" w:rsidR="00482E9F" w:rsidRPr="000915D6" w:rsidRDefault="00482E9F" w:rsidP="005C2FAD">
            <w:pPr>
              <w:keepNext/>
              <w:suppressAutoHyphens/>
              <w:spacing w:after="0"/>
              <w:rPr>
                <w:rFonts w:ascii="Arial Narrow" w:hAnsi="Arial Narrow"/>
                <w:b/>
                <w:sz w:val="24"/>
              </w:rPr>
            </w:pPr>
            <w:r w:rsidRPr="004A4EAF">
              <w:rPr>
                <w:rFonts w:ascii="Arial Narrow" w:hAnsi="Arial Narrow"/>
                <w:b/>
                <w:sz w:val="24"/>
              </w:rPr>
              <w:t>[</w:t>
            </w:r>
            <w:r w:rsidR="006F5FB0" w:rsidRPr="004A4EAF">
              <w:rPr>
                <w:rFonts w:ascii="Arial Narrow" w:hAnsi="Arial Narrow"/>
                <w:b/>
                <w:i/>
                <w:sz w:val="24"/>
              </w:rPr>
              <w:t>název</w:t>
            </w:r>
            <w:r w:rsidR="006F5FB0" w:rsidRPr="004A4EAF">
              <w:rPr>
                <w:rFonts w:ascii="Arial Narrow" w:hAnsi="Arial Narrow"/>
                <w:b/>
                <w:sz w:val="24"/>
              </w:rPr>
              <w:t>]</w:t>
            </w:r>
          </w:p>
          <w:p w14:paraId="7A275ECC" w14:textId="77777777" w:rsidR="00482E9F" w:rsidRPr="007157BD" w:rsidRDefault="00482E9F" w:rsidP="005C2FAD">
            <w:pPr>
              <w:keepNext/>
              <w:suppressAutoHyphens/>
              <w:spacing w:after="0"/>
              <w:rPr>
                <w:rFonts w:ascii="Arial Narrow" w:hAnsi="Arial Narrow"/>
                <w:sz w:val="24"/>
              </w:r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tc>
      </w:tr>
    </w:tbl>
    <w:p w14:paraId="094CF067" w14:textId="77777777" w:rsidR="001C1546" w:rsidRDefault="001C1546" w:rsidP="008A4097"/>
    <w:p w14:paraId="4BC520D6" w14:textId="77777777" w:rsidR="00CF5A5C" w:rsidRDefault="00CF5A5C" w:rsidP="008A4097">
      <w:pPr>
        <w:sectPr w:rsidR="00CF5A5C" w:rsidSect="0007693D">
          <w:headerReference w:type="default" r:id="rId8"/>
          <w:pgSz w:w="11906" w:h="16838" w:code="9"/>
          <w:pgMar w:top="1276" w:right="1418" w:bottom="1135" w:left="1418" w:header="709" w:footer="709" w:gutter="0"/>
          <w:cols w:space="708"/>
          <w:docGrid w:linePitch="360"/>
        </w:sectPr>
      </w:pPr>
    </w:p>
    <w:p w14:paraId="0E3DA7F7" w14:textId="1CBF0A16" w:rsidR="00B57AE0" w:rsidRDefault="00CF5A5C" w:rsidP="005C2FAD">
      <w:pPr>
        <w:jc w:val="right"/>
        <w:rPr>
          <w:b/>
          <w:i/>
        </w:rPr>
      </w:pPr>
      <w:r w:rsidRPr="00050BF0">
        <w:rPr>
          <w:b/>
          <w:i/>
        </w:rPr>
        <w:lastRenderedPageBreak/>
        <w:t>Příloha č. 1</w:t>
      </w:r>
      <w:r w:rsidR="006F5FB0" w:rsidRPr="00050BF0">
        <w:rPr>
          <w:b/>
          <w:i/>
        </w:rPr>
        <w:t xml:space="preserve"> k………………ze dne…</w:t>
      </w:r>
      <w:proofErr w:type="gramStart"/>
      <w:r w:rsidR="006F5FB0" w:rsidRPr="00050BF0">
        <w:rPr>
          <w:b/>
          <w:i/>
        </w:rPr>
        <w:t>…..</w:t>
      </w:r>
      <w:proofErr w:type="gramEnd"/>
    </w:p>
    <w:p w14:paraId="6F954051" w14:textId="77777777" w:rsidR="00913D4F" w:rsidRPr="005C2FAD" w:rsidRDefault="00913D4F" w:rsidP="005C2FAD">
      <w:pPr>
        <w:jc w:val="right"/>
        <w:rPr>
          <w:b/>
          <w:i/>
        </w:rPr>
      </w:pPr>
    </w:p>
    <w:tbl>
      <w:tblPr>
        <w:tblW w:w="13112" w:type="dxa"/>
        <w:tblInd w:w="55" w:type="dxa"/>
        <w:tblCellMar>
          <w:left w:w="70" w:type="dxa"/>
          <w:right w:w="70" w:type="dxa"/>
        </w:tblCellMar>
        <w:tblLook w:val="04A0" w:firstRow="1" w:lastRow="0" w:firstColumn="1" w:lastColumn="0" w:noHBand="0" w:noVBand="1"/>
      </w:tblPr>
      <w:tblGrid>
        <w:gridCol w:w="3977"/>
        <w:gridCol w:w="445"/>
        <w:gridCol w:w="556"/>
        <w:gridCol w:w="1442"/>
        <w:gridCol w:w="263"/>
        <w:gridCol w:w="1361"/>
        <w:gridCol w:w="1234"/>
        <w:gridCol w:w="1361"/>
        <w:gridCol w:w="1235"/>
        <w:gridCol w:w="1238"/>
      </w:tblGrid>
      <w:tr w:rsidR="00CF5A5C" w14:paraId="29323ABB" w14:textId="77777777" w:rsidTr="005C2FAD">
        <w:trPr>
          <w:trHeight w:val="346"/>
        </w:trPr>
        <w:tc>
          <w:tcPr>
            <w:tcW w:w="1311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6E61637A" w14:textId="02E03D1D" w:rsidR="00CF5A5C" w:rsidRDefault="007F06C0">
            <w:pPr>
              <w:rPr>
                <w:rFonts w:eastAsia="Times New Roman" w:cs="Times New Roman"/>
                <w:b/>
                <w:bCs/>
                <w:color w:val="000000"/>
                <w:sz w:val="26"/>
                <w:szCs w:val="26"/>
                <w:lang w:eastAsia="cs-CZ"/>
              </w:rPr>
            </w:pPr>
            <w:r>
              <w:rPr>
                <w:rFonts w:eastAsia="Times New Roman"/>
                <w:b/>
                <w:bCs/>
                <w:color w:val="000000"/>
                <w:sz w:val="26"/>
                <w:szCs w:val="26"/>
                <w:lang w:eastAsia="cs-CZ"/>
              </w:rPr>
              <w:t xml:space="preserve">POLOŽKOVÝ </w:t>
            </w:r>
            <w:proofErr w:type="gramStart"/>
            <w:r>
              <w:rPr>
                <w:rFonts w:eastAsia="Times New Roman"/>
                <w:b/>
                <w:bCs/>
                <w:color w:val="000000"/>
                <w:sz w:val="26"/>
                <w:szCs w:val="26"/>
                <w:lang w:eastAsia="cs-CZ"/>
              </w:rPr>
              <w:t>ROZPOČET  „</w:t>
            </w:r>
            <w:r w:rsidR="00913D4F">
              <w:rPr>
                <w:rFonts w:eastAsia="Times New Roman"/>
                <w:b/>
                <w:bCs/>
                <w:color w:val="000000"/>
                <w:sz w:val="26"/>
                <w:szCs w:val="26"/>
                <w:lang w:eastAsia="cs-CZ"/>
              </w:rPr>
              <w:t>Vybavení</w:t>
            </w:r>
            <w:proofErr w:type="gramEnd"/>
            <w:r w:rsidR="00913D4F">
              <w:rPr>
                <w:rFonts w:eastAsia="Times New Roman"/>
                <w:b/>
                <w:bCs/>
                <w:color w:val="000000"/>
                <w:sz w:val="26"/>
                <w:szCs w:val="26"/>
                <w:lang w:eastAsia="cs-CZ"/>
              </w:rPr>
              <w:t xml:space="preserve"> pro sterilizaci</w:t>
            </w:r>
            <w:r w:rsidR="00CF5A5C">
              <w:rPr>
                <w:rFonts w:eastAsia="Times New Roman"/>
                <w:b/>
                <w:bCs/>
                <w:color w:val="000000"/>
                <w:sz w:val="26"/>
                <w:szCs w:val="26"/>
                <w:lang w:eastAsia="cs-CZ"/>
              </w:rPr>
              <w:t xml:space="preserve"> – Zvýšení kvality návazné péče v ON Kolín“</w:t>
            </w:r>
          </w:p>
        </w:tc>
      </w:tr>
      <w:tr w:rsidR="005C2FAD" w14:paraId="3FAA018F" w14:textId="77777777" w:rsidTr="00913D4F">
        <w:trPr>
          <w:trHeight w:val="379"/>
        </w:trPr>
        <w:tc>
          <w:tcPr>
            <w:tcW w:w="0" w:type="auto"/>
            <w:gridSpan w:val="4"/>
            <w:tcBorders>
              <w:top w:val="nil"/>
              <w:left w:val="single" w:sz="4" w:space="0" w:color="auto"/>
              <w:bottom w:val="single" w:sz="4" w:space="0" w:color="000000"/>
              <w:right w:val="nil"/>
            </w:tcBorders>
            <w:vAlign w:val="center"/>
            <w:hideMark/>
          </w:tcPr>
          <w:p w14:paraId="0703D1B5" w14:textId="77777777" w:rsidR="00CF5A5C" w:rsidRPr="00CF5A5C" w:rsidRDefault="00CF5A5C" w:rsidP="00CF5A5C">
            <w:pPr>
              <w:spacing w:after="0" w:line="240" w:lineRule="auto"/>
              <w:jc w:val="center"/>
              <w:rPr>
                <w:rFonts w:eastAsia="Times New Roman" w:cs="Times New Roman"/>
                <w:b/>
                <w:bCs/>
                <w:color w:val="000000"/>
                <w:sz w:val="24"/>
                <w:szCs w:val="24"/>
                <w:lang w:eastAsia="cs-CZ"/>
              </w:rPr>
            </w:pPr>
            <w:r w:rsidRPr="00CF5A5C">
              <w:rPr>
                <w:rFonts w:eastAsia="Times New Roman" w:cs="Times New Roman"/>
                <w:b/>
                <w:bCs/>
                <w:color w:val="000000"/>
                <w:sz w:val="24"/>
                <w:szCs w:val="24"/>
                <w:lang w:eastAsia="cs-CZ"/>
              </w:rPr>
              <w:t>Položky předmětu plnění</w:t>
            </w:r>
          </w:p>
        </w:tc>
        <w:tc>
          <w:tcPr>
            <w:tcW w:w="263" w:type="dxa"/>
            <w:tcBorders>
              <w:top w:val="nil"/>
              <w:left w:val="single" w:sz="8" w:space="0" w:color="auto"/>
              <w:bottom w:val="nil"/>
              <w:right w:val="single" w:sz="8" w:space="0" w:color="auto"/>
            </w:tcBorders>
            <w:shd w:val="clear" w:color="auto" w:fill="D9D9D9" w:themeFill="background1" w:themeFillShade="D9"/>
            <w:vAlign w:val="center"/>
            <w:hideMark/>
          </w:tcPr>
          <w:p w14:paraId="3890C1F4" w14:textId="77777777" w:rsidR="00CF5A5C" w:rsidRDefault="00CF5A5C">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361" w:type="dxa"/>
            <w:vMerge w:val="restart"/>
            <w:tcBorders>
              <w:top w:val="nil"/>
              <w:left w:val="single" w:sz="8" w:space="0" w:color="auto"/>
              <w:bottom w:val="single" w:sz="4" w:space="0" w:color="000000"/>
              <w:right w:val="single" w:sz="4" w:space="0" w:color="auto"/>
            </w:tcBorders>
            <w:vAlign w:val="center"/>
            <w:hideMark/>
          </w:tcPr>
          <w:p w14:paraId="246D8622"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234" w:type="dxa"/>
            <w:vMerge w:val="restart"/>
            <w:tcBorders>
              <w:top w:val="nil"/>
              <w:left w:val="single" w:sz="4" w:space="0" w:color="auto"/>
              <w:bottom w:val="single" w:sz="4" w:space="0" w:color="000000"/>
              <w:right w:val="single" w:sz="4" w:space="0" w:color="auto"/>
            </w:tcBorders>
            <w:vAlign w:val="center"/>
            <w:hideMark/>
          </w:tcPr>
          <w:p w14:paraId="18BF8DB0"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361" w:type="dxa"/>
            <w:vMerge w:val="restart"/>
            <w:tcBorders>
              <w:top w:val="nil"/>
              <w:left w:val="single" w:sz="4" w:space="0" w:color="auto"/>
              <w:bottom w:val="single" w:sz="4" w:space="0" w:color="000000"/>
              <w:right w:val="single" w:sz="4" w:space="0" w:color="auto"/>
            </w:tcBorders>
            <w:vAlign w:val="center"/>
            <w:hideMark/>
          </w:tcPr>
          <w:p w14:paraId="07AB496B"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235" w:type="dxa"/>
            <w:vMerge w:val="restart"/>
            <w:tcBorders>
              <w:top w:val="single" w:sz="4" w:space="0" w:color="auto"/>
              <w:left w:val="nil"/>
              <w:right w:val="single" w:sz="8" w:space="0" w:color="000000"/>
            </w:tcBorders>
            <w:vAlign w:val="center"/>
            <w:hideMark/>
          </w:tcPr>
          <w:p w14:paraId="512C555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238" w:type="dxa"/>
            <w:vMerge w:val="restart"/>
            <w:tcBorders>
              <w:top w:val="single" w:sz="4" w:space="0" w:color="auto"/>
              <w:left w:val="nil"/>
              <w:right w:val="single" w:sz="8" w:space="0" w:color="000000"/>
            </w:tcBorders>
            <w:vAlign w:val="center"/>
          </w:tcPr>
          <w:p w14:paraId="2CD3427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5C2FAD" w14:paraId="76C6603B" w14:textId="77777777" w:rsidTr="00913D4F">
        <w:trPr>
          <w:trHeight w:val="661"/>
        </w:trPr>
        <w:tc>
          <w:tcPr>
            <w:tcW w:w="4422" w:type="dxa"/>
            <w:gridSpan w:val="2"/>
            <w:vMerge w:val="restart"/>
            <w:tcBorders>
              <w:top w:val="nil"/>
              <w:left w:val="single" w:sz="4" w:space="0" w:color="auto"/>
              <w:bottom w:val="single" w:sz="4" w:space="0" w:color="000000"/>
              <w:right w:val="single" w:sz="4" w:space="0" w:color="auto"/>
            </w:tcBorders>
            <w:vAlign w:val="center"/>
            <w:hideMark/>
          </w:tcPr>
          <w:p w14:paraId="780AB079" w14:textId="77777777" w:rsidR="00CF5A5C" w:rsidRDefault="00CF5A5C">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1998" w:type="dxa"/>
            <w:gridSpan w:val="2"/>
            <w:vMerge w:val="restart"/>
            <w:tcBorders>
              <w:top w:val="nil"/>
              <w:left w:val="single" w:sz="4" w:space="0" w:color="auto"/>
              <w:bottom w:val="single" w:sz="4" w:space="0" w:color="000000"/>
              <w:right w:val="single" w:sz="4" w:space="0" w:color="auto"/>
            </w:tcBorders>
            <w:vAlign w:val="center"/>
            <w:hideMark/>
          </w:tcPr>
          <w:p w14:paraId="4D2116E1" w14:textId="77777777" w:rsidR="00CF5A5C" w:rsidRDefault="00CF5A5C">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63" w:type="dxa"/>
            <w:tcBorders>
              <w:top w:val="nil"/>
              <w:left w:val="single" w:sz="8" w:space="0" w:color="auto"/>
              <w:bottom w:val="nil"/>
              <w:right w:val="single" w:sz="8" w:space="0" w:color="auto"/>
            </w:tcBorders>
            <w:shd w:val="clear" w:color="auto" w:fill="D9D9D9" w:themeFill="background1" w:themeFillShade="D9"/>
            <w:vAlign w:val="bottom"/>
            <w:hideMark/>
          </w:tcPr>
          <w:p w14:paraId="09779893"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4C24E2E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3E222EF5"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407041D3" w14:textId="77777777" w:rsidR="00CF5A5C" w:rsidRDefault="00CF5A5C">
            <w:pPr>
              <w:spacing w:after="0" w:line="240" w:lineRule="auto"/>
              <w:rPr>
                <w:rFonts w:eastAsia="Times New Roman" w:cs="Times New Roman"/>
                <w:b/>
                <w:bCs/>
                <w:color w:val="244062"/>
                <w:sz w:val="18"/>
                <w:szCs w:val="18"/>
                <w:lang w:eastAsia="cs-CZ"/>
              </w:rPr>
            </w:pPr>
          </w:p>
        </w:tc>
        <w:tc>
          <w:tcPr>
            <w:tcW w:w="1235" w:type="dxa"/>
            <w:vMerge/>
            <w:tcBorders>
              <w:left w:val="single" w:sz="4" w:space="0" w:color="auto"/>
              <w:right w:val="single" w:sz="8" w:space="0" w:color="000000"/>
            </w:tcBorders>
            <w:vAlign w:val="center"/>
            <w:hideMark/>
          </w:tcPr>
          <w:p w14:paraId="2D9A06CF" w14:textId="77777777" w:rsidR="00CF5A5C" w:rsidRDefault="00CF5A5C">
            <w:pPr>
              <w:spacing w:after="0" w:line="240" w:lineRule="auto"/>
              <w:jc w:val="center"/>
              <w:rPr>
                <w:rFonts w:eastAsia="Times New Roman" w:cs="Times New Roman"/>
                <w:b/>
                <w:bCs/>
                <w:color w:val="244062"/>
                <w:sz w:val="18"/>
                <w:szCs w:val="18"/>
                <w:lang w:eastAsia="cs-CZ"/>
              </w:rPr>
            </w:pPr>
          </w:p>
        </w:tc>
        <w:tc>
          <w:tcPr>
            <w:tcW w:w="1238" w:type="dxa"/>
            <w:vMerge/>
            <w:tcBorders>
              <w:left w:val="single" w:sz="8" w:space="0" w:color="000000"/>
              <w:right w:val="single" w:sz="8" w:space="0" w:color="000000"/>
            </w:tcBorders>
            <w:vAlign w:val="center"/>
            <w:hideMark/>
          </w:tcPr>
          <w:p w14:paraId="0903EDCC" w14:textId="77777777" w:rsidR="00CF5A5C" w:rsidRDefault="00CF5A5C">
            <w:pPr>
              <w:spacing w:after="0" w:line="240" w:lineRule="auto"/>
              <w:jc w:val="center"/>
              <w:rPr>
                <w:rFonts w:eastAsia="Times New Roman" w:cs="Times New Roman"/>
                <w:b/>
                <w:bCs/>
                <w:color w:val="244062"/>
                <w:sz w:val="18"/>
                <w:szCs w:val="18"/>
                <w:lang w:eastAsia="cs-CZ"/>
              </w:rPr>
            </w:pPr>
          </w:p>
        </w:tc>
      </w:tr>
      <w:tr w:rsidR="005C2FAD" w14:paraId="70F92660" w14:textId="77777777" w:rsidTr="005C2FAD">
        <w:trPr>
          <w:trHeight w:val="54"/>
        </w:trPr>
        <w:tc>
          <w:tcPr>
            <w:tcW w:w="0" w:type="auto"/>
            <w:gridSpan w:val="2"/>
            <w:vMerge/>
            <w:tcBorders>
              <w:top w:val="nil"/>
              <w:left w:val="single" w:sz="4" w:space="0" w:color="auto"/>
              <w:bottom w:val="single" w:sz="8" w:space="0" w:color="000000"/>
              <w:right w:val="single" w:sz="4" w:space="0" w:color="auto"/>
            </w:tcBorders>
            <w:vAlign w:val="center"/>
            <w:hideMark/>
          </w:tcPr>
          <w:p w14:paraId="3366AF52" w14:textId="77777777" w:rsidR="00CF5A5C" w:rsidRDefault="00CF5A5C">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560A83F" w14:textId="77777777" w:rsidR="00CF5A5C" w:rsidRDefault="00CF5A5C">
            <w:pPr>
              <w:spacing w:after="0" w:line="240" w:lineRule="auto"/>
              <w:rPr>
                <w:rFonts w:eastAsia="Times New Roman" w:cs="Times New Roman"/>
                <w:b/>
                <w:bCs/>
                <w:color w:val="000000"/>
                <w:sz w:val="18"/>
                <w:szCs w:val="18"/>
                <w:lang w:eastAsia="cs-CZ"/>
              </w:rPr>
            </w:pPr>
          </w:p>
        </w:tc>
        <w:tc>
          <w:tcPr>
            <w:tcW w:w="263"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682328FD"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27E86347"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19356DD1"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31C2A84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4" w:space="0" w:color="auto"/>
              <w:bottom w:val="single" w:sz="8" w:space="0" w:color="000000"/>
              <w:right w:val="single" w:sz="8" w:space="0" w:color="000000"/>
            </w:tcBorders>
            <w:vAlign w:val="center"/>
            <w:hideMark/>
          </w:tcPr>
          <w:p w14:paraId="13BF1606"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8" w:space="0" w:color="000000"/>
              <w:bottom w:val="single" w:sz="8" w:space="0" w:color="000000"/>
              <w:right w:val="single" w:sz="8" w:space="0" w:color="000000"/>
            </w:tcBorders>
            <w:vAlign w:val="center"/>
            <w:hideMark/>
          </w:tcPr>
          <w:p w14:paraId="24BC9050" w14:textId="77777777" w:rsidR="00CF5A5C" w:rsidRDefault="00CF5A5C">
            <w:pPr>
              <w:spacing w:after="0" w:line="240" w:lineRule="auto"/>
              <w:rPr>
                <w:rFonts w:eastAsia="Times New Roman" w:cs="Times New Roman"/>
                <w:b/>
                <w:bCs/>
                <w:color w:val="244062"/>
                <w:sz w:val="18"/>
                <w:szCs w:val="18"/>
                <w:lang w:eastAsia="cs-CZ"/>
              </w:rPr>
            </w:pPr>
          </w:p>
        </w:tc>
      </w:tr>
      <w:tr w:rsidR="00CF5A5C" w14:paraId="0098BE17" w14:textId="77777777" w:rsidTr="005C2FAD">
        <w:trPr>
          <w:trHeight w:val="196"/>
        </w:trPr>
        <w:tc>
          <w:tcPr>
            <w:tcW w:w="131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21421E7F" w14:textId="16F5ECE8" w:rsidR="00CF5A5C" w:rsidRPr="00B57AE0" w:rsidRDefault="00913D4F">
            <w:pPr>
              <w:spacing w:after="0"/>
              <w:rPr>
                <w:rFonts w:eastAsia="Times New Roman" w:cs="Times New Roman"/>
                <w:b/>
                <w:bCs/>
                <w:color w:val="000000"/>
                <w:sz w:val="24"/>
                <w:szCs w:val="24"/>
                <w:lang w:eastAsia="cs-CZ"/>
              </w:rPr>
            </w:pPr>
            <w:r>
              <w:rPr>
                <w:rFonts w:eastAsia="Times New Roman" w:cs="Times New Roman"/>
                <w:b/>
                <w:bCs/>
                <w:color w:val="000000"/>
                <w:sz w:val="24"/>
                <w:szCs w:val="24"/>
                <w:lang w:eastAsia="cs-CZ"/>
              </w:rPr>
              <w:t>Automat mycí a desinfekční pro operační obuv</w:t>
            </w:r>
          </w:p>
        </w:tc>
      </w:tr>
      <w:tr w:rsidR="005C2FAD" w14:paraId="74ED69EF" w14:textId="77777777" w:rsidTr="00913D4F">
        <w:trPr>
          <w:trHeight w:val="328"/>
        </w:trPr>
        <w:tc>
          <w:tcPr>
            <w:tcW w:w="4422" w:type="dxa"/>
            <w:gridSpan w:val="2"/>
            <w:tcBorders>
              <w:top w:val="single" w:sz="8" w:space="0" w:color="000000"/>
              <w:left w:val="single" w:sz="8" w:space="0" w:color="auto"/>
              <w:bottom w:val="single" w:sz="8" w:space="0" w:color="000000"/>
              <w:right w:val="nil"/>
            </w:tcBorders>
            <w:vAlign w:val="bottom"/>
            <w:hideMark/>
          </w:tcPr>
          <w:p w14:paraId="7EC1248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998"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52A48899" w14:textId="77777777" w:rsidR="00CF5A5C" w:rsidRDefault="00CF5A5C">
            <w:pPr>
              <w:spacing w:after="0" w:line="240" w:lineRule="auto"/>
              <w:jc w:val="center"/>
              <w:rPr>
                <w:rFonts w:eastAsia="Times New Roman" w:cs="Times New Roman"/>
                <w:b/>
                <w:bCs/>
                <w:color w:val="000000"/>
                <w:lang w:eastAsia="cs-CZ"/>
              </w:rPr>
            </w:pPr>
            <w:r>
              <w:rPr>
                <w:rFonts w:eastAsia="Times New Roman"/>
                <w:b/>
                <w:bCs/>
                <w:color w:val="000000"/>
                <w:lang w:eastAsia="cs-CZ"/>
              </w:rPr>
              <w:t>1</w:t>
            </w:r>
          </w:p>
        </w:tc>
        <w:tc>
          <w:tcPr>
            <w:tcW w:w="263"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D192456"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61" w:type="dxa"/>
            <w:tcBorders>
              <w:top w:val="single" w:sz="8" w:space="0" w:color="000000"/>
              <w:left w:val="nil"/>
              <w:bottom w:val="single" w:sz="8" w:space="0" w:color="000000"/>
              <w:right w:val="single" w:sz="8" w:space="0" w:color="auto"/>
            </w:tcBorders>
            <w:vAlign w:val="bottom"/>
            <w:hideMark/>
          </w:tcPr>
          <w:p w14:paraId="1893A70D"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4" w:type="dxa"/>
            <w:tcBorders>
              <w:top w:val="single" w:sz="8" w:space="0" w:color="000000"/>
              <w:left w:val="nil"/>
              <w:bottom w:val="single" w:sz="8" w:space="0" w:color="000000"/>
              <w:right w:val="single" w:sz="8" w:space="0" w:color="auto"/>
            </w:tcBorders>
            <w:vAlign w:val="bottom"/>
            <w:hideMark/>
          </w:tcPr>
          <w:p w14:paraId="737C4CDA"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single" w:sz="8" w:space="0" w:color="000000"/>
              <w:left w:val="nil"/>
              <w:bottom w:val="single" w:sz="8" w:space="0" w:color="000000"/>
              <w:right w:val="single" w:sz="8" w:space="0" w:color="auto"/>
            </w:tcBorders>
            <w:vAlign w:val="bottom"/>
            <w:hideMark/>
          </w:tcPr>
          <w:p w14:paraId="029D2AB4"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35" w:type="dxa"/>
            <w:tcBorders>
              <w:top w:val="single" w:sz="8" w:space="0" w:color="000000"/>
              <w:left w:val="nil"/>
              <w:bottom w:val="single" w:sz="8" w:space="0" w:color="000000"/>
              <w:right w:val="single" w:sz="8" w:space="0" w:color="auto"/>
            </w:tcBorders>
            <w:vAlign w:val="bottom"/>
            <w:hideMark/>
          </w:tcPr>
          <w:p w14:paraId="627BF742"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8" w:type="dxa"/>
            <w:tcBorders>
              <w:top w:val="single" w:sz="8" w:space="0" w:color="000000"/>
              <w:left w:val="nil"/>
              <w:bottom w:val="single" w:sz="8" w:space="0" w:color="000000"/>
              <w:right w:val="single" w:sz="8" w:space="0" w:color="auto"/>
            </w:tcBorders>
            <w:vAlign w:val="bottom"/>
            <w:hideMark/>
          </w:tcPr>
          <w:p w14:paraId="48C97DD7"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r>
      <w:tr w:rsidR="005C2FAD" w14:paraId="5B3C0D27" w14:textId="77777777" w:rsidTr="00913D4F">
        <w:trPr>
          <w:trHeight w:val="156"/>
        </w:trPr>
        <w:tc>
          <w:tcPr>
            <w:tcW w:w="3977" w:type="dxa"/>
            <w:tcBorders>
              <w:top w:val="single" w:sz="8" w:space="0" w:color="auto"/>
              <w:left w:val="single" w:sz="8" w:space="0" w:color="auto"/>
              <w:bottom w:val="nil"/>
              <w:right w:val="nil"/>
            </w:tcBorders>
            <w:vAlign w:val="bottom"/>
          </w:tcPr>
          <w:p w14:paraId="0744C075" w14:textId="77777777" w:rsidR="00CF5A5C" w:rsidRDefault="00CF5A5C">
            <w:pPr>
              <w:spacing w:after="0" w:line="240" w:lineRule="auto"/>
              <w:rPr>
                <w:rFonts w:eastAsia="Times New Roman" w:cs="Times New Roman"/>
                <w:color w:val="000000"/>
                <w:lang w:eastAsia="cs-CZ"/>
              </w:rPr>
            </w:pPr>
          </w:p>
        </w:tc>
        <w:tc>
          <w:tcPr>
            <w:tcW w:w="1001" w:type="dxa"/>
            <w:gridSpan w:val="2"/>
            <w:tcBorders>
              <w:top w:val="single" w:sz="8" w:space="0" w:color="auto"/>
              <w:left w:val="nil"/>
              <w:bottom w:val="nil"/>
              <w:right w:val="nil"/>
            </w:tcBorders>
            <w:vAlign w:val="bottom"/>
          </w:tcPr>
          <w:p w14:paraId="73980AF6" w14:textId="77777777" w:rsidR="00CF5A5C" w:rsidRDefault="00CF5A5C">
            <w:pPr>
              <w:spacing w:after="0" w:line="240" w:lineRule="auto"/>
              <w:rPr>
                <w:rFonts w:eastAsia="Times New Roman" w:cs="Times New Roman"/>
                <w:color w:val="000000"/>
                <w:lang w:eastAsia="cs-CZ"/>
              </w:rPr>
            </w:pPr>
          </w:p>
        </w:tc>
        <w:tc>
          <w:tcPr>
            <w:tcW w:w="1442" w:type="dxa"/>
            <w:tcBorders>
              <w:top w:val="single" w:sz="8" w:space="0" w:color="auto"/>
              <w:left w:val="nil"/>
              <w:bottom w:val="nil"/>
              <w:right w:val="nil"/>
            </w:tcBorders>
            <w:vAlign w:val="bottom"/>
          </w:tcPr>
          <w:p w14:paraId="2AE983FE" w14:textId="77777777" w:rsidR="00CF5A5C" w:rsidRDefault="00CF5A5C">
            <w:pPr>
              <w:spacing w:after="0" w:line="240" w:lineRule="auto"/>
              <w:rPr>
                <w:rFonts w:eastAsia="Times New Roman" w:cs="Times New Roman"/>
                <w:color w:val="000000"/>
                <w:lang w:eastAsia="cs-CZ"/>
              </w:rPr>
            </w:pPr>
          </w:p>
        </w:tc>
        <w:tc>
          <w:tcPr>
            <w:tcW w:w="263" w:type="dxa"/>
            <w:tcBorders>
              <w:top w:val="single" w:sz="8" w:space="0" w:color="auto"/>
              <w:left w:val="nil"/>
              <w:bottom w:val="nil"/>
              <w:right w:val="nil"/>
            </w:tcBorders>
            <w:vAlign w:val="bottom"/>
          </w:tcPr>
          <w:p w14:paraId="5B796E3B" w14:textId="77777777" w:rsidR="00CF5A5C" w:rsidRDefault="00CF5A5C">
            <w:pPr>
              <w:spacing w:after="0" w:line="240" w:lineRule="auto"/>
              <w:rPr>
                <w:rFonts w:eastAsia="Times New Roman" w:cs="Times New Roman"/>
                <w:color w:val="000000"/>
                <w:lang w:eastAsia="cs-CZ"/>
              </w:rPr>
            </w:pPr>
          </w:p>
        </w:tc>
        <w:tc>
          <w:tcPr>
            <w:tcW w:w="1361" w:type="dxa"/>
            <w:tcBorders>
              <w:top w:val="single" w:sz="8" w:space="0" w:color="auto"/>
              <w:left w:val="nil"/>
              <w:bottom w:val="nil"/>
              <w:right w:val="nil"/>
            </w:tcBorders>
            <w:vAlign w:val="bottom"/>
          </w:tcPr>
          <w:p w14:paraId="5C86A7CC" w14:textId="77777777" w:rsidR="00CF5A5C" w:rsidRDefault="00CF5A5C">
            <w:pPr>
              <w:spacing w:after="0" w:line="240" w:lineRule="auto"/>
              <w:rPr>
                <w:rFonts w:eastAsia="Times New Roman" w:cs="Times New Roman"/>
                <w:color w:val="000000"/>
                <w:lang w:eastAsia="cs-CZ"/>
              </w:rPr>
            </w:pPr>
          </w:p>
        </w:tc>
        <w:tc>
          <w:tcPr>
            <w:tcW w:w="1234" w:type="dxa"/>
            <w:tcBorders>
              <w:top w:val="single" w:sz="8" w:space="0" w:color="auto"/>
              <w:left w:val="nil"/>
              <w:bottom w:val="nil"/>
              <w:right w:val="nil"/>
            </w:tcBorders>
            <w:vAlign w:val="bottom"/>
          </w:tcPr>
          <w:p w14:paraId="34E01932" w14:textId="77777777" w:rsidR="00CF5A5C" w:rsidRDefault="00CF5A5C">
            <w:pPr>
              <w:spacing w:after="0" w:line="240" w:lineRule="auto"/>
              <w:rPr>
                <w:rFonts w:eastAsia="Times New Roman" w:cs="Times New Roman"/>
                <w:color w:val="000000"/>
                <w:lang w:eastAsia="cs-CZ"/>
              </w:rPr>
            </w:pPr>
          </w:p>
        </w:tc>
        <w:tc>
          <w:tcPr>
            <w:tcW w:w="1361" w:type="dxa"/>
            <w:tcBorders>
              <w:top w:val="single" w:sz="8" w:space="0" w:color="auto"/>
              <w:left w:val="nil"/>
              <w:bottom w:val="single" w:sz="8" w:space="0" w:color="auto"/>
              <w:right w:val="nil"/>
            </w:tcBorders>
            <w:vAlign w:val="bottom"/>
          </w:tcPr>
          <w:p w14:paraId="14337613" w14:textId="77777777" w:rsidR="00CF5A5C" w:rsidRDefault="00CF5A5C">
            <w:pPr>
              <w:spacing w:after="0" w:line="240" w:lineRule="auto"/>
              <w:rPr>
                <w:rFonts w:eastAsia="Times New Roman" w:cs="Times New Roman"/>
                <w:color w:val="000000"/>
                <w:lang w:eastAsia="cs-CZ"/>
              </w:rPr>
            </w:pPr>
          </w:p>
        </w:tc>
        <w:tc>
          <w:tcPr>
            <w:tcW w:w="1235" w:type="dxa"/>
            <w:tcBorders>
              <w:top w:val="single" w:sz="8" w:space="0" w:color="auto"/>
              <w:left w:val="nil"/>
              <w:bottom w:val="single" w:sz="8" w:space="0" w:color="auto"/>
              <w:right w:val="nil"/>
            </w:tcBorders>
            <w:vAlign w:val="bottom"/>
          </w:tcPr>
          <w:p w14:paraId="15456164" w14:textId="77777777" w:rsidR="00CF5A5C" w:rsidRDefault="00CF5A5C">
            <w:pPr>
              <w:spacing w:after="0" w:line="240" w:lineRule="auto"/>
              <w:rPr>
                <w:rFonts w:eastAsia="Times New Roman" w:cs="Times New Roman"/>
                <w:color w:val="000000"/>
                <w:lang w:eastAsia="cs-CZ"/>
              </w:rPr>
            </w:pPr>
          </w:p>
        </w:tc>
        <w:tc>
          <w:tcPr>
            <w:tcW w:w="1238" w:type="dxa"/>
            <w:tcBorders>
              <w:top w:val="single" w:sz="8" w:space="0" w:color="auto"/>
              <w:left w:val="nil"/>
              <w:bottom w:val="single" w:sz="8" w:space="0" w:color="auto"/>
              <w:right w:val="single" w:sz="8" w:space="0" w:color="auto"/>
            </w:tcBorders>
            <w:vAlign w:val="bottom"/>
          </w:tcPr>
          <w:p w14:paraId="21B5EC6E" w14:textId="77777777" w:rsidR="00CF5A5C" w:rsidRDefault="00CF5A5C">
            <w:pPr>
              <w:spacing w:after="0" w:line="240" w:lineRule="auto"/>
              <w:rPr>
                <w:rFonts w:eastAsia="Times New Roman" w:cs="Times New Roman"/>
                <w:color w:val="000000"/>
                <w:lang w:eastAsia="cs-CZ"/>
              </w:rPr>
            </w:pPr>
          </w:p>
        </w:tc>
      </w:tr>
      <w:tr w:rsidR="005C2FAD" w14:paraId="62860533" w14:textId="77777777" w:rsidTr="00913D4F">
        <w:trPr>
          <w:trHeight w:val="236"/>
        </w:trPr>
        <w:tc>
          <w:tcPr>
            <w:tcW w:w="3977" w:type="dxa"/>
            <w:tcBorders>
              <w:top w:val="nil"/>
              <w:left w:val="single" w:sz="8" w:space="0" w:color="auto"/>
              <w:bottom w:val="single" w:sz="8" w:space="0" w:color="auto"/>
              <w:right w:val="nil"/>
            </w:tcBorders>
            <w:vAlign w:val="bottom"/>
          </w:tcPr>
          <w:p w14:paraId="29D17F2A" w14:textId="77777777" w:rsidR="00CF5A5C" w:rsidRDefault="00CF5A5C">
            <w:pPr>
              <w:spacing w:after="0" w:line="240" w:lineRule="auto"/>
              <w:rPr>
                <w:rFonts w:eastAsia="Times New Roman"/>
                <w:color w:val="000000"/>
                <w:lang w:eastAsia="cs-CZ"/>
              </w:rPr>
            </w:pPr>
          </w:p>
          <w:p w14:paraId="65083A9C" w14:textId="77777777" w:rsidR="00CF5A5C" w:rsidRDefault="00CF5A5C">
            <w:pPr>
              <w:spacing w:after="0" w:line="240" w:lineRule="auto"/>
              <w:rPr>
                <w:rFonts w:eastAsia="Times New Roman" w:cs="Times New Roman"/>
                <w:color w:val="000000"/>
                <w:lang w:eastAsia="cs-CZ"/>
              </w:rPr>
            </w:pPr>
          </w:p>
        </w:tc>
        <w:tc>
          <w:tcPr>
            <w:tcW w:w="1001" w:type="dxa"/>
            <w:gridSpan w:val="2"/>
            <w:tcBorders>
              <w:top w:val="nil"/>
              <w:left w:val="nil"/>
              <w:bottom w:val="single" w:sz="8" w:space="0" w:color="auto"/>
              <w:right w:val="nil"/>
            </w:tcBorders>
            <w:vAlign w:val="bottom"/>
            <w:hideMark/>
          </w:tcPr>
          <w:p w14:paraId="07BD5009"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2" w:type="dxa"/>
            <w:tcBorders>
              <w:top w:val="nil"/>
              <w:left w:val="nil"/>
              <w:bottom w:val="single" w:sz="8" w:space="0" w:color="auto"/>
              <w:right w:val="nil"/>
            </w:tcBorders>
            <w:vAlign w:val="bottom"/>
            <w:hideMark/>
          </w:tcPr>
          <w:p w14:paraId="04B42930"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263" w:type="dxa"/>
            <w:tcBorders>
              <w:top w:val="nil"/>
              <w:left w:val="nil"/>
              <w:bottom w:val="single" w:sz="8" w:space="0" w:color="auto"/>
              <w:right w:val="nil"/>
            </w:tcBorders>
            <w:vAlign w:val="bottom"/>
            <w:hideMark/>
          </w:tcPr>
          <w:p w14:paraId="0E9CC798"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nil"/>
              <w:left w:val="nil"/>
              <w:bottom w:val="single" w:sz="8" w:space="0" w:color="auto"/>
              <w:right w:val="nil"/>
            </w:tcBorders>
            <w:vAlign w:val="bottom"/>
            <w:hideMark/>
          </w:tcPr>
          <w:p w14:paraId="2FA1CBB1"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234" w:type="dxa"/>
            <w:tcBorders>
              <w:top w:val="nil"/>
              <w:left w:val="nil"/>
              <w:bottom w:val="single" w:sz="8" w:space="0" w:color="auto"/>
              <w:right w:val="nil"/>
            </w:tcBorders>
            <w:vAlign w:val="bottom"/>
            <w:hideMark/>
          </w:tcPr>
          <w:p w14:paraId="6D1004FD"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6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A9C46E3" w14:textId="77777777" w:rsidR="00CF5A5C" w:rsidRDefault="00CF5A5C">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235"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858385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238"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B778068"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r>
    </w:tbl>
    <w:p w14:paraId="75A05632" w14:textId="77777777" w:rsidR="00431E58" w:rsidRDefault="00431E58" w:rsidP="005C2FAD"/>
    <w:p w14:paraId="5CEF818E" w14:textId="627A7633" w:rsidR="00431E58" w:rsidRPr="007157BD" w:rsidRDefault="00431E58" w:rsidP="00431E58">
      <w:pPr>
        <w:keepNext/>
        <w:suppressAutoHyphens/>
        <w:spacing w:after="0"/>
        <w:jc w:val="right"/>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B4A0F0F" w14:textId="77777777" w:rsidR="00431E58" w:rsidRDefault="00431E58" w:rsidP="00431E58">
      <w:pPr>
        <w:keepNext/>
        <w:suppressAutoHyphens/>
        <w:spacing w:after="0"/>
        <w:jc w:val="right"/>
        <w:rPr>
          <w:rFonts w:ascii="Arial Narrow" w:hAnsi="Arial Narrow"/>
          <w:b/>
          <w:caps/>
          <w:sz w:val="24"/>
        </w:rPr>
      </w:pPr>
    </w:p>
    <w:p w14:paraId="13309090" w14:textId="77777777" w:rsidR="00431E58" w:rsidRPr="007157BD" w:rsidRDefault="00431E58" w:rsidP="00431E58">
      <w:pPr>
        <w:keepNext/>
        <w:suppressAutoHyphens/>
        <w:spacing w:after="0"/>
        <w:jc w:val="right"/>
        <w:rPr>
          <w:rFonts w:ascii="Arial Narrow" w:hAnsi="Arial Narrow"/>
          <w:b/>
          <w:caps/>
          <w:sz w:val="24"/>
        </w:rPr>
      </w:pPr>
      <w:r w:rsidRPr="007157BD">
        <w:rPr>
          <w:rFonts w:ascii="Arial Narrow" w:hAnsi="Arial Narrow"/>
          <w:b/>
          <w:caps/>
          <w:sz w:val="24"/>
        </w:rPr>
        <w:t>Prodávající:</w:t>
      </w:r>
    </w:p>
    <w:p w14:paraId="49269D2F" w14:textId="77777777" w:rsidR="00431E58" w:rsidRDefault="00431E58" w:rsidP="00431E58">
      <w:pPr>
        <w:keepNext/>
        <w:suppressAutoHyphens/>
        <w:spacing w:after="0"/>
        <w:jc w:val="right"/>
        <w:rPr>
          <w:rFonts w:ascii="Arial Narrow" w:hAnsi="Arial Narrow"/>
          <w:sz w:val="24"/>
        </w:rPr>
      </w:pPr>
    </w:p>
    <w:p w14:paraId="6968E8BE" w14:textId="77777777" w:rsidR="00431E58" w:rsidRDefault="00431E58" w:rsidP="00431E58">
      <w:pPr>
        <w:keepNext/>
        <w:suppressAutoHyphens/>
        <w:spacing w:after="0"/>
        <w:jc w:val="right"/>
        <w:rPr>
          <w:rFonts w:ascii="Arial Narrow" w:hAnsi="Arial Narrow"/>
          <w:sz w:val="24"/>
        </w:rPr>
      </w:pPr>
    </w:p>
    <w:p w14:paraId="78B5A49A" w14:textId="77777777" w:rsidR="00431E58" w:rsidRPr="007157BD" w:rsidRDefault="00431E58" w:rsidP="00431E58">
      <w:pPr>
        <w:keepNext/>
        <w:suppressAutoHyphens/>
        <w:spacing w:after="0"/>
        <w:jc w:val="right"/>
        <w:rPr>
          <w:rFonts w:ascii="Arial Narrow" w:hAnsi="Arial Narrow"/>
          <w:sz w:val="24"/>
        </w:rPr>
      </w:pPr>
    </w:p>
    <w:p w14:paraId="6B789124" w14:textId="77777777" w:rsidR="00431E58" w:rsidRPr="007157BD" w:rsidRDefault="00431E58" w:rsidP="00431E58">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0B65132F" w14:textId="77777777" w:rsidR="00431E58" w:rsidRPr="000915D6" w:rsidRDefault="00431E58" w:rsidP="00431E58">
      <w:pPr>
        <w:keepNext/>
        <w:suppressAutoHyphens/>
        <w:spacing w:after="0"/>
        <w:jc w:val="right"/>
        <w:rPr>
          <w:rFonts w:ascii="Arial Narrow" w:hAnsi="Arial Narrow"/>
          <w:b/>
          <w:sz w:val="24"/>
        </w:rPr>
      </w:pPr>
      <w:r w:rsidRPr="004A4EAF">
        <w:rPr>
          <w:rFonts w:ascii="Arial Narrow" w:hAnsi="Arial Narrow"/>
          <w:b/>
          <w:sz w:val="24"/>
        </w:rPr>
        <w:t>[</w:t>
      </w:r>
      <w:r w:rsidRPr="004A4EAF">
        <w:rPr>
          <w:rFonts w:ascii="Arial Narrow" w:hAnsi="Arial Narrow"/>
          <w:b/>
          <w:i/>
          <w:sz w:val="24"/>
        </w:rPr>
        <w:t>název</w:t>
      </w:r>
      <w:r w:rsidRPr="004A4EAF">
        <w:rPr>
          <w:rFonts w:ascii="Arial Narrow" w:hAnsi="Arial Narrow"/>
          <w:b/>
          <w:sz w:val="24"/>
        </w:rPr>
        <w:t>]</w:t>
      </w:r>
    </w:p>
    <w:p w14:paraId="531EB16B" w14:textId="77777777" w:rsidR="003443A2" w:rsidRDefault="00431E58" w:rsidP="00431E58">
      <w:pPr>
        <w:jc w:val="right"/>
        <w:rPr>
          <w:rFonts w:ascii="Arial Narrow" w:hAnsi="Arial Narrow"/>
          <w:b/>
          <w:sz w:val="24"/>
        </w:rPr>
        <w:sectPr w:rsidR="003443A2" w:rsidSect="007F06C0">
          <w:pgSz w:w="16838" w:h="11906" w:orient="landscape" w:code="9"/>
          <w:pgMar w:top="1418" w:right="1276" w:bottom="1418" w:left="1134" w:header="709" w:footer="709" w:gutter="0"/>
          <w:cols w:space="708"/>
          <w:docGrid w:linePitch="360"/>
        </w:sect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p w14:paraId="2317C343" w14:textId="67556C0A" w:rsidR="00431E58" w:rsidRDefault="00431E58" w:rsidP="00431E58">
      <w:pPr>
        <w:jc w:val="right"/>
        <w:rPr>
          <w:rFonts w:ascii="Arial Narrow" w:hAnsi="Arial Narrow"/>
          <w:b/>
          <w:sz w:val="24"/>
        </w:rPr>
      </w:pPr>
    </w:p>
    <w:p w14:paraId="72F9D77A" w14:textId="3BB9ECF2" w:rsidR="007F06C0" w:rsidRDefault="007F06C0" w:rsidP="007F06C0">
      <w:pPr>
        <w:jc w:val="right"/>
        <w:rPr>
          <w:b/>
          <w:i/>
        </w:rPr>
      </w:pPr>
      <w:r w:rsidRPr="00050BF0">
        <w:rPr>
          <w:b/>
          <w:i/>
        </w:rPr>
        <w:t xml:space="preserve">Příloha č. </w:t>
      </w:r>
      <w:r>
        <w:rPr>
          <w:b/>
          <w:i/>
        </w:rPr>
        <w:t>2</w:t>
      </w:r>
      <w:r w:rsidRPr="00050BF0">
        <w:rPr>
          <w:b/>
          <w:i/>
        </w:rPr>
        <w:t xml:space="preserve"> k………………ze dne…</w:t>
      </w:r>
      <w:proofErr w:type="gramStart"/>
      <w:r w:rsidRPr="00050BF0">
        <w:rPr>
          <w:b/>
          <w:i/>
        </w:rPr>
        <w:t>…..</w:t>
      </w:r>
      <w:proofErr w:type="gramEnd"/>
    </w:p>
    <w:p w14:paraId="4FAF32A7" w14:textId="77777777" w:rsidR="00913D4F" w:rsidRPr="007F06C0" w:rsidRDefault="00913D4F" w:rsidP="007F06C0">
      <w:pPr>
        <w:jc w:val="right"/>
        <w:rPr>
          <w:b/>
          <w:i/>
        </w:rPr>
      </w:pPr>
    </w:p>
    <w:p w14:paraId="1EB894D9" w14:textId="7E48BC8D" w:rsidR="005C2FAD" w:rsidRDefault="00913D4F" w:rsidP="005C2FAD">
      <w:pPr>
        <w:suppressAutoHyphens/>
        <w:rPr>
          <w:rFonts w:ascii="Calibri" w:eastAsia="Calibri" w:hAnsi="Calibri" w:cs="Arial"/>
          <w:b/>
          <w:color w:val="FF0000"/>
          <w:sz w:val="28"/>
          <w:szCs w:val="28"/>
          <w:u w:val="single"/>
          <w:lang w:eastAsia="zh-CN"/>
        </w:rPr>
      </w:pPr>
      <w:r>
        <w:rPr>
          <w:rFonts w:ascii="Calibri" w:eastAsia="Calibri" w:hAnsi="Calibri" w:cs="Arial"/>
          <w:b/>
          <w:color w:val="FF0000"/>
          <w:sz w:val="28"/>
          <w:szCs w:val="28"/>
          <w:u w:val="single"/>
          <w:lang w:eastAsia="zh-CN"/>
        </w:rPr>
        <w:t>Automat mycí a desinfekční pro operační obuv</w:t>
      </w:r>
      <w:r w:rsidR="005C2FAD" w:rsidRPr="005C2FAD">
        <w:rPr>
          <w:rFonts w:ascii="Calibri" w:eastAsia="Calibri" w:hAnsi="Calibri" w:cs="Arial"/>
          <w:b/>
          <w:color w:val="FF0000"/>
          <w:sz w:val="28"/>
          <w:szCs w:val="28"/>
          <w:u w:val="single"/>
          <w:lang w:eastAsia="zh-CN"/>
        </w:rPr>
        <w:t xml:space="preserve"> – 1ks</w:t>
      </w:r>
    </w:p>
    <w:p w14:paraId="0E786CE0" w14:textId="77777777" w:rsidR="00911332" w:rsidRPr="005C2FAD" w:rsidRDefault="00911332" w:rsidP="005C2FAD">
      <w:pPr>
        <w:suppressAutoHyphens/>
        <w:rPr>
          <w:rFonts w:ascii="Calibri" w:eastAsia="Calibri" w:hAnsi="Calibri" w:cs="Arial"/>
          <w:color w:val="000000"/>
          <w:sz w:val="24"/>
          <w:szCs w:val="24"/>
          <w:lang w:eastAsia="zh-CN"/>
        </w:rPr>
      </w:pPr>
    </w:p>
    <w:p w14:paraId="63D96572" w14:textId="77777777" w:rsidR="00913D4F" w:rsidRDefault="00913D4F" w:rsidP="00913D4F">
      <w:pPr>
        <w:suppressAutoHyphens/>
        <w:rPr>
          <w:rFonts w:ascii="Calibri" w:eastAsia="Calibri" w:hAnsi="Calibri" w:cs="Arial"/>
          <w:b/>
          <w:bCs/>
          <w:color w:val="000000"/>
          <w:sz w:val="24"/>
          <w:szCs w:val="24"/>
          <w:lang w:eastAsia="zh-CN"/>
        </w:rPr>
      </w:pPr>
      <w:r w:rsidRPr="00913D4F">
        <w:rPr>
          <w:rFonts w:ascii="Calibri" w:eastAsia="Calibri" w:hAnsi="Calibri" w:cs="Arial"/>
          <w:b/>
          <w:bCs/>
          <w:color w:val="000000"/>
          <w:sz w:val="24"/>
          <w:szCs w:val="24"/>
          <w:lang w:eastAsia="zh-CN"/>
        </w:rPr>
        <w:t xml:space="preserve">Mycí a dezinfekční automat je určen pro automatické čištění a dezinfekci operační obuvi různých výrobců užívaných na centrálních operačních sálech </w:t>
      </w:r>
    </w:p>
    <w:p w14:paraId="3CF598D4" w14:textId="77777777" w:rsidR="00911332" w:rsidRPr="00913D4F" w:rsidRDefault="00911332" w:rsidP="00913D4F">
      <w:pPr>
        <w:suppressAutoHyphens/>
        <w:rPr>
          <w:rFonts w:ascii="Calibri" w:eastAsia="Calibri" w:hAnsi="Calibri" w:cs="Arial"/>
          <w:color w:val="000000"/>
          <w:sz w:val="24"/>
          <w:szCs w:val="24"/>
          <w:lang w:eastAsia="zh-CN"/>
        </w:rPr>
      </w:pPr>
    </w:p>
    <w:p w14:paraId="26159F6E"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samostatně stojící mycí automat</w:t>
      </w:r>
    </w:p>
    <w:p w14:paraId="269210B6"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přístroj s elektronickou programovací jednotkou</w:t>
      </w:r>
    </w:p>
    <w:p w14:paraId="4C97D01C"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jednodveřové vyklápěcí nerezové dveře – výjezd koše na dveře</w:t>
      </w:r>
    </w:p>
    <w:p w14:paraId="7717B2A3"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plášť a komora z ušlechtilé nerez oceli</w:t>
      </w:r>
    </w:p>
    <w:p w14:paraId="632D09B4"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dvouplášťové provedení se zvukovou i tepelnou izolací</w:t>
      </w:r>
    </w:p>
    <w:p w14:paraId="51DA2D35"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připojení a instalace bez stavebních úprav</w:t>
      </w:r>
    </w:p>
    <w:p w14:paraId="3A053CE5"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 xml:space="preserve">mycí prostor se dvěma nerezovými mycími rameny </w:t>
      </w:r>
    </w:p>
    <w:p w14:paraId="75FDF395"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bezespárový vnitřní prostor s modulárním košovým vybavením</w:t>
      </w:r>
    </w:p>
    <w:p w14:paraId="2A768587"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elektricky blokované dveře během mycího cyklu</w:t>
      </w:r>
    </w:p>
    <w:p w14:paraId="1FED6330"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výkonné oběhové čerpadlo s kontrolou mycího tlaku</w:t>
      </w:r>
    </w:p>
    <w:p w14:paraId="7102E56D"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kontrola rotace ramen</w:t>
      </w:r>
    </w:p>
    <w:p w14:paraId="17288142"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automatické dovírání a uzamykání dveří</w:t>
      </w:r>
    </w:p>
    <w:p w14:paraId="07F381CB"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elektrické vytápění; skrytá topná tělesa</w:t>
      </w:r>
    </w:p>
    <w:p w14:paraId="23C700CB"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horkovzdušný sušící agregát</w:t>
      </w:r>
    </w:p>
    <w:p w14:paraId="2476407E"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proofErr w:type="spellStart"/>
      <w:r w:rsidRPr="00913D4F">
        <w:rPr>
          <w:rFonts w:ascii="Calibri" w:eastAsia="Calibri" w:hAnsi="Calibri" w:cs="Arial"/>
          <w:color w:val="000000"/>
          <w:sz w:val="24"/>
          <w:szCs w:val="24"/>
          <w:lang w:eastAsia="zh-CN"/>
        </w:rPr>
        <w:t>hepa</w:t>
      </w:r>
      <w:proofErr w:type="spellEnd"/>
      <w:r w:rsidRPr="00913D4F">
        <w:rPr>
          <w:rFonts w:ascii="Calibri" w:eastAsia="Calibri" w:hAnsi="Calibri" w:cs="Arial"/>
          <w:color w:val="000000"/>
          <w:sz w:val="24"/>
          <w:szCs w:val="24"/>
          <w:lang w:eastAsia="zh-CN"/>
        </w:rPr>
        <w:t xml:space="preserve"> filtr s vysokým stupněm ochrany </w:t>
      </w:r>
    </w:p>
    <w:p w14:paraId="6794E5F5"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filtrační systém uvnitř komory – snadno dostupný a čistitelný</w:t>
      </w:r>
    </w:p>
    <w:p w14:paraId="5646CD15" w14:textId="77777777" w:rsid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dávkovací zařízení na min. 2 tekutá média</w:t>
      </w:r>
    </w:p>
    <w:p w14:paraId="34F4D37C" w14:textId="77777777" w:rsidR="00911332" w:rsidRDefault="00911332" w:rsidP="00911332">
      <w:pPr>
        <w:suppressAutoHyphens/>
        <w:ind w:left="720"/>
        <w:rPr>
          <w:rFonts w:ascii="Calibri" w:eastAsia="Calibri" w:hAnsi="Calibri" w:cs="Arial"/>
          <w:color w:val="000000"/>
          <w:sz w:val="24"/>
          <w:szCs w:val="24"/>
          <w:lang w:eastAsia="zh-CN"/>
        </w:rPr>
      </w:pPr>
    </w:p>
    <w:p w14:paraId="2F62070D" w14:textId="77777777" w:rsidR="00911332" w:rsidRPr="00913D4F" w:rsidRDefault="00911332" w:rsidP="00911332">
      <w:pPr>
        <w:suppressAutoHyphens/>
        <w:ind w:left="720"/>
        <w:rPr>
          <w:rFonts w:ascii="Calibri" w:eastAsia="Calibri" w:hAnsi="Calibri" w:cs="Arial"/>
          <w:color w:val="000000"/>
          <w:sz w:val="24"/>
          <w:szCs w:val="24"/>
          <w:lang w:eastAsia="zh-CN"/>
        </w:rPr>
      </w:pPr>
    </w:p>
    <w:p w14:paraId="753679BD"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 xml:space="preserve">mycí programy pro pH neutrální, enzymatické nebo alkalické mytí s termickou nebo </w:t>
      </w:r>
      <w:proofErr w:type="spellStart"/>
      <w:r w:rsidRPr="00913D4F">
        <w:rPr>
          <w:rFonts w:ascii="Calibri" w:eastAsia="Calibri" w:hAnsi="Calibri" w:cs="Arial"/>
          <w:color w:val="000000"/>
          <w:sz w:val="24"/>
          <w:szCs w:val="24"/>
          <w:lang w:eastAsia="zh-CN"/>
        </w:rPr>
        <w:t>chemotermickou</w:t>
      </w:r>
      <w:proofErr w:type="spellEnd"/>
      <w:r w:rsidRPr="00913D4F">
        <w:rPr>
          <w:rFonts w:ascii="Calibri" w:eastAsia="Calibri" w:hAnsi="Calibri" w:cs="Arial"/>
          <w:color w:val="000000"/>
          <w:sz w:val="24"/>
          <w:szCs w:val="24"/>
          <w:lang w:eastAsia="zh-CN"/>
        </w:rPr>
        <w:t xml:space="preserve"> dezinfekcí při závěrečném oplachu DEMI vodou</w:t>
      </w:r>
    </w:p>
    <w:p w14:paraId="45E94311"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 xml:space="preserve">vestavěný kondenzátor par </w:t>
      </w:r>
    </w:p>
    <w:p w14:paraId="20BEC350"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min. 8 mycích programů</w:t>
      </w:r>
    </w:p>
    <w:p w14:paraId="51578943"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nerezový dotykový ovládací panel s tlačítky rychlé volby</w:t>
      </w:r>
    </w:p>
    <w:p w14:paraId="2639A7D5"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mycí prostor o min. kapacitě 14 párů bot</w:t>
      </w:r>
    </w:p>
    <w:p w14:paraId="0CE85DB7"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displej s informacemi o nastaveném programu, fázi cyklu a se signalizací poruch v ČJ</w:t>
      </w:r>
    </w:p>
    <w:p w14:paraId="495FE5F5"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výstup pro dokumentaci průběhu mycího cyklu na PC a výstup pro přímý tisk</w:t>
      </w:r>
    </w:p>
    <w:p w14:paraId="7F05D5D8"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splnění normy ČSN EN 15883-1,2; doloženo certifikátem</w:t>
      </w:r>
    </w:p>
    <w:p w14:paraId="1DE9CA9D" w14:textId="77777777" w:rsidR="00913D4F" w:rsidRPr="00913D4F" w:rsidRDefault="00913D4F" w:rsidP="00913D4F">
      <w:pPr>
        <w:numPr>
          <w:ilvl w:val="0"/>
          <w:numId w:val="18"/>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 xml:space="preserve">splnění vyhlášky MZ ČR č. 306/2012 Sb. termická a </w:t>
      </w:r>
      <w:proofErr w:type="spellStart"/>
      <w:r w:rsidRPr="00913D4F">
        <w:rPr>
          <w:rFonts w:ascii="Calibri" w:eastAsia="Calibri" w:hAnsi="Calibri" w:cs="Arial"/>
          <w:color w:val="000000"/>
          <w:sz w:val="24"/>
          <w:szCs w:val="24"/>
          <w:lang w:eastAsia="zh-CN"/>
        </w:rPr>
        <w:t>chemotermická</w:t>
      </w:r>
      <w:proofErr w:type="spellEnd"/>
      <w:r w:rsidRPr="00913D4F">
        <w:rPr>
          <w:rFonts w:ascii="Calibri" w:eastAsia="Calibri" w:hAnsi="Calibri" w:cs="Arial"/>
          <w:color w:val="000000"/>
          <w:sz w:val="24"/>
          <w:szCs w:val="24"/>
          <w:lang w:eastAsia="zh-CN"/>
        </w:rPr>
        <w:t xml:space="preserve"> dezinfekce; splnění parametru A</w:t>
      </w:r>
      <w:r w:rsidRPr="00913D4F">
        <w:rPr>
          <w:rFonts w:ascii="Calibri" w:eastAsia="Calibri" w:hAnsi="Calibri" w:cs="Arial"/>
          <w:color w:val="000000"/>
          <w:sz w:val="24"/>
          <w:szCs w:val="24"/>
          <w:vertAlign w:val="subscript"/>
          <w:lang w:eastAsia="zh-CN"/>
        </w:rPr>
        <w:t>0</w:t>
      </w:r>
    </w:p>
    <w:p w14:paraId="2D0EA85A" w14:textId="77777777" w:rsidR="00913D4F" w:rsidRPr="00913D4F" w:rsidRDefault="00913D4F" w:rsidP="00913D4F">
      <w:pPr>
        <w:suppressAutoHyphens/>
        <w:rPr>
          <w:rFonts w:ascii="Calibri" w:eastAsia="Calibri" w:hAnsi="Calibri" w:cs="Arial"/>
          <w:b/>
          <w:bCs/>
          <w:color w:val="000000"/>
          <w:sz w:val="24"/>
          <w:szCs w:val="24"/>
          <w:lang w:eastAsia="zh-CN"/>
        </w:rPr>
      </w:pPr>
    </w:p>
    <w:p w14:paraId="265D4AD5" w14:textId="77777777" w:rsidR="00913D4F" w:rsidRPr="00913D4F" w:rsidRDefault="00913D4F" w:rsidP="00913D4F">
      <w:pPr>
        <w:suppressAutoHyphens/>
        <w:rPr>
          <w:rFonts w:ascii="Calibri" w:eastAsia="Calibri" w:hAnsi="Calibri" w:cs="Arial"/>
          <w:color w:val="000000"/>
          <w:sz w:val="24"/>
          <w:szCs w:val="24"/>
          <w:lang w:eastAsia="zh-CN"/>
        </w:rPr>
      </w:pPr>
      <w:r w:rsidRPr="00913D4F">
        <w:rPr>
          <w:rFonts w:ascii="Calibri" w:eastAsia="Calibri" w:hAnsi="Calibri" w:cs="Arial"/>
          <w:b/>
          <w:bCs/>
          <w:color w:val="000000"/>
          <w:sz w:val="24"/>
          <w:szCs w:val="24"/>
          <w:lang w:eastAsia="zh-CN"/>
        </w:rPr>
        <w:t>příslušenství</w:t>
      </w:r>
    </w:p>
    <w:p w14:paraId="640C8174" w14:textId="77777777" w:rsidR="00913D4F" w:rsidRPr="00913D4F" w:rsidRDefault="00913D4F" w:rsidP="00913D4F">
      <w:pPr>
        <w:numPr>
          <w:ilvl w:val="0"/>
          <w:numId w:val="20"/>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1 ks spodního nerezové koše pro uložení běžných síťových misek DIN a různých nástavců např. na operační obuv</w:t>
      </w:r>
    </w:p>
    <w:p w14:paraId="4ECF2232" w14:textId="77777777" w:rsidR="00913D4F" w:rsidRPr="00913D4F" w:rsidRDefault="00913D4F" w:rsidP="00913D4F">
      <w:pPr>
        <w:numPr>
          <w:ilvl w:val="0"/>
          <w:numId w:val="20"/>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 xml:space="preserve">vložka pro </w:t>
      </w:r>
      <w:proofErr w:type="gramStart"/>
      <w:r w:rsidRPr="00913D4F">
        <w:rPr>
          <w:rFonts w:ascii="Calibri" w:eastAsia="Calibri" w:hAnsi="Calibri" w:cs="Arial"/>
          <w:color w:val="000000"/>
          <w:sz w:val="24"/>
          <w:szCs w:val="24"/>
          <w:lang w:eastAsia="zh-CN"/>
        </w:rPr>
        <w:t>uložení  obuvi</w:t>
      </w:r>
      <w:proofErr w:type="gramEnd"/>
      <w:r w:rsidRPr="00913D4F">
        <w:rPr>
          <w:rFonts w:ascii="Calibri" w:eastAsia="Calibri" w:hAnsi="Calibri" w:cs="Arial"/>
          <w:color w:val="000000"/>
          <w:sz w:val="24"/>
          <w:szCs w:val="24"/>
          <w:lang w:eastAsia="zh-CN"/>
        </w:rPr>
        <w:t xml:space="preserve"> až do velikosti 48 pro použití ve spodním koši</w:t>
      </w:r>
    </w:p>
    <w:p w14:paraId="7B5FB6F2" w14:textId="77777777" w:rsidR="00913D4F" w:rsidRPr="00913D4F" w:rsidRDefault="00913D4F" w:rsidP="00913D4F">
      <w:pPr>
        <w:numPr>
          <w:ilvl w:val="0"/>
          <w:numId w:val="20"/>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horní koš pro uložení obuvi</w:t>
      </w:r>
    </w:p>
    <w:p w14:paraId="21FA5980" w14:textId="77777777" w:rsidR="00913D4F" w:rsidRPr="00913D4F" w:rsidRDefault="00913D4F" w:rsidP="00913D4F">
      <w:pPr>
        <w:numPr>
          <w:ilvl w:val="0"/>
          <w:numId w:val="20"/>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nerezový podstavec</w:t>
      </w:r>
    </w:p>
    <w:p w14:paraId="1C485972" w14:textId="77777777" w:rsidR="00913D4F" w:rsidRPr="00913D4F" w:rsidRDefault="00913D4F" w:rsidP="00913D4F">
      <w:pPr>
        <w:numPr>
          <w:ilvl w:val="0"/>
          <w:numId w:val="20"/>
        </w:numPr>
        <w:suppressAutoHyphens/>
        <w:rPr>
          <w:rFonts w:ascii="Calibri" w:eastAsia="Calibri" w:hAnsi="Calibri" w:cs="Arial"/>
          <w:b/>
          <w:bCs/>
          <w:color w:val="000000"/>
          <w:sz w:val="24"/>
          <w:szCs w:val="24"/>
          <w:lang w:eastAsia="zh-CN"/>
        </w:rPr>
      </w:pPr>
      <w:r w:rsidRPr="00913D4F">
        <w:rPr>
          <w:rFonts w:ascii="Calibri" w:eastAsia="Calibri" w:hAnsi="Calibri" w:cs="Arial"/>
          <w:color w:val="000000"/>
          <w:sz w:val="24"/>
          <w:szCs w:val="24"/>
          <w:lang w:eastAsia="zh-CN"/>
        </w:rPr>
        <w:t xml:space="preserve">košové vybavení pro 38 ks 250ml kojeneckých </w:t>
      </w:r>
      <w:proofErr w:type="gramStart"/>
      <w:r w:rsidRPr="00913D4F">
        <w:rPr>
          <w:rFonts w:ascii="Calibri" w:eastAsia="Calibri" w:hAnsi="Calibri" w:cs="Arial"/>
          <w:color w:val="000000"/>
          <w:sz w:val="24"/>
          <w:szCs w:val="24"/>
          <w:lang w:eastAsia="zh-CN"/>
        </w:rPr>
        <w:t>lahví a  pro</w:t>
      </w:r>
      <w:proofErr w:type="gramEnd"/>
      <w:r w:rsidRPr="00913D4F">
        <w:rPr>
          <w:rFonts w:ascii="Calibri" w:eastAsia="Calibri" w:hAnsi="Calibri" w:cs="Arial"/>
          <w:color w:val="000000"/>
          <w:sz w:val="24"/>
          <w:szCs w:val="24"/>
          <w:lang w:eastAsia="zh-CN"/>
        </w:rPr>
        <w:t xml:space="preserve"> 38 ks 90 ml kojeneckých lahví v jednom cyklu</w:t>
      </w:r>
    </w:p>
    <w:p w14:paraId="1E9C2B01" w14:textId="77777777" w:rsidR="00913D4F" w:rsidRPr="00913D4F" w:rsidRDefault="00913D4F" w:rsidP="00913D4F">
      <w:pPr>
        <w:suppressAutoHyphens/>
        <w:rPr>
          <w:rFonts w:ascii="Calibri" w:eastAsia="Calibri" w:hAnsi="Calibri" w:cs="Arial"/>
          <w:b/>
          <w:bCs/>
          <w:color w:val="000000"/>
          <w:sz w:val="24"/>
          <w:szCs w:val="24"/>
          <w:lang w:eastAsia="zh-CN"/>
        </w:rPr>
      </w:pPr>
    </w:p>
    <w:p w14:paraId="682A8EDE" w14:textId="77777777" w:rsidR="00913D4F" w:rsidRPr="00913D4F" w:rsidRDefault="00913D4F" w:rsidP="00913D4F">
      <w:pPr>
        <w:suppressAutoHyphens/>
        <w:rPr>
          <w:rFonts w:ascii="Calibri" w:eastAsia="Calibri" w:hAnsi="Calibri" w:cs="Arial"/>
          <w:color w:val="000000"/>
          <w:sz w:val="24"/>
          <w:szCs w:val="24"/>
          <w:lang w:eastAsia="zh-CN"/>
        </w:rPr>
      </w:pPr>
      <w:r w:rsidRPr="00913D4F">
        <w:rPr>
          <w:rFonts w:ascii="Calibri" w:eastAsia="Calibri" w:hAnsi="Calibri" w:cs="Arial"/>
          <w:b/>
          <w:bCs/>
          <w:color w:val="000000"/>
          <w:sz w:val="24"/>
          <w:szCs w:val="24"/>
          <w:lang w:eastAsia="zh-CN"/>
        </w:rPr>
        <w:t>specifikace stavební připravenosti</w:t>
      </w:r>
    </w:p>
    <w:p w14:paraId="43B7BBC1" w14:textId="77777777" w:rsidR="00913D4F" w:rsidRPr="00913D4F" w:rsidRDefault="00913D4F" w:rsidP="00913D4F">
      <w:pPr>
        <w:numPr>
          <w:ilvl w:val="0"/>
          <w:numId w:val="19"/>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připojení na rozvody studené vody o průměru ¾“</w:t>
      </w:r>
    </w:p>
    <w:p w14:paraId="7AAAC489" w14:textId="77777777" w:rsidR="00913D4F" w:rsidRPr="00913D4F" w:rsidRDefault="00913D4F" w:rsidP="00913D4F">
      <w:pPr>
        <w:numPr>
          <w:ilvl w:val="0"/>
          <w:numId w:val="19"/>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napojení hadice na odpad DIN 50</w:t>
      </w:r>
    </w:p>
    <w:p w14:paraId="0442AB6B" w14:textId="77777777" w:rsidR="00913D4F" w:rsidRPr="00913D4F" w:rsidRDefault="00913D4F" w:rsidP="00913D4F">
      <w:pPr>
        <w:numPr>
          <w:ilvl w:val="0"/>
          <w:numId w:val="19"/>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 xml:space="preserve">napojení na odpad přes vypouštěcí čerpadlo </w:t>
      </w:r>
      <w:proofErr w:type="gramStart"/>
      <w:r w:rsidRPr="00913D4F">
        <w:rPr>
          <w:rFonts w:ascii="Calibri" w:eastAsia="Calibri" w:hAnsi="Calibri" w:cs="Arial"/>
          <w:color w:val="000000"/>
          <w:sz w:val="24"/>
          <w:szCs w:val="24"/>
          <w:lang w:eastAsia="zh-CN"/>
        </w:rPr>
        <w:t>hadicí ¾“  do</w:t>
      </w:r>
      <w:proofErr w:type="gramEnd"/>
      <w:r w:rsidRPr="00913D4F">
        <w:rPr>
          <w:rFonts w:ascii="Calibri" w:eastAsia="Calibri" w:hAnsi="Calibri" w:cs="Arial"/>
          <w:color w:val="000000"/>
          <w:sz w:val="24"/>
          <w:szCs w:val="24"/>
          <w:lang w:eastAsia="zh-CN"/>
        </w:rPr>
        <w:t xml:space="preserve"> </w:t>
      </w:r>
      <w:proofErr w:type="spellStart"/>
      <w:r w:rsidRPr="00913D4F">
        <w:rPr>
          <w:rFonts w:ascii="Calibri" w:eastAsia="Calibri" w:hAnsi="Calibri" w:cs="Arial"/>
          <w:color w:val="000000"/>
          <w:sz w:val="24"/>
          <w:szCs w:val="24"/>
          <w:lang w:eastAsia="zh-CN"/>
        </w:rPr>
        <w:t>pračkového</w:t>
      </w:r>
      <w:proofErr w:type="spellEnd"/>
      <w:r w:rsidRPr="00913D4F">
        <w:rPr>
          <w:rFonts w:ascii="Calibri" w:eastAsia="Calibri" w:hAnsi="Calibri" w:cs="Arial"/>
          <w:color w:val="000000"/>
          <w:sz w:val="24"/>
          <w:szCs w:val="24"/>
          <w:lang w:eastAsia="zh-CN"/>
        </w:rPr>
        <w:t xml:space="preserve"> sifonu</w:t>
      </w:r>
    </w:p>
    <w:p w14:paraId="0CB6CDB7" w14:textId="77777777" w:rsidR="00913D4F" w:rsidRDefault="00913D4F" w:rsidP="00913D4F">
      <w:pPr>
        <w:numPr>
          <w:ilvl w:val="0"/>
          <w:numId w:val="19"/>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napájení 230 V / 50 Hz</w:t>
      </w:r>
    </w:p>
    <w:p w14:paraId="5EB550BE" w14:textId="77777777" w:rsidR="00911332" w:rsidRPr="00913D4F" w:rsidRDefault="00911332" w:rsidP="00911332">
      <w:pPr>
        <w:suppressAutoHyphens/>
        <w:ind w:left="720"/>
        <w:rPr>
          <w:rFonts w:ascii="Calibri" w:eastAsia="Calibri" w:hAnsi="Calibri" w:cs="Arial"/>
          <w:color w:val="000000"/>
          <w:sz w:val="24"/>
          <w:szCs w:val="24"/>
          <w:lang w:eastAsia="zh-CN"/>
        </w:rPr>
      </w:pPr>
    </w:p>
    <w:p w14:paraId="5BFE8E8A" w14:textId="77777777" w:rsidR="00913D4F" w:rsidRPr="00913D4F" w:rsidRDefault="00913D4F" w:rsidP="00913D4F">
      <w:pPr>
        <w:numPr>
          <w:ilvl w:val="0"/>
          <w:numId w:val="19"/>
        </w:numPr>
        <w:suppressAutoHyphens/>
        <w:rPr>
          <w:rFonts w:ascii="Calibri" w:eastAsia="Calibri" w:hAnsi="Calibri" w:cs="Arial"/>
          <w:color w:val="000000"/>
          <w:sz w:val="24"/>
          <w:szCs w:val="24"/>
          <w:lang w:eastAsia="zh-CN"/>
        </w:rPr>
      </w:pPr>
      <w:r w:rsidRPr="00913D4F">
        <w:rPr>
          <w:rFonts w:ascii="Calibri" w:eastAsia="Calibri" w:hAnsi="Calibri" w:cs="Arial"/>
          <w:color w:val="000000"/>
          <w:sz w:val="24"/>
          <w:szCs w:val="24"/>
          <w:lang w:eastAsia="zh-CN"/>
        </w:rPr>
        <w:t xml:space="preserve">max. možné rozměry v/š/h: 2400/1000/800 mm </w:t>
      </w:r>
    </w:p>
    <w:p w14:paraId="191A4DE8" w14:textId="77777777" w:rsidR="006B7827" w:rsidRDefault="006B7827" w:rsidP="00A17F2A">
      <w:pPr>
        <w:suppressAutoHyphens/>
        <w:spacing w:after="143"/>
        <w:rPr>
          <w:rFonts w:cs="Arial"/>
          <w:color w:val="000000"/>
        </w:rPr>
      </w:pPr>
    </w:p>
    <w:p w14:paraId="17A3FA7F" w14:textId="77777777" w:rsidR="006B7827" w:rsidRDefault="006B7827" w:rsidP="00A17F2A">
      <w:pPr>
        <w:suppressAutoHyphens/>
        <w:spacing w:after="143"/>
        <w:rPr>
          <w:rFonts w:cs="Arial"/>
          <w:color w:val="000000"/>
        </w:rPr>
      </w:pPr>
    </w:p>
    <w:p w14:paraId="08CD9E66" w14:textId="77777777" w:rsidR="006B7827" w:rsidRDefault="006B7827" w:rsidP="00A17F2A">
      <w:pPr>
        <w:suppressAutoHyphens/>
        <w:spacing w:after="143"/>
        <w:rPr>
          <w:rFonts w:cs="Arial"/>
          <w:color w:val="000000"/>
        </w:rPr>
      </w:pPr>
    </w:p>
    <w:p w14:paraId="1770F09B" w14:textId="77777777" w:rsidR="00A17F2A" w:rsidRPr="00A17F2A" w:rsidRDefault="00A17F2A" w:rsidP="00A17F2A">
      <w:pPr>
        <w:suppressAutoHyphens/>
        <w:spacing w:after="143"/>
        <w:rPr>
          <w:color w:val="000000"/>
        </w:rPr>
      </w:pPr>
    </w:p>
    <w:p w14:paraId="6B074D72" w14:textId="77777777" w:rsidR="00A17F2A" w:rsidRPr="003C62C0" w:rsidRDefault="00A17F2A" w:rsidP="00A17F2A">
      <w:pPr>
        <w:suppressAutoHyphens/>
        <w:spacing w:after="143"/>
        <w:ind w:left="720"/>
        <w:jc w:val="right"/>
        <w:rPr>
          <w:rFonts w:cs="Arial"/>
          <w:color w:val="000000"/>
        </w:rPr>
      </w:pPr>
      <w:r w:rsidRPr="003C62C0">
        <w:rPr>
          <w:rFonts w:cs="Arial"/>
          <w:color w:val="000000"/>
        </w:rPr>
        <w:t>V ……………… dne ……………………….</w:t>
      </w:r>
    </w:p>
    <w:p w14:paraId="12330867" w14:textId="77777777" w:rsidR="00A17F2A" w:rsidRPr="00A17F2A" w:rsidRDefault="00A17F2A" w:rsidP="00A17F2A">
      <w:pPr>
        <w:suppressAutoHyphens/>
        <w:spacing w:after="143"/>
        <w:ind w:left="720"/>
        <w:jc w:val="right"/>
        <w:rPr>
          <w:rFonts w:cs="Arial"/>
          <w:b/>
          <w:color w:val="000000"/>
        </w:rPr>
      </w:pPr>
    </w:p>
    <w:p w14:paraId="4AD616BB"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PRODÁVAJÍCÍ:</w:t>
      </w:r>
    </w:p>
    <w:p w14:paraId="473E8666" w14:textId="77777777" w:rsidR="00A17F2A" w:rsidRPr="00A17F2A" w:rsidRDefault="00A17F2A" w:rsidP="00A17F2A">
      <w:pPr>
        <w:suppressAutoHyphens/>
        <w:spacing w:after="143"/>
        <w:ind w:left="720"/>
        <w:jc w:val="right"/>
        <w:rPr>
          <w:rFonts w:cs="Arial"/>
          <w:b/>
          <w:color w:val="000000"/>
        </w:rPr>
      </w:pPr>
    </w:p>
    <w:p w14:paraId="44B6DA1C" w14:textId="77777777" w:rsidR="00A17F2A" w:rsidRPr="00A17F2A" w:rsidRDefault="00A17F2A" w:rsidP="00A17F2A">
      <w:pPr>
        <w:suppressAutoHyphens/>
        <w:spacing w:after="143"/>
        <w:ind w:left="720"/>
        <w:jc w:val="right"/>
        <w:rPr>
          <w:rFonts w:cs="Arial"/>
          <w:b/>
          <w:color w:val="000000"/>
        </w:rPr>
      </w:pPr>
    </w:p>
    <w:p w14:paraId="35DA42F5"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___________________________________</w:t>
      </w:r>
    </w:p>
    <w:p w14:paraId="1147823B" w14:textId="77777777" w:rsidR="00A17F2A" w:rsidRPr="00A17F2A" w:rsidRDefault="00A17F2A" w:rsidP="00A17F2A">
      <w:pPr>
        <w:suppressAutoHyphens/>
        <w:spacing w:after="143"/>
        <w:ind w:left="720"/>
        <w:jc w:val="right"/>
        <w:rPr>
          <w:rFonts w:cs="Arial"/>
          <w:b/>
          <w:color w:val="000000"/>
        </w:rPr>
      </w:pPr>
      <w:r w:rsidRPr="00A17F2A">
        <w:rPr>
          <w:rFonts w:cs="Arial"/>
          <w:b/>
          <w:color w:val="000000"/>
        </w:rPr>
        <w:t>[název]</w:t>
      </w:r>
    </w:p>
    <w:p w14:paraId="45E803BF" w14:textId="7F5BC102" w:rsidR="00A17F2A" w:rsidRPr="00A17F2A" w:rsidRDefault="00A17F2A" w:rsidP="00A17F2A">
      <w:pPr>
        <w:suppressAutoHyphens/>
        <w:spacing w:after="143"/>
        <w:ind w:left="720"/>
        <w:jc w:val="right"/>
        <w:rPr>
          <w:rFonts w:cs="Arial"/>
          <w:b/>
          <w:color w:val="000000"/>
        </w:rPr>
      </w:pPr>
      <w:r w:rsidRPr="00A17F2A">
        <w:rPr>
          <w:rFonts w:cs="Arial"/>
          <w:b/>
          <w:color w:val="000000"/>
        </w:rPr>
        <w:t xml:space="preserve"> [jméno a funkce oprávněné osoby]</w:t>
      </w:r>
    </w:p>
    <w:p w14:paraId="3FBEBCFA" w14:textId="77777777" w:rsidR="00A17F2A" w:rsidRPr="007F06C0" w:rsidRDefault="00A17F2A" w:rsidP="00A17F2A">
      <w:pPr>
        <w:suppressAutoHyphens/>
        <w:spacing w:after="143"/>
        <w:ind w:left="720"/>
        <w:jc w:val="right"/>
        <w:rPr>
          <w:color w:val="000000"/>
        </w:rPr>
      </w:pPr>
    </w:p>
    <w:sectPr w:rsidR="00A17F2A" w:rsidRPr="007F06C0" w:rsidSect="003443A2">
      <w:pgSz w:w="11906" w:h="16838"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D44CE" w14:textId="77777777" w:rsidR="00752CC8" w:rsidRDefault="00752CC8" w:rsidP="007916FA">
      <w:pPr>
        <w:spacing w:after="0" w:line="240" w:lineRule="auto"/>
      </w:pPr>
      <w:r>
        <w:separator/>
      </w:r>
    </w:p>
  </w:endnote>
  <w:endnote w:type="continuationSeparator" w:id="0">
    <w:p w14:paraId="12142521" w14:textId="77777777" w:rsidR="00752CC8" w:rsidRDefault="00752CC8"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86C54" w14:textId="77777777" w:rsidR="00752CC8" w:rsidRDefault="00752CC8" w:rsidP="007916FA">
      <w:pPr>
        <w:spacing w:after="0" w:line="240" w:lineRule="auto"/>
      </w:pPr>
      <w:r>
        <w:separator/>
      </w:r>
    </w:p>
  </w:footnote>
  <w:footnote w:type="continuationSeparator" w:id="0">
    <w:p w14:paraId="269EB8C0" w14:textId="77777777" w:rsidR="00752CC8" w:rsidRDefault="00752CC8"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8FDB" w14:textId="77777777" w:rsidR="005C2FAD" w:rsidRDefault="005C2FAD">
    <w:pPr>
      <w:pStyle w:val="Zhlav"/>
    </w:pPr>
    <w:r>
      <w:rPr>
        <w:noProof/>
        <w:lang w:eastAsia="cs-CZ"/>
      </w:rPr>
      <w:drawing>
        <wp:inline distT="0" distB="0" distL="0" distR="0" wp14:anchorId="02DE0DEA" wp14:editId="1BC88E1F">
          <wp:extent cx="5759450" cy="722534"/>
          <wp:effectExtent l="0" t="0" r="0" b="1905"/>
          <wp:docPr id="1025" name="Obrázek 8" descr="C:\Users\filip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ek 8" descr="C:\Users\filip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253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9"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4771D51"/>
    <w:multiLevelType w:val="hybridMultilevel"/>
    <w:tmpl w:val="E69EC8EA"/>
    <w:lvl w:ilvl="0" w:tplc="6D8035E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15:restartNumberingAfterBreak="0">
    <w:nsid w:val="60E61C8E"/>
    <w:multiLevelType w:val="hybridMultilevel"/>
    <w:tmpl w:val="6C0C99EA"/>
    <w:lvl w:ilvl="0" w:tplc="44B64DA6">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4"/>
  </w:num>
  <w:num w:numId="3">
    <w:abstractNumId w:val="35"/>
  </w:num>
  <w:num w:numId="4">
    <w:abstractNumId w:val="33"/>
  </w:num>
  <w:num w:numId="5">
    <w:abstractNumId w:val="23"/>
  </w:num>
  <w:num w:numId="6">
    <w:abstractNumId w:val="21"/>
  </w:num>
  <w:num w:numId="7">
    <w:abstractNumId w:val="19"/>
  </w:num>
  <w:num w:numId="8">
    <w:abstractNumId w:val="20"/>
  </w:num>
  <w:num w:numId="9">
    <w:abstractNumId w:val="29"/>
  </w:num>
  <w:num w:numId="10">
    <w:abstractNumId w:val="27"/>
  </w:num>
  <w:num w:numId="11">
    <w:abstractNumId w:val="30"/>
  </w:num>
  <w:num w:numId="12">
    <w:abstractNumId w:val="26"/>
  </w:num>
  <w:num w:numId="13">
    <w:abstractNumId w:val="32"/>
  </w:num>
  <w:num w:numId="14">
    <w:abstractNumId w:val="28"/>
  </w:num>
  <w:num w:numId="15">
    <w:abstractNumId w:val="25"/>
  </w:num>
  <w:num w:numId="16">
    <w:abstractNumId w:val="31"/>
  </w:num>
  <w:num w:numId="17">
    <w:abstractNumId w:val="3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00418"/>
    <w:rsid w:val="00050BF0"/>
    <w:rsid w:val="00055730"/>
    <w:rsid w:val="0007693D"/>
    <w:rsid w:val="00081149"/>
    <w:rsid w:val="000842A0"/>
    <w:rsid w:val="000878E3"/>
    <w:rsid w:val="000967EF"/>
    <w:rsid w:val="000C5E48"/>
    <w:rsid w:val="000C7208"/>
    <w:rsid w:val="000D38F7"/>
    <w:rsid w:val="0011401C"/>
    <w:rsid w:val="00133051"/>
    <w:rsid w:val="001430EF"/>
    <w:rsid w:val="00144934"/>
    <w:rsid w:val="00183792"/>
    <w:rsid w:val="00183B4E"/>
    <w:rsid w:val="00192BD5"/>
    <w:rsid w:val="0019531D"/>
    <w:rsid w:val="001A4AA1"/>
    <w:rsid w:val="001A4B87"/>
    <w:rsid w:val="001B3ADC"/>
    <w:rsid w:val="001C1546"/>
    <w:rsid w:val="001C6E26"/>
    <w:rsid w:val="001C7E73"/>
    <w:rsid w:val="001F1CE2"/>
    <w:rsid w:val="0020125F"/>
    <w:rsid w:val="002064BE"/>
    <w:rsid w:val="00211F79"/>
    <w:rsid w:val="00214D31"/>
    <w:rsid w:val="00271ABF"/>
    <w:rsid w:val="0028244C"/>
    <w:rsid w:val="0029712C"/>
    <w:rsid w:val="002A0219"/>
    <w:rsid w:val="002A4192"/>
    <w:rsid w:val="002A57EE"/>
    <w:rsid w:val="002C5E0C"/>
    <w:rsid w:val="002D113E"/>
    <w:rsid w:val="002D4256"/>
    <w:rsid w:val="002D5494"/>
    <w:rsid w:val="002F3466"/>
    <w:rsid w:val="003044BE"/>
    <w:rsid w:val="00305194"/>
    <w:rsid w:val="003443A2"/>
    <w:rsid w:val="003469E5"/>
    <w:rsid w:val="003573E8"/>
    <w:rsid w:val="003721EF"/>
    <w:rsid w:val="00372DF6"/>
    <w:rsid w:val="00386CE1"/>
    <w:rsid w:val="003928EA"/>
    <w:rsid w:val="003931AF"/>
    <w:rsid w:val="003A0839"/>
    <w:rsid w:val="003C3232"/>
    <w:rsid w:val="003C62C0"/>
    <w:rsid w:val="003D7EE2"/>
    <w:rsid w:val="003F3CD5"/>
    <w:rsid w:val="00403649"/>
    <w:rsid w:val="0040661F"/>
    <w:rsid w:val="00412089"/>
    <w:rsid w:val="00431E58"/>
    <w:rsid w:val="00437F71"/>
    <w:rsid w:val="0045000F"/>
    <w:rsid w:val="00454777"/>
    <w:rsid w:val="00467E68"/>
    <w:rsid w:val="0047681C"/>
    <w:rsid w:val="00482E9F"/>
    <w:rsid w:val="00483BE7"/>
    <w:rsid w:val="00493019"/>
    <w:rsid w:val="004A4EAF"/>
    <w:rsid w:val="004A5C77"/>
    <w:rsid w:val="004B2CAA"/>
    <w:rsid w:val="004B5DDA"/>
    <w:rsid w:val="004C1767"/>
    <w:rsid w:val="004C3988"/>
    <w:rsid w:val="004F3A9D"/>
    <w:rsid w:val="00506E29"/>
    <w:rsid w:val="00514FAB"/>
    <w:rsid w:val="00516B25"/>
    <w:rsid w:val="00546586"/>
    <w:rsid w:val="0056722E"/>
    <w:rsid w:val="00577A2A"/>
    <w:rsid w:val="005C0134"/>
    <w:rsid w:val="005C2FAD"/>
    <w:rsid w:val="005C796C"/>
    <w:rsid w:val="005D5729"/>
    <w:rsid w:val="005E1E72"/>
    <w:rsid w:val="005E77D8"/>
    <w:rsid w:val="005F39E5"/>
    <w:rsid w:val="00653D47"/>
    <w:rsid w:val="00655040"/>
    <w:rsid w:val="006707AA"/>
    <w:rsid w:val="00673C98"/>
    <w:rsid w:val="006A199B"/>
    <w:rsid w:val="006B071E"/>
    <w:rsid w:val="006B554A"/>
    <w:rsid w:val="006B7827"/>
    <w:rsid w:val="006C144E"/>
    <w:rsid w:val="006D2CB7"/>
    <w:rsid w:val="006F5059"/>
    <w:rsid w:val="006F5FB0"/>
    <w:rsid w:val="00705BA7"/>
    <w:rsid w:val="00750F56"/>
    <w:rsid w:val="00752CC8"/>
    <w:rsid w:val="00755608"/>
    <w:rsid w:val="00756946"/>
    <w:rsid w:val="0077581C"/>
    <w:rsid w:val="00785E21"/>
    <w:rsid w:val="007916FA"/>
    <w:rsid w:val="007A0CA9"/>
    <w:rsid w:val="007B40C7"/>
    <w:rsid w:val="007B65EF"/>
    <w:rsid w:val="007D7945"/>
    <w:rsid w:val="007F06C0"/>
    <w:rsid w:val="00804EBE"/>
    <w:rsid w:val="008171A9"/>
    <w:rsid w:val="008254E4"/>
    <w:rsid w:val="008268D8"/>
    <w:rsid w:val="00835061"/>
    <w:rsid w:val="008369B1"/>
    <w:rsid w:val="008633C9"/>
    <w:rsid w:val="00871C6B"/>
    <w:rsid w:val="0088755A"/>
    <w:rsid w:val="008A4097"/>
    <w:rsid w:val="008B5D96"/>
    <w:rsid w:val="008D781A"/>
    <w:rsid w:val="008F6A5A"/>
    <w:rsid w:val="00904F49"/>
    <w:rsid w:val="00911332"/>
    <w:rsid w:val="00913D4F"/>
    <w:rsid w:val="0091480B"/>
    <w:rsid w:val="009240B7"/>
    <w:rsid w:val="009266D0"/>
    <w:rsid w:val="00946277"/>
    <w:rsid w:val="009905DA"/>
    <w:rsid w:val="0099703A"/>
    <w:rsid w:val="009A21DF"/>
    <w:rsid w:val="009B64F7"/>
    <w:rsid w:val="009C2A50"/>
    <w:rsid w:val="009D2D54"/>
    <w:rsid w:val="00A0455E"/>
    <w:rsid w:val="00A1131F"/>
    <w:rsid w:val="00A17F2A"/>
    <w:rsid w:val="00A344DF"/>
    <w:rsid w:val="00A44341"/>
    <w:rsid w:val="00A536B3"/>
    <w:rsid w:val="00A5575D"/>
    <w:rsid w:val="00A65A26"/>
    <w:rsid w:val="00A7529E"/>
    <w:rsid w:val="00A752C2"/>
    <w:rsid w:val="00A773F4"/>
    <w:rsid w:val="00A84A1C"/>
    <w:rsid w:val="00AA449B"/>
    <w:rsid w:val="00AB1392"/>
    <w:rsid w:val="00AC26BB"/>
    <w:rsid w:val="00AC3695"/>
    <w:rsid w:val="00B02A2F"/>
    <w:rsid w:val="00B05E89"/>
    <w:rsid w:val="00B223CE"/>
    <w:rsid w:val="00B23185"/>
    <w:rsid w:val="00B569CA"/>
    <w:rsid w:val="00B57AE0"/>
    <w:rsid w:val="00B57DBA"/>
    <w:rsid w:val="00B743D1"/>
    <w:rsid w:val="00B75F3E"/>
    <w:rsid w:val="00B950E7"/>
    <w:rsid w:val="00B979D2"/>
    <w:rsid w:val="00BC2B56"/>
    <w:rsid w:val="00C11A58"/>
    <w:rsid w:val="00C14B76"/>
    <w:rsid w:val="00C22D76"/>
    <w:rsid w:val="00C244BC"/>
    <w:rsid w:val="00C26B93"/>
    <w:rsid w:val="00C30E9E"/>
    <w:rsid w:val="00C4547F"/>
    <w:rsid w:val="00C8432C"/>
    <w:rsid w:val="00C96E4E"/>
    <w:rsid w:val="00CB5ECE"/>
    <w:rsid w:val="00CC6498"/>
    <w:rsid w:val="00CF2E08"/>
    <w:rsid w:val="00CF51D9"/>
    <w:rsid w:val="00CF5A5C"/>
    <w:rsid w:val="00D00F87"/>
    <w:rsid w:val="00D24DFD"/>
    <w:rsid w:val="00D35837"/>
    <w:rsid w:val="00D52E28"/>
    <w:rsid w:val="00D63CA5"/>
    <w:rsid w:val="00D6597B"/>
    <w:rsid w:val="00D74A21"/>
    <w:rsid w:val="00D9523F"/>
    <w:rsid w:val="00DA6366"/>
    <w:rsid w:val="00DD1BEA"/>
    <w:rsid w:val="00DE682B"/>
    <w:rsid w:val="00DF65EE"/>
    <w:rsid w:val="00E050EF"/>
    <w:rsid w:val="00E130F7"/>
    <w:rsid w:val="00E13761"/>
    <w:rsid w:val="00E13C8B"/>
    <w:rsid w:val="00E14D96"/>
    <w:rsid w:val="00E23D24"/>
    <w:rsid w:val="00E34423"/>
    <w:rsid w:val="00E41362"/>
    <w:rsid w:val="00E66E08"/>
    <w:rsid w:val="00E70811"/>
    <w:rsid w:val="00E77BAA"/>
    <w:rsid w:val="00E87A1B"/>
    <w:rsid w:val="00E93BB9"/>
    <w:rsid w:val="00E97FC9"/>
    <w:rsid w:val="00EB3851"/>
    <w:rsid w:val="00EB46DE"/>
    <w:rsid w:val="00EB72F1"/>
    <w:rsid w:val="00ED408E"/>
    <w:rsid w:val="00ED75F6"/>
    <w:rsid w:val="00F104A3"/>
    <w:rsid w:val="00F30A73"/>
    <w:rsid w:val="00F53B9F"/>
    <w:rsid w:val="00FC53B9"/>
    <w:rsid w:val="00FD6F3F"/>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9F6"/>
  <w15:docId w15:val="{15FE59B1-DEDE-49EE-B438-DDAFCE8F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E58"/>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D35837"/>
    <w:rPr>
      <w:sz w:val="16"/>
      <w:szCs w:val="16"/>
    </w:rPr>
  </w:style>
  <w:style w:type="paragraph" w:styleId="Textkomente">
    <w:name w:val="annotation text"/>
    <w:basedOn w:val="Normln"/>
    <w:link w:val="TextkomenteChar"/>
    <w:uiPriority w:val="99"/>
    <w:semiHidden/>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semiHidden/>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9172-DD5A-46B0-9309-D35A43BF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3820</Words>
  <Characters>22544</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5</cp:revision>
  <cp:lastPrinted>2016-11-21T12:12:00Z</cp:lastPrinted>
  <dcterms:created xsi:type="dcterms:W3CDTF">2017-11-22T12:28:00Z</dcterms:created>
  <dcterms:modified xsi:type="dcterms:W3CDTF">2017-11-23T08:32:00Z</dcterms:modified>
</cp:coreProperties>
</file>