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2CC" w:rsidRPr="002A3AFB" w:rsidRDefault="00B56F59" w:rsidP="00054A03">
      <w:pPr>
        <w:jc w:val="center"/>
        <w:rPr>
          <w:rFonts w:ascii="Arial" w:hAnsi="Arial" w:cs="Arial"/>
          <w:b/>
          <w:sz w:val="28"/>
          <w:szCs w:val="28"/>
        </w:rPr>
      </w:pPr>
      <w:r w:rsidRPr="002A3AFB">
        <w:rPr>
          <w:rFonts w:ascii="Arial" w:hAnsi="Arial" w:cs="Arial"/>
          <w:b/>
          <w:sz w:val="28"/>
          <w:szCs w:val="28"/>
        </w:rPr>
        <w:t xml:space="preserve">Dodatek </w:t>
      </w:r>
      <w:r w:rsidR="002A3AFB" w:rsidRPr="002A3AFB">
        <w:rPr>
          <w:rFonts w:ascii="Arial" w:hAnsi="Arial" w:cs="Arial"/>
          <w:b/>
          <w:sz w:val="28"/>
          <w:szCs w:val="28"/>
        </w:rPr>
        <w:t>č.</w:t>
      </w:r>
      <w:r w:rsidR="00054A03" w:rsidRPr="002A3AFB">
        <w:rPr>
          <w:rFonts w:ascii="Arial" w:hAnsi="Arial" w:cs="Arial"/>
          <w:b/>
          <w:sz w:val="28"/>
          <w:szCs w:val="28"/>
        </w:rPr>
        <w:t xml:space="preserve"> 1 </w:t>
      </w:r>
      <w:r w:rsidRPr="002A3AFB">
        <w:rPr>
          <w:rFonts w:ascii="Arial" w:hAnsi="Arial" w:cs="Arial"/>
          <w:b/>
          <w:sz w:val="28"/>
          <w:szCs w:val="28"/>
        </w:rPr>
        <w:t xml:space="preserve">ke </w:t>
      </w:r>
      <w:r w:rsidR="002A3AFB" w:rsidRPr="002A3AFB">
        <w:rPr>
          <w:rFonts w:ascii="Arial" w:hAnsi="Arial" w:cs="Arial"/>
          <w:b/>
          <w:sz w:val="28"/>
          <w:szCs w:val="28"/>
        </w:rPr>
        <w:t>KUPNÍ SMLOUVĚ</w:t>
      </w:r>
      <w:r w:rsidRPr="002A3AFB">
        <w:rPr>
          <w:rFonts w:ascii="Arial" w:hAnsi="Arial" w:cs="Arial"/>
          <w:b/>
          <w:sz w:val="28"/>
          <w:szCs w:val="28"/>
        </w:rPr>
        <w:t xml:space="preserve"> č.</w:t>
      </w:r>
      <w:r w:rsidR="002A3AFB">
        <w:rPr>
          <w:rFonts w:ascii="Arial" w:hAnsi="Arial" w:cs="Arial"/>
          <w:b/>
          <w:sz w:val="28"/>
          <w:szCs w:val="28"/>
        </w:rPr>
        <w:t xml:space="preserve"> </w:t>
      </w:r>
      <w:r w:rsidRPr="002A3AFB">
        <w:rPr>
          <w:rFonts w:ascii="Arial" w:hAnsi="Arial" w:cs="Arial"/>
          <w:b/>
          <w:sz w:val="28"/>
          <w:szCs w:val="28"/>
        </w:rPr>
        <w:t>122/SSRZ/2017</w:t>
      </w:r>
    </w:p>
    <w:p w:rsidR="00B56F59" w:rsidRPr="002A3AFB" w:rsidRDefault="00B56F59">
      <w:pPr>
        <w:rPr>
          <w:rFonts w:ascii="Arial" w:hAnsi="Arial" w:cs="Arial"/>
        </w:rPr>
      </w:pPr>
    </w:p>
    <w:p w:rsidR="0082667D" w:rsidRPr="002A3AFB" w:rsidRDefault="0082667D" w:rsidP="0082667D">
      <w:pPr>
        <w:pStyle w:val="Odstavecseseznamem"/>
        <w:numPr>
          <w:ilvl w:val="0"/>
          <w:numId w:val="1"/>
        </w:numPr>
        <w:rPr>
          <w:rFonts w:ascii="Arial" w:hAnsi="Arial" w:cs="Arial"/>
          <w:b/>
        </w:rPr>
      </w:pPr>
      <w:r w:rsidRPr="002A3AFB">
        <w:rPr>
          <w:rFonts w:ascii="Arial" w:hAnsi="Arial" w:cs="Arial"/>
          <w:b/>
        </w:rPr>
        <w:t>Smluvní strany</w:t>
      </w:r>
    </w:p>
    <w:p w:rsidR="00B56F59" w:rsidRPr="002A3AFB" w:rsidRDefault="0082667D" w:rsidP="0082667D">
      <w:pPr>
        <w:pStyle w:val="Odstavecseseznamem"/>
        <w:numPr>
          <w:ilvl w:val="1"/>
          <w:numId w:val="1"/>
        </w:numPr>
        <w:rPr>
          <w:rFonts w:ascii="Arial" w:hAnsi="Arial" w:cs="Arial"/>
        </w:rPr>
      </w:pPr>
      <w:r w:rsidRPr="002A3AFB">
        <w:rPr>
          <w:rFonts w:ascii="Arial" w:hAnsi="Arial" w:cs="Arial"/>
        </w:rPr>
        <w:t>Kupující</w:t>
      </w:r>
    </w:p>
    <w:p w:rsidR="0082667D" w:rsidRPr="002A3AFB" w:rsidRDefault="0082667D" w:rsidP="00E1346C">
      <w:pPr>
        <w:pStyle w:val="Odstavecseseznamem"/>
        <w:ind w:left="2160"/>
        <w:rPr>
          <w:rFonts w:ascii="Arial" w:hAnsi="Arial" w:cs="Arial"/>
        </w:rPr>
      </w:pPr>
      <w:r w:rsidRPr="002A3AFB">
        <w:rPr>
          <w:rFonts w:ascii="Arial" w:hAnsi="Arial" w:cs="Arial"/>
        </w:rPr>
        <w:t>Správa sportovních a rekreačních zařízení Havířov</w:t>
      </w:r>
    </w:p>
    <w:p w:rsidR="0082667D" w:rsidRPr="002A3AFB" w:rsidRDefault="0082667D" w:rsidP="00E1346C">
      <w:pPr>
        <w:pStyle w:val="Odstavecseseznamem"/>
        <w:ind w:left="2160"/>
        <w:rPr>
          <w:rFonts w:ascii="Arial" w:hAnsi="Arial" w:cs="Arial"/>
        </w:rPr>
      </w:pPr>
      <w:r w:rsidRPr="002A3AFB">
        <w:rPr>
          <w:rFonts w:ascii="Arial" w:hAnsi="Arial" w:cs="Arial"/>
        </w:rPr>
        <w:t>Těšínská 1296/2a, Havířov-Podlesí, PSČ 736</w:t>
      </w:r>
      <w:r w:rsidR="002A3AFB">
        <w:rPr>
          <w:rFonts w:ascii="Arial" w:hAnsi="Arial" w:cs="Arial"/>
        </w:rPr>
        <w:t xml:space="preserve"> </w:t>
      </w:r>
      <w:r w:rsidRPr="002A3AFB">
        <w:rPr>
          <w:rFonts w:ascii="Arial" w:hAnsi="Arial" w:cs="Arial"/>
        </w:rPr>
        <w:t>01</w:t>
      </w:r>
    </w:p>
    <w:p w:rsidR="0082667D" w:rsidRPr="002A3AFB" w:rsidRDefault="0082667D" w:rsidP="00E1346C">
      <w:pPr>
        <w:pStyle w:val="Odstavecseseznamem"/>
        <w:ind w:left="2160"/>
        <w:rPr>
          <w:rFonts w:ascii="Arial" w:hAnsi="Arial" w:cs="Arial"/>
        </w:rPr>
      </w:pPr>
      <w:r w:rsidRPr="002A3AFB">
        <w:rPr>
          <w:rFonts w:ascii="Arial" w:hAnsi="Arial" w:cs="Arial"/>
        </w:rPr>
        <w:t>IČO: 00306754</w:t>
      </w:r>
    </w:p>
    <w:p w:rsidR="0082667D" w:rsidRPr="002A3AFB" w:rsidRDefault="0082667D" w:rsidP="00E1346C">
      <w:pPr>
        <w:pStyle w:val="Odstavecseseznamem"/>
        <w:ind w:left="2160"/>
        <w:rPr>
          <w:rFonts w:ascii="Arial" w:hAnsi="Arial" w:cs="Arial"/>
        </w:rPr>
      </w:pPr>
      <w:r w:rsidRPr="002A3AFB">
        <w:rPr>
          <w:rFonts w:ascii="Arial" w:hAnsi="Arial" w:cs="Arial"/>
        </w:rPr>
        <w:t>DIČ: CZ00306754</w:t>
      </w:r>
    </w:p>
    <w:p w:rsidR="0082667D" w:rsidRPr="002A3AFB" w:rsidRDefault="0082667D" w:rsidP="00E1346C">
      <w:pPr>
        <w:pStyle w:val="Odstavecseseznamem"/>
        <w:ind w:left="2160"/>
        <w:rPr>
          <w:rFonts w:ascii="Arial" w:hAnsi="Arial" w:cs="Arial"/>
        </w:rPr>
      </w:pPr>
      <w:r w:rsidRPr="002A3AFB">
        <w:rPr>
          <w:rFonts w:ascii="Arial" w:hAnsi="Arial" w:cs="Arial"/>
        </w:rPr>
        <w:t>Zastoupený: Ing. R</w:t>
      </w:r>
      <w:r w:rsidR="00917E2C">
        <w:rPr>
          <w:rFonts w:ascii="Arial" w:hAnsi="Arial" w:cs="Arial"/>
        </w:rPr>
        <w:t xml:space="preserve">. </w:t>
      </w:r>
      <w:r w:rsidRPr="002A3AFB">
        <w:rPr>
          <w:rFonts w:ascii="Arial" w:hAnsi="Arial" w:cs="Arial"/>
        </w:rPr>
        <w:t>K</w:t>
      </w:r>
      <w:r w:rsidR="00917E2C">
        <w:rPr>
          <w:rFonts w:ascii="Arial" w:hAnsi="Arial" w:cs="Arial"/>
        </w:rPr>
        <w:t>.</w:t>
      </w:r>
      <w:r w:rsidRPr="002A3AFB">
        <w:rPr>
          <w:rFonts w:ascii="Arial" w:hAnsi="Arial" w:cs="Arial"/>
        </w:rPr>
        <w:t>, ředitelem</w:t>
      </w:r>
    </w:p>
    <w:p w:rsidR="0082667D" w:rsidRPr="002A3AFB" w:rsidRDefault="0082667D" w:rsidP="00E1346C">
      <w:pPr>
        <w:pStyle w:val="Odstavecseseznamem"/>
        <w:ind w:left="1440"/>
        <w:rPr>
          <w:rFonts w:ascii="Arial" w:hAnsi="Arial" w:cs="Arial"/>
        </w:rPr>
      </w:pPr>
    </w:p>
    <w:p w:rsidR="0082667D" w:rsidRPr="002A3AFB" w:rsidRDefault="0082667D" w:rsidP="0082667D">
      <w:pPr>
        <w:pStyle w:val="Odstavecseseznamem"/>
        <w:numPr>
          <w:ilvl w:val="1"/>
          <w:numId w:val="1"/>
        </w:numPr>
        <w:rPr>
          <w:rFonts w:ascii="Arial" w:hAnsi="Arial" w:cs="Arial"/>
        </w:rPr>
      </w:pPr>
      <w:r w:rsidRPr="002A3AFB">
        <w:rPr>
          <w:rFonts w:ascii="Arial" w:hAnsi="Arial" w:cs="Arial"/>
        </w:rPr>
        <w:t>Prodávající</w:t>
      </w:r>
    </w:p>
    <w:p w:rsidR="0082667D" w:rsidRPr="002A3AFB" w:rsidRDefault="0082667D" w:rsidP="00E1346C">
      <w:pPr>
        <w:pStyle w:val="Odstavecseseznamem"/>
        <w:ind w:left="2160"/>
        <w:rPr>
          <w:rFonts w:ascii="Arial" w:hAnsi="Arial" w:cs="Arial"/>
        </w:rPr>
      </w:pPr>
      <w:r w:rsidRPr="002A3AFB">
        <w:rPr>
          <w:rFonts w:ascii="Arial" w:hAnsi="Arial" w:cs="Arial"/>
        </w:rPr>
        <w:t>ELOM s.r.o.</w:t>
      </w:r>
    </w:p>
    <w:p w:rsidR="0082667D" w:rsidRPr="002A3AFB" w:rsidRDefault="0082667D" w:rsidP="00E1346C">
      <w:pPr>
        <w:pStyle w:val="Odstavecseseznamem"/>
        <w:ind w:left="2160"/>
        <w:rPr>
          <w:rFonts w:ascii="Arial" w:hAnsi="Arial" w:cs="Arial"/>
        </w:rPr>
      </w:pPr>
      <w:r w:rsidRPr="002A3AFB">
        <w:rPr>
          <w:rFonts w:ascii="Arial" w:hAnsi="Arial" w:cs="Arial"/>
        </w:rPr>
        <w:t>Vratimovská 624/11, Kunčičky, 718 00 Ostrava</w:t>
      </w:r>
    </w:p>
    <w:p w:rsidR="0082667D" w:rsidRPr="002A3AFB" w:rsidRDefault="0082667D" w:rsidP="00E1346C">
      <w:pPr>
        <w:pStyle w:val="Odstavecseseznamem"/>
        <w:ind w:left="2160"/>
        <w:rPr>
          <w:rFonts w:ascii="Arial" w:hAnsi="Arial" w:cs="Arial"/>
        </w:rPr>
      </w:pPr>
      <w:r w:rsidRPr="002A3AFB">
        <w:rPr>
          <w:rFonts w:ascii="Arial" w:hAnsi="Arial" w:cs="Arial"/>
        </w:rPr>
        <w:t>IČO: 60778296</w:t>
      </w:r>
    </w:p>
    <w:p w:rsidR="0082667D" w:rsidRPr="002A3AFB" w:rsidRDefault="0082667D" w:rsidP="00E1346C">
      <w:pPr>
        <w:pStyle w:val="Odstavecseseznamem"/>
        <w:ind w:left="2160"/>
        <w:rPr>
          <w:rFonts w:ascii="Arial" w:hAnsi="Arial" w:cs="Arial"/>
        </w:rPr>
      </w:pPr>
      <w:r w:rsidRPr="002A3AFB">
        <w:rPr>
          <w:rFonts w:ascii="Arial" w:hAnsi="Arial" w:cs="Arial"/>
        </w:rPr>
        <w:t>DIČ: CZ60778296</w:t>
      </w:r>
    </w:p>
    <w:p w:rsidR="0082667D" w:rsidRPr="002A3AFB" w:rsidRDefault="0082667D" w:rsidP="00E1346C">
      <w:pPr>
        <w:pStyle w:val="Odstavecseseznamem"/>
        <w:ind w:left="2160"/>
        <w:rPr>
          <w:rFonts w:ascii="Arial" w:hAnsi="Arial" w:cs="Arial"/>
        </w:rPr>
      </w:pPr>
      <w:r w:rsidRPr="002A3AFB">
        <w:rPr>
          <w:rFonts w:ascii="Arial" w:hAnsi="Arial" w:cs="Arial"/>
        </w:rPr>
        <w:t>Zastoupený</w:t>
      </w:r>
      <w:r w:rsidR="00A01B0B">
        <w:rPr>
          <w:rFonts w:ascii="Arial" w:hAnsi="Arial" w:cs="Arial"/>
        </w:rPr>
        <w:t>:</w:t>
      </w:r>
      <w:r w:rsidRPr="002A3AFB">
        <w:rPr>
          <w:rFonts w:ascii="Arial" w:hAnsi="Arial" w:cs="Arial"/>
        </w:rPr>
        <w:t xml:space="preserve"> H</w:t>
      </w:r>
      <w:r w:rsidR="00917E2C">
        <w:rPr>
          <w:rFonts w:ascii="Arial" w:hAnsi="Arial" w:cs="Arial"/>
        </w:rPr>
        <w:t xml:space="preserve">. </w:t>
      </w:r>
      <w:r w:rsidRPr="002A3AFB">
        <w:rPr>
          <w:rFonts w:ascii="Arial" w:hAnsi="Arial" w:cs="Arial"/>
        </w:rPr>
        <w:t>L</w:t>
      </w:r>
      <w:r w:rsidR="00917E2C">
        <w:rPr>
          <w:rFonts w:ascii="Arial" w:hAnsi="Arial" w:cs="Arial"/>
        </w:rPr>
        <w:t>.</w:t>
      </w:r>
      <w:r w:rsidRPr="002A3AFB">
        <w:rPr>
          <w:rFonts w:ascii="Arial" w:hAnsi="Arial" w:cs="Arial"/>
        </w:rPr>
        <w:t>, jednatelem</w:t>
      </w:r>
    </w:p>
    <w:p w:rsidR="0082667D" w:rsidRPr="002A3AFB" w:rsidRDefault="0082667D" w:rsidP="00E1346C">
      <w:pPr>
        <w:pStyle w:val="Odstavecseseznamem"/>
        <w:ind w:left="1440"/>
        <w:rPr>
          <w:rFonts w:ascii="Arial" w:hAnsi="Arial" w:cs="Arial"/>
        </w:rPr>
      </w:pPr>
    </w:p>
    <w:p w:rsidR="0082667D" w:rsidRPr="002A3AFB" w:rsidRDefault="0082667D" w:rsidP="0082667D">
      <w:pPr>
        <w:pStyle w:val="Odstavecseseznamem"/>
        <w:numPr>
          <w:ilvl w:val="0"/>
          <w:numId w:val="1"/>
        </w:numPr>
        <w:rPr>
          <w:rFonts w:ascii="Arial" w:hAnsi="Arial" w:cs="Arial"/>
          <w:b/>
        </w:rPr>
      </w:pPr>
      <w:r w:rsidRPr="002A3AFB">
        <w:rPr>
          <w:rFonts w:ascii="Arial" w:hAnsi="Arial" w:cs="Arial"/>
          <w:b/>
        </w:rPr>
        <w:t>Základní ustanovení</w:t>
      </w:r>
    </w:p>
    <w:p w:rsidR="00A97FC5" w:rsidRPr="002A3AFB" w:rsidRDefault="0082667D" w:rsidP="002A3AFB">
      <w:pPr>
        <w:pStyle w:val="Odstavecseseznamem"/>
        <w:numPr>
          <w:ilvl w:val="1"/>
          <w:numId w:val="1"/>
        </w:numPr>
        <w:jc w:val="both"/>
        <w:rPr>
          <w:rFonts w:ascii="Arial" w:hAnsi="Arial" w:cs="Arial"/>
        </w:rPr>
      </w:pPr>
      <w:r w:rsidRPr="002A3AFB">
        <w:rPr>
          <w:rFonts w:ascii="Arial" w:hAnsi="Arial" w:cs="Arial"/>
        </w:rPr>
        <w:t xml:space="preserve">Během prohlídky místa realizace </w:t>
      </w:r>
      <w:r w:rsidR="00E1346C" w:rsidRPr="002A3AFB">
        <w:rPr>
          <w:rFonts w:ascii="Arial" w:hAnsi="Arial" w:cs="Arial"/>
        </w:rPr>
        <w:t>veřejné zakázky</w:t>
      </w:r>
      <w:r w:rsidRPr="002A3AFB">
        <w:rPr>
          <w:rFonts w:ascii="Arial" w:hAnsi="Arial" w:cs="Arial"/>
        </w:rPr>
        <w:t xml:space="preserve"> před podáním nabídky bylo zjištěno, že původní svítidla jsou řízena komunikačním protokolem DALI, proto pro realizaci veřejné zakázky byla navržena LED svítidla se stejným systémem řízení. </w:t>
      </w:r>
    </w:p>
    <w:p w:rsidR="00A97FC5" w:rsidRPr="002A3AFB" w:rsidRDefault="00A97FC5" w:rsidP="002A3AFB">
      <w:pPr>
        <w:pStyle w:val="Odstavecseseznamem"/>
        <w:numPr>
          <w:ilvl w:val="1"/>
          <w:numId w:val="1"/>
        </w:numPr>
        <w:jc w:val="both"/>
        <w:rPr>
          <w:rFonts w:ascii="Arial" w:hAnsi="Arial" w:cs="Arial"/>
        </w:rPr>
      </w:pPr>
      <w:r w:rsidRPr="002A3AFB">
        <w:rPr>
          <w:rFonts w:ascii="Arial" w:hAnsi="Arial" w:cs="Arial"/>
        </w:rPr>
        <w:t>V průběhu</w:t>
      </w:r>
      <w:r w:rsidR="0082667D" w:rsidRPr="002A3AFB">
        <w:rPr>
          <w:rFonts w:ascii="Arial" w:hAnsi="Arial" w:cs="Arial"/>
        </w:rPr>
        <w:t xml:space="preserve"> realizace zakázky</w:t>
      </w:r>
      <w:r w:rsidRPr="002A3AFB">
        <w:rPr>
          <w:rFonts w:ascii="Arial" w:hAnsi="Arial" w:cs="Arial"/>
        </w:rPr>
        <w:t>,</w:t>
      </w:r>
      <w:r w:rsidR="0082667D" w:rsidRPr="002A3AFB">
        <w:rPr>
          <w:rFonts w:ascii="Arial" w:hAnsi="Arial" w:cs="Arial"/>
        </w:rPr>
        <w:t xml:space="preserve"> teprve po použití výškové plošiny nad ledovou plochou</w:t>
      </w:r>
      <w:r w:rsidRPr="002A3AFB">
        <w:rPr>
          <w:rFonts w:ascii="Arial" w:hAnsi="Arial" w:cs="Arial"/>
        </w:rPr>
        <w:t>,</w:t>
      </w:r>
      <w:r w:rsidR="0082667D" w:rsidRPr="002A3AFB">
        <w:rPr>
          <w:rFonts w:ascii="Arial" w:hAnsi="Arial" w:cs="Arial"/>
        </w:rPr>
        <w:t xml:space="preserve"> bylo zjištěno, že stávající systém regulace osvětlení je složen ze tří různých systémů</w:t>
      </w:r>
      <w:r w:rsidRPr="002A3AFB">
        <w:rPr>
          <w:rFonts w:ascii="Arial" w:hAnsi="Arial" w:cs="Arial"/>
        </w:rPr>
        <w:t>,</w:t>
      </w:r>
      <w:r w:rsidR="0082667D" w:rsidRPr="002A3AFB">
        <w:rPr>
          <w:rFonts w:ascii="Arial" w:hAnsi="Arial" w:cs="Arial"/>
        </w:rPr>
        <w:t xml:space="preserve"> není k němu žádná dokumentace </w:t>
      </w:r>
      <w:r w:rsidRPr="002A3AFB">
        <w:rPr>
          <w:rFonts w:ascii="Arial" w:hAnsi="Arial" w:cs="Arial"/>
        </w:rPr>
        <w:t xml:space="preserve">a </w:t>
      </w:r>
      <w:r w:rsidR="0082667D" w:rsidRPr="002A3AFB">
        <w:rPr>
          <w:rFonts w:ascii="Arial" w:hAnsi="Arial" w:cs="Arial"/>
        </w:rPr>
        <w:t xml:space="preserve">ani popis </w:t>
      </w:r>
      <w:r w:rsidR="00E1346C" w:rsidRPr="002A3AFB">
        <w:rPr>
          <w:rFonts w:ascii="Arial" w:hAnsi="Arial" w:cs="Arial"/>
        </w:rPr>
        <w:t>či</w:t>
      </w:r>
      <w:r w:rsidR="0082667D" w:rsidRPr="002A3AFB">
        <w:rPr>
          <w:rFonts w:ascii="Arial" w:hAnsi="Arial" w:cs="Arial"/>
        </w:rPr>
        <w:t xml:space="preserve"> zálohy software.</w:t>
      </w:r>
    </w:p>
    <w:p w:rsidR="00A97FC5" w:rsidRPr="002A3AFB" w:rsidRDefault="0082667D" w:rsidP="002A3AFB">
      <w:pPr>
        <w:pStyle w:val="Odstavecseseznamem"/>
        <w:numPr>
          <w:ilvl w:val="1"/>
          <w:numId w:val="1"/>
        </w:numPr>
        <w:jc w:val="both"/>
        <w:rPr>
          <w:rFonts w:ascii="Arial" w:hAnsi="Arial" w:cs="Arial"/>
        </w:rPr>
      </w:pPr>
      <w:r w:rsidRPr="002A3AFB">
        <w:rPr>
          <w:rFonts w:ascii="Arial" w:hAnsi="Arial" w:cs="Arial"/>
        </w:rPr>
        <w:t xml:space="preserve">Pro dokončení </w:t>
      </w:r>
      <w:r w:rsidR="00A97FC5" w:rsidRPr="002A3AFB">
        <w:rPr>
          <w:rFonts w:ascii="Arial" w:hAnsi="Arial" w:cs="Arial"/>
        </w:rPr>
        <w:t xml:space="preserve">veřejné zakázky </w:t>
      </w:r>
      <w:r w:rsidRPr="002A3AFB">
        <w:rPr>
          <w:rFonts w:ascii="Arial" w:hAnsi="Arial" w:cs="Arial"/>
        </w:rPr>
        <w:t xml:space="preserve">dle </w:t>
      </w:r>
      <w:r w:rsidR="00A97FC5" w:rsidRPr="002A3AFB">
        <w:rPr>
          <w:rFonts w:ascii="Arial" w:hAnsi="Arial" w:cs="Arial"/>
        </w:rPr>
        <w:t xml:space="preserve">jejího </w:t>
      </w:r>
      <w:r w:rsidRPr="002A3AFB">
        <w:rPr>
          <w:rFonts w:ascii="Arial" w:hAnsi="Arial" w:cs="Arial"/>
        </w:rPr>
        <w:t>zadání je proto nutn</w:t>
      </w:r>
      <w:r w:rsidR="00A97FC5" w:rsidRPr="002A3AFB">
        <w:rPr>
          <w:rFonts w:ascii="Arial" w:hAnsi="Arial" w:cs="Arial"/>
        </w:rPr>
        <w:t>é</w:t>
      </w:r>
      <w:r w:rsidRPr="002A3AFB">
        <w:rPr>
          <w:rFonts w:ascii="Arial" w:hAnsi="Arial" w:cs="Arial"/>
        </w:rPr>
        <w:t xml:space="preserve"> provést mapování současných regulačních sekcí a řídících linek, změny konfigurace řízení a opravu původní elektroinstalace. </w:t>
      </w:r>
    </w:p>
    <w:p w:rsidR="001504D2" w:rsidRPr="002A3AFB" w:rsidRDefault="001504D2" w:rsidP="002A3AFB">
      <w:pPr>
        <w:pStyle w:val="Odstavecseseznamem"/>
        <w:numPr>
          <w:ilvl w:val="1"/>
          <w:numId w:val="1"/>
        </w:numPr>
        <w:jc w:val="both"/>
        <w:rPr>
          <w:rFonts w:ascii="Arial" w:hAnsi="Arial" w:cs="Arial"/>
        </w:rPr>
      </w:pPr>
      <w:r w:rsidRPr="002A3AFB">
        <w:rPr>
          <w:rFonts w:ascii="Arial" w:hAnsi="Arial" w:cs="Arial"/>
        </w:rPr>
        <w:t>Je nezbytné dopracovat chybějící dokumentaci.</w:t>
      </w:r>
    </w:p>
    <w:p w:rsidR="00A97FC5" w:rsidRPr="002A3AFB" w:rsidRDefault="0082667D" w:rsidP="002A3AFB">
      <w:pPr>
        <w:pStyle w:val="Odstavecseseznamem"/>
        <w:numPr>
          <w:ilvl w:val="1"/>
          <w:numId w:val="1"/>
        </w:numPr>
        <w:jc w:val="both"/>
        <w:rPr>
          <w:rFonts w:ascii="Arial" w:hAnsi="Arial" w:cs="Arial"/>
        </w:rPr>
      </w:pPr>
      <w:r w:rsidRPr="002A3AFB">
        <w:rPr>
          <w:rFonts w:ascii="Arial" w:hAnsi="Arial" w:cs="Arial"/>
        </w:rPr>
        <w:t xml:space="preserve">V rámci prováděné </w:t>
      </w:r>
      <w:r w:rsidR="00A97FC5" w:rsidRPr="002A3AFB">
        <w:rPr>
          <w:rFonts w:ascii="Arial" w:hAnsi="Arial" w:cs="Arial"/>
        </w:rPr>
        <w:t>veřejné zakázky</w:t>
      </w:r>
      <w:r w:rsidRPr="002A3AFB">
        <w:rPr>
          <w:rFonts w:ascii="Arial" w:hAnsi="Arial" w:cs="Arial"/>
        </w:rPr>
        <w:t xml:space="preserve"> </w:t>
      </w:r>
      <w:r w:rsidR="00A97FC5" w:rsidRPr="002A3AFB">
        <w:rPr>
          <w:rFonts w:ascii="Arial" w:hAnsi="Arial" w:cs="Arial"/>
        </w:rPr>
        <w:t xml:space="preserve">nebude mít odstranění skutečností popsaných v článku II., bod 1. až </w:t>
      </w:r>
      <w:r w:rsidR="001504D2" w:rsidRPr="002A3AFB">
        <w:rPr>
          <w:rFonts w:ascii="Arial" w:hAnsi="Arial" w:cs="Arial"/>
        </w:rPr>
        <w:t>4</w:t>
      </w:r>
      <w:r w:rsidR="00A97FC5" w:rsidRPr="002A3AFB">
        <w:rPr>
          <w:rFonts w:ascii="Arial" w:hAnsi="Arial" w:cs="Arial"/>
        </w:rPr>
        <w:t xml:space="preserve">. vliv </w:t>
      </w:r>
      <w:r w:rsidRPr="002A3AFB">
        <w:rPr>
          <w:rFonts w:ascii="Arial" w:hAnsi="Arial" w:cs="Arial"/>
        </w:rPr>
        <w:t>na celkovou cenu zakázky</w:t>
      </w:r>
      <w:r w:rsidR="00A97FC5" w:rsidRPr="002A3AFB">
        <w:rPr>
          <w:rFonts w:ascii="Arial" w:hAnsi="Arial" w:cs="Arial"/>
        </w:rPr>
        <w:t xml:space="preserve">. </w:t>
      </w:r>
      <w:r w:rsidR="00E1346C" w:rsidRPr="002A3AFB">
        <w:rPr>
          <w:rFonts w:ascii="Arial" w:hAnsi="Arial" w:cs="Arial"/>
        </w:rPr>
        <w:t xml:space="preserve">Odstranění skutečností výše popsaných </w:t>
      </w:r>
      <w:r w:rsidR="00A97FC5" w:rsidRPr="002A3AFB">
        <w:rPr>
          <w:rFonts w:ascii="Arial" w:hAnsi="Arial" w:cs="Arial"/>
        </w:rPr>
        <w:t xml:space="preserve">však </w:t>
      </w:r>
      <w:r w:rsidR="00E1346C" w:rsidRPr="002A3AFB">
        <w:rPr>
          <w:rFonts w:ascii="Arial" w:hAnsi="Arial" w:cs="Arial"/>
        </w:rPr>
        <w:t xml:space="preserve">bude </w:t>
      </w:r>
      <w:r w:rsidR="00A97FC5" w:rsidRPr="002A3AFB">
        <w:rPr>
          <w:rFonts w:ascii="Arial" w:hAnsi="Arial" w:cs="Arial"/>
        </w:rPr>
        <w:t xml:space="preserve">znamenat </w:t>
      </w:r>
      <w:r w:rsidRPr="002A3AFB">
        <w:rPr>
          <w:rFonts w:ascii="Arial" w:hAnsi="Arial" w:cs="Arial"/>
        </w:rPr>
        <w:t xml:space="preserve">větší časovou náročnost a prodloužení </w:t>
      </w:r>
      <w:r w:rsidR="00A97FC5" w:rsidRPr="002A3AFB">
        <w:rPr>
          <w:rFonts w:ascii="Arial" w:hAnsi="Arial" w:cs="Arial"/>
        </w:rPr>
        <w:t xml:space="preserve">doby </w:t>
      </w:r>
      <w:r w:rsidRPr="002A3AFB">
        <w:rPr>
          <w:rFonts w:ascii="Arial" w:hAnsi="Arial" w:cs="Arial"/>
        </w:rPr>
        <w:t>realizace</w:t>
      </w:r>
      <w:r w:rsidR="00A97FC5" w:rsidRPr="002A3AFB">
        <w:rPr>
          <w:rFonts w:ascii="Arial" w:hAnsi="Arial" w:cs="Arial"/>
        </w:rPr>
        <w:t>.</w:t>
      </w:r>
    </w:p>
    <w:p w:rsidR="00A97FC5" w:rsidRPr="002A3AFB" w:rsidRDefault="00A97FC5" w:rsidP="002A3AFB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b/>
        </w:rPr>
      </w:pPr>
      <w:r w:rsidRPr="002A3AFB">
        <w:rPr>
          <w:rFonts w:ascii="Arial" w:hAnsi="Arial" w:cs="Arial"/>
          <w:b/>
        </w:rPr>
        <w:t>Změna smlouvy</w:t>
      </w:r>
    </w:p>
    <w:p w:rsidR="00A97FC5" w:rsidRPr="002A3AFB" w:rsidRDefault="00A97FC5" w:rsidP="002A3AFB">
      <w:pPr>
        <w:pStyle w:val="Odstavecseseznamem"/>
        <w:numPr>
          <w:ilvl w:val="1"/>
          <w:numId w:val="1"/>
        </w:numPr>
        <w:jc w:val="both"/>
        <w:rPr>
          <w:rFonts w:ascii="Arial" w:hAnsi="Arial" w:cs="Arial"/>
        </w:rPr>
      </w:pPr>
      <w:r w:rsidRPr="002A3AFB">
        <w:rPr>
          <w:rFonts w:ascii="Arial" w:hAnsi="Arial" w:cs="Arial"/>
        </w:rPr>
        <w:t>Ob</w:t>
      </w:r>
      <w:r w:rsidR="00E1346C" w:rsidRPr="002A3AFB">
        <w:rPr>
          <w:rFonts w:ascii="Arial" w:hAnsi="Arial" w:cs="Arial"/>
        </w:rPr>
        <w:t>ě</w:t>
      </w:r>
      <w:r w:rsidRPr="002A3AFB">
        <w:rPr>
          <w:rFonts w:ascii="Arial" w:hAnsi="Arial" w:cs="Arial"/>
        </w:rPr>
        <w:t xml:space="preserve"> smluvní strany se dohodly na změně článku IV. odst. 1</w:t>
      </w:r>
      <w:r w:rsidR="002A3AFB">
        <w:rPr>
          <w:rFonts w:ascii="Arial" w:hAnsi="Arial" w:cs="Arial"/>
        </w:rPr>
        <w:t>.</w:t>
      </w:r>
      <w:r w:rsidRPr="002A3AFB">
        <w:rPr>
          <w:rFonts w:ascii="Arial" w:hAnsi="Arial" w:cs="Arial"/>
        </w:rPr>
        <w:t>, kdy jeho nový text je následující:</w:t>
      </w:r>
    </w:p>
    <w:p w:rsidR="00A97FC5" w:rsidRPr="002A3AFB" w:rsidRDefault="00A97FC5" w:rsidP="002A3AFB">
      <w:pPr>
        <w:pStyle w:val="Odstavecseseznamem"/>
        <w:numPr>
          <w:ilvl w:val="2"/>
          <w:numId w:val="1"/>
        </w:numPr>
        <w:jc w:val="both"/>
        <w:rPr>
          <w:rFonts w:ascii="Arial" w:hAnsi="Arial" w:cs="Arial"/>
          <w:i/>
        </w:rPr>
      </w:pPr>
      <w:r w:rsidRPr="002A3AFB">
        <w:rPr>
          <w:rFonts w:ascii="Arial" w:hAnsi="Arial" w:cs="Arial"/>
          <w:i/>
        </w:rPr>
        <w:t>Smluvními stranami bylo dohodnuto</w:t>
      </w:r>
      <w:r w:rsidR="00725204" w:rsidRPr="002A3AFB">
        <w:rPr>
          <w:rFonts w:ascii="Arial" w:hAnsi="Arial" w:cs="Arial"/>
          <w:i/>
        </w:rPr>
        <w:t>, že:</w:t>
      </w:r>
    </w:p>
    <w:p w:rsidR="0082667D" w:rsidRPr="002A3AFB" w:rsidRDefault="00A97FC5" w:rsidP="002A3AFB">
      <w:pPr>
        <w:pStyle w:val="Odstavecseseznamem"/>
        <w:numPr>
          <w:ilvl w:val="3"/>
          <w:numId w:val="1"/>
        </w:numPr>
        <w:jc w:val="both"/>
        <w:rPr>
          <w:rFonts w:ascii="Arial" w:hAnsi="Arial" w:cs="Arial"/>
          <w:i/>
        </w:rPr>
      </w:pPr>
      <w:r w:rsidRPr="002A3AFB">
        <w:rPr>
          <w:rFonts w:ascii="Arial" w:hAnsi="Arial" w:cs="Arial"/>
          <w:i/>
        </w:rPr>
        <w:t>termín provedení předmětu smlouvy je od data účinnosti této smlouvy (čl. X. odst. 19</w:t>
      </w:r>
      <w:r w:rsidR="002A3AFB">
        <w:rPr>
          <w:rFonts w:ascii="Arial" w:hAnsi="Arial" w:cs="Arial"/>
          <w:i/>
        </w:rPr>
        <w:t>.</w:t>
      </w:r>
      <w:r w:rsidRPr="002A3AFB">
        <w:rPr>
          <w:rFonts w:ascii="Arial" w:hAnsi="Arial" w:cs="Arial"/>
          <w:i/>
        </w:rPr>
        <w:t xml:space="preserve"> této </w:t>
      </w:r>
      <w:r w:rsidR="002A3AFB">
        <w:rPr>
          <w:rFonts w:ascii="Arial" w:hAnsi="Arial" w:cs="Arial"/>
          <w:i/>
        </w:rPr>
        <w:t>smlouvy) do 6. prosince 2017 do </w:t>
      </w:r>
      <w:r w:rsidRPr="002A3AFB">
        <w:rPr>
          <w:rFonts w:ascii="Arial" w:hAnsi="Arial" w:cs="Arial"/>
          <w:i/>
        </w:rPr>
        <w:t>8:00 hodin</w:t>
      </w:r>
      <w:r w:rsidR="00E1346C" w:rsidRPr="002A3AFB">
        <w:rPr>
          <w:rFonts w:ascii="Arial" w:hAnsi="Arial" w:cs="Arial"/>
          <w:i/>
        </w:rPr>
        <w:t xml:space="preserve"> dopoledne.</w:t>
      </w:r>
    </w:p>
    <w:p w:rsidR="00A97FC5" w:rsidRPr="002A3AFB" w:rsidRDefault="00A97FC5" w:rsidP="002A3AFB">
      <w:pPr>
        <w:pStyle w:val="Odstavecseseznamem"/>
        <w:numPr>
          <w:ilvl w:val="3"/>
          <w:numId w:val="1"/>
        </w:numPr>
        <w:jc w:val="both"/>
        <w:rPr>
          <w:rFonts w:ascii="Arial" w:hAnsi="Arial" w:cs="Arial"/>
          <w:i/>
        </w:rPr>
      </w:pPr>
      <w:r w:rsidRPr="002A3AFB">
        <w:rPr>
          <w:rFonts w:ascii="Arial" w:hAnsi="Arial" w:cs="Arial"/>
          <w:i/>
        </w:rPr>
        <w:t>termín montáže LED osvětlení a uvedení do provozu je od 5. listopadu 2017 do 6. prosince 2017 do 8:00 hodin</w:t>
      </w:r>
      <w:r w:rsidR="00E1346C" w:rsidRPr="002A3AFB">
        <w:rPr>
          <w:rFonts w:ascii="Arial" w:hAnsi="Arial" w:cs="Arial"/>
          <w:i/>
        </w:rPr>
        <w:t xml:space="preserve"> dopoledne.</w:t>
      </w:r>
      <w:r w:rsidR="00D92CA3" w:rsidRPr="002A3AFB">
        <w:rPr>
          <w:rFonts w:ascii="Arial" w:hAnsi="Arial" w:cs="Arial"/>
          <w:i/>
        </w:rPr>
        <w:t xml:space="preserve"> V čase dle předchozí věty bude systém LED osvětlení plně funkční.</w:t>
      </w:r>
    </w:p>
    <w:p w:rsidR="00D92CA3" w:rsidRPr="002A3AFB" w:rsidRDefault="00D92CA3" w:rsidP="002A3AFB">
      <w:pPr>
        <w:pStyle w:val="Odstavecseseznamem"/>
        <w:numPr>
          <w:ilvl w:val="3"/>
          <w:numId w:val="1"/>
        </w:numPr>
        <w:jc w:val="both"/>
        <w:rPr>
          <w:rFonts w:ascii="Arial" w:hAnsi="Arial" w:cs="Arial"/>
          <w:i/>
        </w:rPr>
      </w:pPr>
      <w:r w:rsidRPr="002A3AFB">
        <w:rPr>
          <w:rFonts w:ascii="Arial" w:hAnsi="Arial" w:cs="Arial"/>
          <w:i/>
        </w:rPr>
        <w:t>termín pro vypracování chybějící dokumentace a tím i splnění celé veřejné zakázky je 12. prosince 2017.</w:t>
      </w:r>
    </w:p>
    <w:p w:rsidR="00725204" w:rsidRPr="002A3AFB" w:rsidRDefault="00725204" w:rsidP="002A3AFB">
      <w:pPr>
        <w:pStyle w:val="Odstavecseseznamem"/>
        <w:numPr>
          <w:ilvl w:val="1"/>
          <w:numId w:val="1"/>
        </w:numPr>
        <w:jc w:val="both"/>
        <w:rPr>
          <w:rFonts w:ascii="Arial" w:hAnsi="Arial" w:cs="Arial"/>
        </w:rPr>
      </w:pPr>
      <w:r w:rsidRPr="002A3AFB">
        <w:rPr>
          <w:rFonts w:ascii="Arial" w:hAnsi="Arial" w:cs="Arial"/>
        </w:rPr>
        <w:t>V ostatních bodech zůstává smlouva v platnosti beze změn.</w:t>
      </w:r>
    </w:p>
    <w:p w:rsidR="00725204" w:rsidRPr="002A3AFB" w:rsidRDefault="00725204" w:rsidP="002A3AFB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b/>
        </w:rPr>
      </w:pPr>
      <w:r w:rsidRPr="002A3AFB">
        <w:rPr>
          <w:rFonts w:ascii="Arial" w:hAnsi="Arial" w:cs="Arial"/>
          <w:b/>
        </w:rPr>
        <w:lastRenderedPageBreak/>
        <w:t>Závěrečná ustanovení</w:t>
      </w:r>
    </w:p>
    <w:p w:rsidR="00725204" w:rsidRPr="002A3AFB" w:rsidRDefault="00725204" w:rsidP="002A3AFB">
      <w:pPr>
        <w:pStyle w:val="Odstavecseseznamem"/>
        <w:numPr>
          <w:ilvl w:val="1"/>
          <w:numId w:val="1"/>
        </w:numPr>
        <w:jc w:val="both"/>
        <w:rPr>
          <w:rFonts w:ascii="Arial" w:hAnsi="Arial" w:cs="Arial"/>
        </w:rPr>
      </w:pPr>
      <w:r w:rsidRPr="002A3AFB">
        <w:rPr>
          <w:rFonts w:ascii="Arial" w:hAnsi="Arial" w:cs="Arial"/>
        </w:rPr>
        <w:t>Tento dodatek se uzavírá ve dvou vyhotoveních, z nichž každé</w:t>
      </w:r>
      <w:r w:rsidR="00E1346C" w:rsidRPr="002A3AFB">
        <w:rPr>
          <w:rFonts w:ascii="Arial" w:hAnsi="Arial" w:cs="Arial"/>
        </w:rPr>
        <w:t xml:space="preserve"> vyhotovení</w:t>
      </w:r>
      <w:r w:rsidR="002A3AFB">
        <w:rPr>
          <w:rFonts w:ascii="Arial" w:hAnsi="Arial" w:cs="Arial"/>
        </w:rPr>
        <w:t xml:space="preserve"> má </w:t>
      </w:r>
      <w:r w:rsidRPr="002A3AFB">
        <w:rPr>
          <w:rFonts w:ascii="Arial" w:hAnsi="Arial" w:cs="Arial"/>
        </w:rPr>
        <w:t>platnost originálu.</w:t>
      </w:r>
      <w:r w:rsidR="00E1346C" w:rsidRPr="002A3AFB">
        <w:rPr>
          <w:rFonts w:ascii="Arial" w:hAnsi="Arial" w:cs="Arial"/>
        </w:rPr>
        <w:t xml:space="preserve"> Každá smluvní strana obdrží jedno vyhotovení dodatku.</w:t>
      </w:r>
    </w:p>
    <w:p w:rsidR="00725204" w:rsidRPr="002A3AFB" w:rsidRDefault="00725204" w:rsidP="002A3AFB">
      <w:pPr>
        <w:pStyle w:val="Odstavecseseznamem"/>
        <w:numPr>
          <w:ilvl w:val="1"/>
          <w:numId w:val="1"/>
        </w:numPr>
        <w:jc w:val="both"/>
        <w:rPr>
          <w:rFonts w:ascii="Arial" w:hAnsi="Arial" w:cs="Arial"/>
        </w:rPr>
      </w:pPr>
      <w:r w:rsidRPr="002A3AFB">
        <w:rPr>
          <w:rFonts w:ascii="Arial" w:hAnsi="Arial" w:cs="Arial"/>
        </w:rPr>
        <w:t>Platnost tohoto dodatku nastává dnem podpisu smluvními stranami.</w:t>
      </w:r>
    </w:p>
    <w:p w:rsidR="00725204" w:rsidRPr="002A3AFB" w:rsidRDefault="00725204" w:rsidP="002A3AFB">
      <w:pPr>
        <w:pStyle w:val="Odstavecseseznamem"/>
        <w:numPr>
          <w:ilvl w:val="1"/>
          <w:numId w:val="1"/>
        </w:numPr>
        <w:jc w:val="both"/>
        <w:rPr>
          <w:rFonts w:ascii="Arial" w:hAnsi="Arial" w:cs="Arial"/>
        </w:rPr>
      </w:pPr>
      <w:r w:rsidRPr="002A3AFB">
        <w:rPr>
          <w:rFonts w:ascii="Arial" w:hAnsi="Arial" w:cs="Arial"/>
        </w:rPr>
        <w:t xml:space="preserve">Účinnost tohoto dodatku nastává, v souladu se zákonem </w:t>
      </w:r>
      <w:r w:rsidR="00507016" w:rsidRPr="002A3AFB">
        <w:rPr>
          <w:rFonts w:ascii="Arial" w:hAnsi="Arial" w:cs="Arial"/>
        </w:rPr>
        <w:t>3</w:t>
      </w:r>
      <w:r w:rsidRPr="002A3AFB">
        <w:rPr>
          <w:rFonts w:ascii="Arial" w:hAnsi="Arial" w:cs="Arial"/>
        </w:rPr>
        <w:t>40/2</w:t>
      </w:r>
      <w:r w:rsidR="002A3AFB">
        <w:rPr>
          <w:rFonts w:ascii="Arial" w:hAnsi="Arial" w:cs="Arial"/>
        </w:rPr>
        <w:t>015 S</w:t>
      </w:r>
      <w:r w:rsidRPr="002A3AFB">
        <w:rPr>
          <w:rFonts w:ascii="Arial" w:hAnsi="Arial" w:cs="Arial"/>
        </w:rPr>
        <w:t>b., dnem zveřejnění v registru smluv.</w:t>
      </w:r>
    </w:p>
    <w:p w:rsidR="00725204" w:rsidRPr="002A3AFB" w:rsidRDefault="00725204" w:rsidP="002A3AFB">
      <w:pPr>
        <w:pStyle w:val="Odstavecseseznamem"/>
        <w:numPr>
          <w:ilvl w:val="1"/>
          <w:numId w:val="1"/>
        </w:numPr>
        <w:jc w:val="both"/>
        <w:rPr>
          <w:rFonts w:ascii="Arial" w:hAnsi="Arial" w:cs="Arial"/>
        </w:rPr>
      </w:pPr>
      <w:r w:rsidRPr="002A3AFB">
        <w:rPr>
          <w:rFonts w:ascii="Arial" w:hAnsi="Arial" w:cs="Arial"/>
        </w:rPr>
        <w:t>Smluvní strany prohlašují a svým podpise</w:t>
      </w:r>
      <w:r w:rsidR="002A3AFB">
        <w:rPr>
          <w:rFonts w:ascii="Arial" w:hAnsi="Arial" w:cs="Arial"/>
        </w:rPr>
        <w:t>m stvrzují, že tento dodatek je </w:t>
      </w:r>
      <w:r w:rsidRPr="002A3AFB">
        <w:rPr>
          <w:rFonts w:ascii="Arial" w:hAnsi="Arial" w:cs="Arial"/>
        </w:rPr>
        <w:t>výrazem jejich pravé a svobodné vůle, nebyl</w:t>
      </w:r>
      <w:r w:rsidR="002A3AFB">
        <w:rPr>
          <w:rFonts w:ascii="Arial" w:hAnsi="Arial" w:cs="Arial"/>
        </w:rPr>
        <w:t xml:space="preserve"> sepsán v tísni a byl sepsán na </w:t>
      </w:r>
      <w:r w:rsidRPr="002A3AFB">
        <w:rPr>
          <w:rFonts w:ascii="Arial" w:hAnsi="Arial" w:cs="Arial"/>
        </w:rPr>
        <w:t>základě vzájemného projednání</w:t>
      </w:r>
      <w:r w:rsidR="00E1346C" w:rsidRPr="002A3AFB">
        <w:rPr>
          <w:rFonts w:ascii="Arial" w:hAnsi="Arial" w:cs="Arial"/>
        </w:rPr>
        <w:t>. Na důkaz toho připojují své podpisy.</w:t>
      </w:r>
    </w:p>
    <w:p w:rsidR="00725204" w:rsidRPr="002A3AFB" w:rsidRDefault="00725204" w:rsidP="002A3AFB">
      <w:pPr>
        <w:jc w:val="both"/>
        <w:rPr>
          <w:rFonts w:ascii="Arial" w:hAnsi="Arial" w:cs="Arial"/>
        </w:rPr>
      </w:pPr>
    </w:p>
    <w:p w:rsidR="00725204" w:rsidRPr="002A3AFB" w:rsidRDefault="00725204" w:rsidP="002A3AFB">
      <w:pPr>
        <w:jc w:val="both"/>
        <w:rPr>
          <w:rFonts w:ascii="Arial" w:hAnsi="Arial" w:cs="Arial"/>
        </w:rPr>
      </w:pPr>
    </w:p>
    <w:p w:rsidR="00725204" w:rsidRDefault="00725204" w:rsidP="002A3AFB">
      <w:pPr>
        <w:tabs>
          <w:tab w:val="right" w:leader="dot" w:pos="4253"/>
          <w:tab w:val="left" w:pos="4820"/>
          <w:tab w:val="right" w:leader="dot" w:pos="8789"/>
        </w:tabs>
        <w:jc w:val="both"/>
        <w:rPr>
          <w:rFonts w:ascii="Arial" w:hAnsi="Arial" w:cs="Arial"/>
        </w:rPr>
      </w:pPr>
      <w:r w:rsidRPr="002A3AFB">
        <w:rPr>
          <w:rFonts w:ascii="Arial" w:hAnsi="Arial" w:cs="Arial"/>
        </w:rPr>
        <w:t>V</w:t>
      </w:r>
      <w:r w:rsidR="002A3AFB">
        <w:rPr>
          <w:rFonts w:ascii="Arial" w:hAnsi="Arial" w:cs="Arial"/>
        </w:rPr>
        <w:t> Havířově dne</w:t>
      </w:r>
      <w:r w:rsidR="002A3AFB">
        <w:rPr>
          <w:rFonts w:ascii="Arial" w:hAnsi="Arial" w:cs="Arial"/>
        </w:rPr>
        <w:tab/>
      </w:r>
      <w:r w:rsidR="002A3AFB">
        <w:rPr>
          <w:rFonts w:ascii="Arial" w:hAnsi="Arial" w:cs="Arial"/>
        </w:rPr>
        <w:tab/>
        <w:t>V Havířově dne</w:t>
      </w:r>
      <w:r w:rsidR="002A3AFB">
        <w:rPr>
          <w:rFonts w:ascii="Arial" w:hAnsi="Arial" w:cs="Arial"/>
        </w:rPr>
        <w:tab/>
      </w:r>
    </w:p>
    <w:p w:rsidR="002A3AFB" w:rsidRDefault="002A3AFB" w:rsidP="002A3AFB">
      <w:pPr>
        <w:tabs>
          <w:tab w:val="right" w:leader="dot" w:pos="4253"/>
          <w:tab w:val="left" w:pos="4820"/>
          <w:tab w:val="right" w:leader="dot" w:pos="8789"/>
        </w:tabs>
        <w:jc w:val="both"/>
        <w:rPr>
          <w:rFonts w:ascii="Arial" w:hAnsi="Arial" w:cs="Arial"/>
        </w:rPr>
      </w:pPr>
    </w:p>
    <w:p w:rsidR="002A3AFB" w:rsidRDefault="002A3AFB" w:rsidP="002A3AFB">
      <w:pPr>
        <w:tabs>
          <w:tab w:val="right" w:leader="dot" w:pos="4253"/>
          <w:tab w:val="left" w:pos="4820"/>
          <w:tab w:val="right" w:leader="dot" w:pos="8789"/>
        </w:tabs>
        <w:jc w:val="both"/>
        <w:rPr>
          <w:rFonts w:ascii="Arial" w:hAnsi="Arial" w:cs="Arial"/>
        </w:rPr>
      </w:pPr>
    </w:p>
    <w:p w:rsidR="002A3AFB" w:rsidRDefault="002A3AFB" w:rsidP="002A3AFB">
      <w:pPr>
        <w:tabs>
          <w:tab w:val="right" w:leader="dot" w:pos="4253"/>
          <w:tab w:val="left" w:pos="4820"/>
          <w:tab w:val="right" w:leader="dot" w:pos="8789"/>
        </w:tabs>
        <w:jc w:val="both"/>
        <w:rPr>
          <w:rFonts w:ascii="Arial" w:hAnsi="Arial" w:cs="Arial"/>
        </w:rPr>
      </w:pPr>
    </w:p>
    <w:p w:rsidR="002A3AFB" w:rsidRDefault="002A3AFB" w:rsidP="002A3AFB">
      <w:pPr>
        <w:tabs>
          <w:tab w:val="right" w:leader="dot" w:pos="4253"/>
          <w:tab w:val="left" w:pos="4820"/>
          <w:tab w:val="right" w:leader="dot" w:pos="8789"/>
        </w:tabs>
        <w:jc w:val="both"/>
        <w:rPr>
          <w:rFonts w:ascii="Arial" w:hAnsi="Arial" w:cs="Arial"/>
        </w:rPr>
      </w:pPr>
    </w:p>
    <w:p w:rsidR="002A3AFB" w:rsidRDefault="002A3AFB" w:rsidP="002A3AFB">
      <w:pPr>
        <w:tabs>
          <w:tab w:val="right" w:leader="dot" w:pos="4253"/>
          <w:tab w:val="left" w:pos="4820"/>
          <w:tab w:val="right" w:leader="dot" w:pos="8789"/>
        </w:tabs>
        <w:jc w:val="both"/>
        <w:rPr>
          <w:rFonts w:ascii="Arial" w:hAnsi="Arial" w:cs="Arial"/>
        </w:rPr>
      </w:pPr>
    </w:p>
    <w:p w:rsidR="002A3AFB" w:rsidRDefault="002A3AFB" w:rsidP="002A3AFB">
      <w:pPr>
        <w:tabs>
          <w:tab w:val="right" w:leader="dot" w:pos="4253"/>
          <w:tab w:val="left" w:pos="4820"/>
          <w:tab w:val="right" w:leader="dot" w:pos="8789"/>
        </w:tabs>
        <w:jc w:val="both"/>
        <w:rPr>
          <w:rFonts w:ascii="Arial" w:hAnsi="Arial" w:cs="Arial"/>
        </w:rPr>
      </w:pPr>
      <w:bookmarkStart w:id="0" w:name="_GoBack"/>
      <w:bookmarkEnd w:id="0"/>
    </w:p>
    <w:p w:rsidR="002A3AFB" w:rsidRDefault="002A3AFB" w:rsidP="002A3AFB">
      <w:pPr>
        <w:tabs>
          <w:tab w:val="right" w:leader="dot" w:pos="4253"/>
          <w:tab w:val="left" w:pos="4820"/>
          <w:tab w:val="right" w:leader="dot" w:pos="8789"/>
        </w:tabs>
        <w:jc w:val="both"/>
        <w:rPr>
          <w:rFonts w:ascii="Arial" w:hAnsi="Arial" w:cs="Arial"/>
        </w:rPr>
      </w:pPr>
    </w:p>
    <w:p w:rsidR="002A3AFB" w:rsidRDefault="002A3AFB" w:rsidP="002A3AFB">
      <w:pPr>
        <w:tabs>
          <w:tab w:val="center" w:leader="dot" w:pos="1701"/>
          <w:tab w:val="center" w:leader="dot" w:pos="7371"/>
        </w:tabs>
        <w:jc w:val="both"/>
        <w:rPr>
          <w:rFonts w:ascii="Arial" w:hAnsi="Arial" w:cs="Arial"/>
        </w:rPr>
      </w:pPr>
    </w:p>
    <w:p w:rsidR="002A3AFB" w:rsidRDefault="002A3AFB" w:rsidP="002A3AFB">
      <w:pPr>
        <w:tabs>
          <w:tab w:val="center" w:pos="1701"/>
          <w:tab w:val="center" w:pos="7371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………………………………….</w:t>
      </w:r>
      <w:r>
        <w:rPr>
          <w:rFonts w:ascii="Arial" w:hAnsi="Arial" w:cs="Arial"/>
        </w:rPr>
        <w:tab/>
        <w:t>…………………………………….</w:t>
      </w:r>
    </w:p>
    <w:p w:rsidR="002A3AFB" w:rsidRDefault="002A3AFB" w:rsidP="002A3AFB">
      <w:pPr>
        <w:tabs>
          <w:tab w:val="center" w:pos="1701"/>
          <w:tab w:val="center" w:pos="7371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za prodávajícího</w:t>
      </w:r>
      <w:r>
        <w:rPr>
          <w:rFonts w:ascii="Arial" w:hAnsi="Arial" w:cs="Arial"/>
        </w:rPr>
        <w:tab/>
        <w:t>za kupujícího</w:t>
      </w:r>
    </w:p>
    <w:p w:rsidR="002A3AFB" w:rsidRDefault="002A3AFB" w:rsidP="002A3AFB">
      <w:pPr>
        <w:tabs>
          <w:tab w:val="center" w:pos="1701"/>
          <w:tab w:val="center" w:pos="7371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H</w:t>
      </w:r>
      <w:r w:rsidR="00917E2C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L</w:t>
      </w:r>
      <w:r w:rsidR="00917E2C">
        <w:rPr>
          <w:rFonts w:ascii="Arial" w:hAnsi="Arial" w:cs="Arial"/>
        </w:rPr>
        <w:t>.</w:t>
      </w:r>
      <w:r>
        <w:rPr>
          <w:rFonts w:ascii="Arial" w:hAnsi="Arial" w:cs="Arial"/>
        </w:rPr>
        <w:tab/>
        <w:t>Ing. R</w:t>
      </w:r>
      <w:r w:rsidR="00917E2C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K</w:t>
      </w:r>
      <w:r w:rsidR="00917E2C">
        <w:rPr>
          <w:rFonts w:ascii="Arial" w:hAnsi="Arial" w:cs="Arial"/>
        </w:rPr>
        <w:t>.</w:t>
      </w:r>
    </w:p>
    <w:p w:rsidR="002A3AFB" w:rsidRDefault="002A3AFB" w:rsidP="002A3AFB">
      <w:pPr>
        <w:tabs>
          <w:tab w:val="center" w:pos="1701"/>
          <w:tab w:val="center" w:pos="7371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jednatel</w:t>
      </w:r>
      <w:r>
        <w:rPr>
          <w:rFonts w:ascii="Arial" w:hAnsi="Arial" w:cs="Arial"/>
        </w:rPr>
        <w:tab/>
        <w:t>ředitel SSRZ Havířov</w:t>
      </w:r>
      <w:r>
        <w:rPr>
          <w:rFonts w:ascii="Arial" w:hAnsi="Arial" w:cs="Arial"/>
        </w:rPr>
        <w:tab/>
      </w:r>
    </w:p>
    <w:p w:rsidR="002A3AFB" w:rsidRPr="002A3AFB" w:rsidRDefault="002A3AFB" w:rsidP="002A3AF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725204" w:rsidRPr="002A3AFB" w:rsidRDefault="00725204" w:rsidP="002A3AFB">
      <w:pPr>
        <w:jc w:val="both"/>
        <w:rPr>
          <w:rFonts w:ascii="Arial" w:hAnsi="Arial" w:cs="Arial"/>
        </w:rPr>
      </w:pPr>
    </w:p>
    <w:p w:rsidR="00725204" w:rsidRPr="002A3AFB" w:rsidRDefault="00725204" w:rsidP="00725204">
      <w:pPr>
        <w:rPr>
          <w:rFonts w:ascii="Arial" w:hAnsi="Arial" w:cs="Arial"/>
        </w:rPr>
      </w:pPr>
    </w:p>
    <w:p w:rsidR="00E1346C" w:rsidRPr="002A3AFB" w:rsidRDefault="00E1346C" w:rsidP="00725204">
      <w:pPr>
        <w:rPr>
          <w:rFonts w:ascii="Arial" w:hAnsi="Arial" w:cs="Arial"/>
        </w:rPr>
      </w:pPr>
    </w:p>
    <w:p w:rsidR="00E1346C" w:rsidRPr="002A3AFB" w:rsidRDefault="00E1346C" w:rsidP="00725204">
      <w:pPr>
        <w:rPr>
          <w:rFonts w:ascii="Arial" w:hAnsi="Arial" w:cs="Arial"/>
        </w:rPr>
      </w:pPr>
    </w:p>
    <w:p w:rsidR="00E1346C" w:rsidRPr="002A3AFB" w:rsidRDefault="00E1346C" w:rsidP="00725204">
      <w:pPr>
        <w:rPr>
          <w:rFonts w:ascii="Arial" w:hAnsi="Arial" w:cs="Arial"/>
        </w:rPr>
      </w:pPr>
    </w:p>
    <w:p w:rsidR="00725204" w:rsidRPr="002A3AFB" w:rsidRDefault="00725204" w:rsidP="00725204">
      <w:pPr>
        <w:rPr>
          <w:rFonts w:ascii="Arial" w:hAnsi="Arial" w:cs="Arial"/>
        </w:rPr>
      </w:pPr>
    </w:p>
    <w:p w:rsidR="00725204" w:rsidRPr="002A3AFB" w:rsidRDefault="00725204" w:rsidP="00725204">
      <w:pPr>
        <w:rPr>
          <w:rFonts w:ascii="Arial" w:hAnsi="Arial" w:cs="Arial"/>
        </w:rPr>
      </w:pPr>
    </w:p>
    <w:p w:rsidR="00725204" w:rsidRPr="002A3AFB" w:rsidRDefault="00725204" w:rsidP="00725204">
      <w:pPr>
        <w:rPr>
          <w:rFonts w:ascii="Arial" w:hAnsi="Arial" w:cs="Arial"/>
        </w:rPr>
      </w:pPr>
    </w:p>
    <w:p w:rsidR="00725204" w:rsidRPr="002A3AFB" w:rsidRDefault="00725204" w:rsidP="00725204">
      <w:pPr>
        <w:rPr>
          <w:rFonts w:ascii="Arial" w:hAnsi="Arial" w:cs="Arial"/>
        </w:rPr>
      </w:pPr>
    </w:p>
    <w:sectPr w:rsidR="00725204" w:rsidRPr="002A3AFB" w:rsidSect="002A3AFB">
      <w:headerReference w:type="default" r:id="rId8"/>
      <w:pgSz w:w="11906" w:h="16838"/>
      <w:pgMar w:top="170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4D18" w:rsidRDefault="00944D18" w:rsidP="00054A03">
      <w:pPr>
        <w:spacing w:after="0" w:line="240" w:lineRule="auto"/>
      </w:pPr>
      <w:r>
        <w:separator/>
      </w:r>
    </w:p>
  </w:endnote>
  <w:endnote w:type="continuationSeparator" w:id="0">
    <w:p w:rsidR="00944D18" w:rsidRDefault="00944D18" w:rsidP="00054A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4D18" w:rsidRDefault="00944D18" w:rsidP="00054A03">
      <w:pPr>
        <w:spacing w:after="0" w:line="240" w:lineRule="auto"/>
      </w:pPr>
      <w:r>
        <w:separator/>
      </w:r>
    </w:p>
  </w:footnote>
  <w:footnote w:type="continuationSeparator" w:id="0">
    <w:p w:rsidR="00944D18" w:rsidRDefault="00944D18" w:rsidP="00054A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4A03" w:rsidRPr="002A3AFB" w:rsidRDefault="002D58B6" w:rsidP="00054A03">
    <w:pPr>
      <w:pStyle w:val="Zhlav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rFonts w:ascii="Arial" w:hAnsi="Arial" w:cs="Arial"/>
        <w:sz w:val="20"/>
        <w:szCs w:val="20"/>
      </w:rPr>
    </w:pPr>
    <w:r w:rsidRPr="002A3AFB">
      <w:rPr>
        <w:rFonts w:ascii="Arial" w:hAnsi="Arial" w:cs="Arial"/>
        <w:sz w:val="20"/>
        <w:szCs w:val="20"/>
      </w:rPr>
      <w:t>Dodatek č.</w:t>
    </w:r>
    <w:r w:rsidR="002A3AFB" w:rsidRPr="002A3AFB">
      <w:rPr>
        <w:rFonts w:ascii="Arial" w:hAnsi="Arial" w:cs="Arial"/>
        <w:sz w:val="20"/>
        <w:szCs w:val="20"/>
      </w:rPr>
      <w:t xml:space="preserve"> 1</w:t>
    </w:r>
    <w:r w:rsidRPr="002A3AFB">
      <w:rPr>
        <w:rFonts w:ascii="Arial" w:hAnsi="Arial" w:cs="Arial"/>
        <w:sz w:val="20"/>
        <w:szCs w:val="20"/>
      </w:rPr>
      <w:t xml:space="preserve"> ke </w:t>
    </w:r>
    <w:r w:rsidR="002A3AFB" w:rsidRPr="002A3AFB">
      <w:rPr>
        <w:rFonts w:ascii="Arial" w:hAnsi="Arial" w:cs="Arial"/>
        <w:sz w:val="20"/>
        <w:szCs w:val="20"/>
      </w:rPr>
      <w:t>KUPNÍ SMLOUVĚ</w:t>
    </w:r>
    <w:r w:rsidR="00054A03" w:rsidRPr="002A3AFB">
      <w:rPr>
        <w:rFonts w:ascii="Arial" w:hAnsi="Arial" w:cs="Arial"/>
        <w:sz w:val="20"/>
        <w:szCs w:val="20"/>
      </w:rPr>
      <w:t xml:space="preserve"> č. 122/SSRZ/2017</w:t>
    </w:r>
  </w:p>
  <w:p w:rsidR="00054A03" w:rsidRDefault="00054A03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BD3219"/>
    <w:multiLevelType w:val="multilevel"/>
    <w:tmpl w:val="4E381796"/>
    <w:numStyleLink w:val="Styl1"/>
  </w:abstractNum>
  <w:abstractNum w:abstractNumId="1">
    <w:nsid w:val="50493B4B"/>
    <w:multiLevelType w:val="multilevel"/>
    <w:tmpl w:val="4E381796"/>
    <w:styleLink w:val="Styl1"/>
    <w:lvl w:ilvl="0">
      <w:start w:val="1"/>
      <w:numFmt w:val="upperRoman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right"/>
      <w:pPr>
        <w:ind w:left="2160" w:hanging="180"/>
      </w:pPr>
    </w:lvl>
    <w:lvl w:ilvl="3">
      <w:start w:val="1"/>
      <w:numFmt w:val="lowerRoman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upperRoman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>
        <w:start w:val="1"/>
        <w:numFmt w:val="decimal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>
        <w:start w:val="1"/>
        <w:numFmt w:val="lowerLetter"/>
        <w:lvlText w:val="%4)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F59"/>
    <w:rsid w:val="00054A03"/>
    <w:rsid w:val="001122CC"/>
    <w:rsid w:val="001504D2"/>
    <w:rsid w:val="002A3AFB"/>
    <w:rsid w:val="002D58B6"/>
    <w:rsid w:val="00466872"/>
    <w:rsid w:val="00507016"/>
    <w:rsid w:val="00540E11"/>
    <w:rsid w:val="00725204"/>
    <w:rsid w:val="0082667D"/>
    <w:rsid w:val="00917E2C"/>
    <w:rsid w:val="00944D18"/>
    <w:rsid w:val="00961020"/>
    <w:rsid w:val="00A01B0B"/>
    <w:rsid w:val="00A97FC5"/>
    <w:rsid w:val="00AC235E"/>
    <w:rsid w:val="00B56F59"/>
    <w:rsid w:val="00D92CA3"/>
    <w:rsid w:val="00E13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2667D"/>
    <w:pPr>
      <w:ind w:left="720"/>
      <w:contextualSpacing/>
    </w:pPr>
  </w:style>
  <w:style w:type="numbering" w:customStyle="1" w:styleId="Styl1">
    <w:name w:val="Styl1"/>
    <w:uiPriority w:val="99"/>
    <w:rsid w:val="0082667D"/>
    <w:pPr>
      <w:numPr>
        <w:numId w:val="2"/>
      </w:numPr>
    </w:pPr>
  </w:style>
  <w:style w:type="table" w:styleId="Mkatabulky">
    <w:name w:val="Table Grid"/>
    <w:basedOn w:val="Normlntabulka"/>
    <w:uiPriority w:val="39"/>
    <w:rsid w:val="007252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nhideWhenUsed/>
    <w:rsid w:val="00054A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54A03"/>
  </w:style>
  <w:style w:type="paragraph" w:styleId="Zpat">
    <w:name w:val="footer"/>
    <w:basedOn w:val="Normln"/>
    <w:link w:val="ZpatChar"/>
    <w:uiPriority w:val="99"/>
    <w:unhideWhenUsed/>
    <w:rsid w:val="00054A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54A0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2667D"/>
    <w:pPr>
      <w:ind w:left="720"/>
      <w:contextualSpacing/>
    </w:pPr>
  </w:style>
  <w:style w:type="numbering" w:customStyle="1" w:styleId="Styl1">
    <w:name w:val="Styl1"/>
    <w:uiPriority w:val="99"/>
    <w:rsid w:val="0082667D"/>
    <w:pPr>
      <w:numPr>
        <w:numId w:val="2"/>
      </w:numPr>
    </w:pPr>
  </w:style>
  <w:style w:type="table" w:styleId="Mkatabulky">
    <w:name w:val="Table Grid"/>
    <w:basedOn w:val="Normlntabulka"/>
    <w:uiPriority w:val="39"/>
    <w:rsid w:val="007252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nhideWhenUsed/>
    <w:rsid w:val="00054A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54A03"/>
  </w:style>
  <w:style w:type="paragraph" w:styleId="Zpat">
    <w:name w:val="footer"/>
    <w:basedOn w:val="Normln"/>
    <w:link w:val="ZpatChar"/>
    <w:uiPriority w:val="99"/>
    <w:unhideWhenUsed/>
    <w:rsid w:val="00054A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54A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16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9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83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391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Antonín Polický</dc:creator>
  <cp:lastModifiedBy>Pavla Turoňová</cp:lastModifiedBy>
  <cp:revision>2</cp:revision>
  <cp:lastPrinted>2017-11-22T13:12:00Z</cp:lastPrinted>
  <dcterms:created xsi:type="dcterms:W3CDTF">2017-11-22T13:50:00Z</dcterms:created>
  <dcterms:modified xsi:type="dcterms:W3CDTF">2017-11-22T13:50:00Z</dcterms:modified>
</cp:coreProperties>
</file>