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330573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 2/01/073/17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BA5F8A" w:rsidRDefault="00FB65CE" w:rsidP="0080239C">
      <w:pPr>
        <w:keepNext/>
        <w:keepLines/>
        <w:rPr>
          <w:b/>
        </w:rPr>
      </w:pPr>
      <w:r>
        <w:rPr>
          <w:b/>
        </w:rPr>
        <w:t>Moravec a syn spol. s.r.o.</w:t>
      </w:r>
    </w:p>
    <w:p w:rsidR="0080239C" w:rsidRPr="00BA5F8A" w:rsidRDefault="00CC0EE7" w:rsidP="0080239C">
      <w:pPr>
        <w:keepNext/>
        <w:keepLines/>
      </w:pPr>
      <w:r w:rsidRPr="00BA5F8A">
        <w:t xml:space="preserve">Adresa: </w:t>
      </w:r>
      <w:r w:rsidR="00FB65CE">
        <w:t>Chebská 65, 360 06 Karlovy Vary</w:t>
      </w:r>
    </w:p>
    <w:p w:rsidR="0080239C" w:rsidRPr="00BA5F8A" w:rsidRDefault="00CC0EE7" w:rsidP="0080239C">
      <w:pPr>
        <w:keepNext/>
        <w:keepLines/>
      </w:pPr>
      <w:r w:rsidRPr="00BA5F8A">
        <w:t>IČ</w:t>
      </w:r>
      <w:r w:rsidR="00FF666F" w:rsidRPr="00BA5F8A">
        <w:t>O</w:t>
      </w:r>
      <w:r w:rsidRPr="00BA5F8A">
        <w:t xml:space="preserve">: </w:t>
      </w:r>
      <w:r w:rsidR="00FB65CE">
        <w:t>25216473</w:t>
      </w:r>
    </w:p>
    <w:p w:rsidR="0080239C" w:rsidRPr="00BA5F8A" w:rsidRDefault="004F302A" w:rsidP="0080239C">
      <w:pPr>
        <w:keepNext/>
        <w:keepLines/>
      </w:pPr>
      <w:r w:rsidRPr="00BA5F8A">
        <w:t>DIČ:</w:t>
      </w:r>
      <w:r w:rsidR="00AC56D6" w:rsidRPr="00BA5F8A">
        <w:t xml:space="preserve"> </w:t>
      </w:r>
      <w:r w:rsidR="00FB65CE">
        <w:t>CZ25216473</w:t>
      </w:r>
    </w:p>
    <w:p w:rsidR="0080239C" w:rsidRDefault="00C425D9" w:rsidP="0080239C">
      <w:pPr>
        <w:keepNext/>
        <w:keepLines/>
      </w:pPr>
      <w:r w:rsidRPr="00BA5F8A">
        <w:t>Zapsaná u</w:t>
      </w:r>
      <w:r w:rsidR="004F302A" w:rsidRPr="00BA5F8A">
        <w:t xml:space="preserve"> </w:t>
      </w:r>
      <w:r w:rsidR="00FB65CE">
        <w:t xml:space="preserve">Krajského soudu v Plzni, </w:t>
      </w:r>
      <w:r w:rsidRPr="00BA5F8A">
        <w:t xml:space="preserve">oddíl </w:t>
      </w:r>
      <w:r w:rsidR="00FB65CE">
        <w:t>C,</w:t>
      </w:r>
      <w:r w:rsidRPr="00BA5F8A">
        <w:t xml:space="preserve"> vložka </w:t>
      </w:r>
      <w:r w:rsidR="00FB65CE">
        <w:t>9512</w:t>
      </w:r>
    </w:p>
    <w:p w:rsidR="0080239C" w:rsidRDefault="00C425D9" w:rsidP="0080239C">
      <w:pPr>
        <w:keepNext/>
        <w:keepLines/>
      </w:pPr>
      <w:r w:rsidRPr="00773329">
        <w:t>Zastoupená:</w:t>
      </w:r>
      <w:r w:rsidR="00F74A79">
        <w:t xml:space="preserve"> jednatelem společnosti</w:t>
      </w:r>
      <w:r w:rsidRPr="00773329">
        <w:t xml:space="preserve"> </w:t>
      </w:r>
      <w:r w:rsidR="00330573">
        <w:t>xxxxxxxxxxxx</w:t>
      </w:r>
      <w:r w:rsidR="009E5A6A">
        <w:t xml:space="preserve">, mob. </w:t>
      </w:r>
      <w:r w:rsidR="00330573">
        <w:t>xxxxxxxxxx</w:t>
      </w: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r w:rsidR="00330573">
        <w:t>xxxxxxxxxxxxxxxx</w:t>
      </w:r>
      <w:r w:rsidR="00EF519E" w:rsidRPr="00522285">
        <w:t>, předsedou představenstva</w:t>
      </w:r>
      <w:r w:rsidR="004F302A">
        <w:tab/>
      </w:r>
    </w:p>
    <w:p w:rsidR="0080239C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</w:t>
      </w:r>
      <w:r w:rsidR="00330573">
        <w:t>xxxxxxxxxxxxx</w:t>
      </w:r>
      <w:r w:rsidR="00EF519E" w:rsidRPr="00522285">
        <w:t>, místopředsedou představenstva</w:t>
      </w:r>
    </w:p>
    <w:p w:rsidR="00EF519E" w:rsidRDefault="00EF519E" w:rsidP="0080239C">
      <w:pPr>
        <w:keepNext/>
        <w:keepLines/>
        <w:tabs>
          <w:tab w:val="left" w:pos="1260"/>
          <w:tab w:val="left" w:pos="2880"/>
        </w:tabs>
        <w:ind w:right="-108"/>
      </w:pPr>
      <w:r>
        <w:tab/>
      </w:r>
      <w:r w:rsidR="00330573">
        <w:t>xxxxxxxxxxxxxx</w:t>
      </w:r>
      <w:r w:rsidRPr="00522285">
        <w:t>, členem představenstva</w:t>
      </w: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="00FB65CE" w:rsidRPr="00431385">
        <w:t>spočívající ve výměně PVC podlahové k</w:t>
      </w:r>
      <w:r w:rsidR="001E7045">
        <w:t xml:space="preserve">rytiny na středisku V. Hleďsebe a to za použití konkrétního typu podlahové krytiny: PVC Fatra novoflor extra, tloušťka </w:t>
      </w:r>
      <w:r w:rsidR="001E7045">
        <w:br/>
        <w:t xml:space="preserve">2 mm, nášlap </w:t>
      </w:r>
      <w:r w:rsidR="005507CA">
        <w:t>0,</w:t>
      </w:r>
      <w:r w:rsidR="001E7045">
        <w:t>8 mm, zátěžová třída 43, 44</w:t>
      </w:r>
      <w:r w:rsidR="00655D6D">
        <w:t xml:space="preserve"> </w:t>
      </w:r>
      <w:r w:rsidRPr="00431385">
        <w:t>(dále jen „</w:t>
      </w:r>
      <w:r w:rsidR="0080239C" w:rsidRPr="00431385">
        <w:rPr>
          <w:b/>
          <w:i/>
        </w:rPr>
        <w:t xml:space="preserve">předmět </w:t>
      </w:r>
      <w:r w:rsidR="004F4DF7" w:rsidRPr="00431385">
        <w:rPr>
          <w:b/>
          <w:i/>
        </w:rPr>
        <w:t>díla</w:t>
      </w:r>
      <w:r w:rsidR="00EF62C1" w:rsidRPr="00431385">
        <w:t>“)</w:t>
      </w:r>
      <w:r w:rsidR="00C425D9" w:rsidRPr="00431385">
        <w:t xml:space="preserve"> dle své nabídky</w:t>
      </w:r>
      <w:r w:rsidR="00C425D9" w:rsidRPr="00BA5F8A">
        <w:t xml:space="preserve"> ze dne </w:t>
      </w:r>
      <w:r w:rsidR="00FB65CE">
        <w:t>12. 11. 2017</w:t>
      </w:r>
      <w:r w:rsidR="00C425D9" w:rsidRPr="00BA5F8A">
        <w:t xml:space="preserve"> v rozsahu</w:t>
      </w:r>
      <w:r w:rsidR="00C425D9" w:rsidRPr="00773329">
        <w:t xml:space="preserve"> dle Přílohy č.</w:t>
      </w:r>
      <w:r w:rsidR="0080239C" w:rsidRPr="0080239C">
        <w:t xml:space="preserve"> 2</w:t>
      </w:r>
      <w:r w:rsidR="00C425D9" w:rsidRPr="00773329">
        <w:t xml:space="preserve"> – Krycí list</w:t>
      </w:r>
      <w:r w:rsidR="00263E47">
        <w:t xml:space="preserve"> </w:t>
      </w:r>
      <w:r w:rsidR="004D009E">
        <w:t xml:space="preserve">a rozpočet </w:t>
      </w:r>
      <w:r w:rsidR="00263E47">
        <w:t>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>cenu ve výši a způsobem ujednaným v čl. 3 této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431385" w:rsidRDefault="00FB65CE" w:rsidP="0080239C">
      <w:pPr>
        <w:keepNext/>
        <w:keepLines/>
        <w:tabs>
          <w:tab w:val="left" w:pos="284"/>
        </w:tabs>
        <w:ind w:left="705"/>
      </w:pPr>
      <w:r w:rsidRPr="00431385">
        <w:t>329 340</w:t>
      </w:r>
      <w:r w:rsidR="00431385">
        <w:t xml:space="preserve">,- Kč </w:t>
      </w:r>
      <w:r w:rsidR="0080239C" w:rsidRPr="00431385">
        <w:t>bez DPH</w:t>
      </w:r>
    </w:p>
    <w:p w:rsidR="0080239C" w:rsidRPr="00431385" w:rsidRDefault="00FB65CE" w:rsidP="0080239C">
      <w:pPr>
        <w:keepNext/>
        <w:keepLines/>
        <w:tabs>
          <w:tab w:val="left" w:pos="284"/>
        </w:tabs>
        <w:ind w:left="705"/>
      </w:pPr>
      <w:r w:rsidRPr="00431385">
        <w:t xml:space="preserve">  69 161,40</w:t>
      </w:r>
      <w:r w:rsidR="00FF666F" w:rsidRPr="00431385">
        <w:t xml:space="preserve"> </w:t>
      </w:r>
      <w:r w:rsidR="0080239C" w:rsidRPr="00431385">
        <w:t>Kč</w:t>
      </w:r>
      <w:r w:rsidR="00FF666F" w:rsidRPr="00431385">
        <w:t xml:space="preserve"> samostatně</w:t>
      </w:r>
      <w:r w:rsidR="0080239C" w:rsidRPr="00431385">
        <w:t xml:space="preserve"> DPH</w:t>
      </w:r>
    </w:p>
    <w:p w:rsidR="0080239C" w:rsidRPr="00431385" w:rsidRDefault="00FB65CE" w:rsidP="00AC56D6">
      <w:pPr>
        <w:keepNext/>
        <w:keepLines/>
        <w:tabs>
          <w:tab w:val="left" w:pos="284"/>
        </w:tabs>
        <w:ind w:left="705"/>
      </w:pPr>
      <w:r w:rsidRPr="00431385">
        <w:t>398 501,40</w:t>
      </w:r>
      <w:r w:rsidR="00FF666F" w:rsidRPr="00431385">
        <w:t xml:space="preserve"> </w:t>
      </w:r>
      <w:r w:rsidR="0080239C" w:rsidRPr="00431385">
        <w:t xml:space="preserve">Kč </w:t>
      </w:r>
      <w:r w:rsidR="00FF666F" w:rsidRPr="00431385">
        <w:t>včetně</w:t>
      </w:r>
      <w:r w:rsidR="0080239C" w:rsidRPr="00431385">
        <w:t xml:space="preserve"> DPH</w:t>
      </w:r>
      <w:r w:rsidR="00C425D9" w:rsidRPr="00431385">
        <w:t xml:space="preserve"> </w:t>
      </w:r>
    </w:p>
    <w:p w:rsidR="0080239C" w:rsidRDefault="004F302A" w:rsidP="001E2C22">
      <w:pPr>
        <w:pStyle w:val="Nadpis2"/>
      </w:pPr>
      <w:r w:rsidRPr="00431385">
        <w:t>Cena bude Objednatelem uhrazena</w:t>
      </w:r>
      <w:r>
        <w:t xml:space="preserve">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r w:rsidR="0080239C" w:rsidRPr="0080239C">
        <w:rPr>
          <w:b/>
          <w:i/>
        </w:rPr>
        <w:t>ZoDPH</w:t>
      </w:r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 xml:space="preserve">Není-li dohodnuto jinak, je splatnost vystavené faktury smluvními stranami dohodnuta na </w:t>
      </w:r>
      <w:r w:rsidR="008D7101">
        <w:t>30 (slovy: třicet</w:t>
      </w:r>
      <w:r w:rsidRPr="00773329">
        <w:t>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řádně dokončit a předat Objednateli </w:t>
      </w:r>
      <w:r w:rsidRPr="0080239C">
        <w:rPr>
          <w:rFonts w:cs="Times New Roman"/>
          <w:szCs w:val="24"/>
        </w:rPr>
        <w:t xml:space="preserve">do </w:t>
      </w:r>
      <w:r w:rsidR="00F6595E">
        <w:rPr>
          <w:rFonts w:cs="Times New Roman"/>
          <w:szCs w:val="24"/>
        </w:rPr>
        <w:t>20</w:t>
      </w:r>
      <w:r w:rsidR="00FB65CE" w:rsidRPr="00431385">
        <w:rPr>
          <w:rFonts w:cs="Times New Roman"/>
          <w:szCs w:val="24"/>
        </w:rPr>
        <w:t>. 12. 2017</w:t>
      </w:r>
      <w:r w:rsidRPr="00431385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</w:t>
      </w:r>
      <w:r w:rsidR="00431385">
        <w:t>e včasné předání předmětu díla</w:t>
      </w:r>
      <w:r w:rsidRPr="0080239C">
        <w:t xml:space="preserve"> Zhotoviteli.</w:t>
      </w:r>
    </w:p>
    <w:p w:rsidR="0080239C" w:rsidRPr="0080239C" w:rsidRDefault="005A1DC8" w:rsidP="001E2C22">
      <w:pPr>
        <w:pStyle w:val="Nadpis2"/>
      </w:pPr>
      <w:r>
        <w:t>Předání předmětu</w:t>
      </w:r>
      <w:r w:rsidR="0080239C" w:rsidRPr="0080239C">
        <w:t xml:space="preserve"> </w:t>
      </w:r>
      <w:r w:rsidR="004F4DF7">
        <w:t>díla</w:t>
      </w:r>
      <w:r w:rsidR="0080239C" w:rsidRPr="0080239C">
        <w:t xml:space="preserve"> bude Objednatelem v</w:t>
      </w:r>
      <w:r w:rsidR="00431385">
        <w:t> </w:t>
      </w:r>
      <w:r w:rsidR="00655D6D">
        <w:t xml:space="preserve">dostatečném předstihu (alespoň 5 dní </w:t>
      </w:r>
      <w:r w:rsidR="0080239C" w:rsidRPr="0080239C">
        <w:t xml:space="preserve">předem) projednáno s pověřenou osobou Zhotovitele. Předání však musí proběhnout </w:t>
      </w:r>
      <w:r w:rsidR="00655D6D">
        <w:t>nejpozději 27</w:t>
      </w:r>
      <w:r>
        <w:t>. 11. 2017</w:t>
      </w:r>
      <w:r w:rsidR="0080239C" w:rsidRPr="0080239C">
        <w:t xml:space="preserve"> a to </w:t>
      </w:r>
      <w:r w:rsidR="0080239C" w:rsidRPr="00431385">
        <w:t xml:space="preserve">na adrese </w:t>
      </w:r>
      <w:r>
        <w:t>střediska: U Potoka 396, 354 71 Velká Hleďsebe.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1E7045" w:rsidRDefault="001E7045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Default="00C425D9" w:rsidP="0080239C">
      <w:pPr>
        <w:pStyle w:val="Nadpis1"/>
        <w:keepLines/>
      </w:pPr>
      <w:r w:rsidRPr="00773329">
        <w:lastRenderedPageBreak/>
        <w:t>Práva a povinnosti smluvních stran</w:t>
      </w:r>
    </w:p>
    <w:p w:rsidR="0080239C" w:rsidRDefault="0080239C" w:rsidP="001E2C22">
      <w:pPr>
        <w:pStyle w:val="Nadpis2"/>
      </w:pPr>
      <w:r w:rsidRPr="00305575">
        <w:t xml:space="preserve">Zhotovitel </w:t>
      </w:r>
      <w:r w:rsidR="00431385" w:rsidRPr="00305575">
        <w:t xml:space="preserve">odpovídá </w:t>
      </w:r>
      <w:r w:rsidR="00305575" w:rsidRPr="00305575">
        <w:t xml:space="preserve">po dobu zhotovení díla </w:t>
      </w:r>
      <w:r w:rsidR="00431385" w:rsidRPr="00305575">
        <w:t>za majetek, který mu byl Objednatelem svěřený</w:t>
      </w:r>
      <w:r w:rsidR="00305575" w:rsidRPr="00305575">
        <w:t>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vést ode dne převzetí staveniště a započetí prací stavební deník. Do deníku se budou zapisovat všechny skutečnosti rozhodné pro provádění prací, plnění této smlouvy a údaje důležité pro posouzení časového plnění (např. zásah vyšší moci). Jestliže pověřený pracovník objednatele nesouhlasí s obsahem zápisu, zapíše své vyjádření do třech pracovních dnů s uvedením důvodů, jinak se má za to, že s obsahem zápisu souhlasí. Povinnost vést stavební deník končí dnem odevzdání a převzetí hotového díla.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vést veškerou evidenci a doklady, které souvisejí s předmětem plnění a touto smlouvou po dobu výstavby.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dodržovat a provádět veškerá opatření na stavbě pro zajištění obecně závazných předpisů v oblasti BOZ a PO.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Vedením stav</w:t>
      </w:r>
      <w:r w:rsidR="009E5A6A">
        <w:t xml:space="preserve">by za zhotovitele je pověřen pan </w:t>
      </w:r>
      <w:r w:rsidR="00330573">
        <w:t>xxxxxxxxxxxx</w:t>
      </w:r>
      <w:r w:rsidR="009E5A6A">
        <w:t xml:space="preserve">, mob. </w:t>
      </w:r>
      <w:r w:rsidR="00330573">
        <w:t>xxxxxx</w:t>
      </w:r>
    </w:p>
    <w:p w:rsidR="0080239C" w:rsidRDefault="0080239C" w:rsidP="001E2C22">
      <w:pPr>
        <w:pStyle w:val="Nadpis2"/>
      </w:pPr>
      <w:r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ZoDPH jeho místně příslušnému správci daně. </w:t>
      </w:r>
    </w:p>
    <w:p w:rsidR="001E7045" w:rsidRPr="001E7045" w:rsidRDefault="001E7045" w:rsidP="001E7045"/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6D282C" w:rsidRDefault="0080239C" w:rsidP="001E2C22">
      <w:pPr>
        <w:pStyle w:val="Nadpis2"/>
      </w:pPr>
      <w:r w:rsidRPr="006D282C">
        <w:t xml:space="preserve">Předání a převzetí díla se uskuteční za společné účasti </w:t>
      </w:r>
      <w:r w:rsidR="00263E47" w:rsidRPr="006D282C">
        <w:t>O</w:t>
      </w:r>
      <w:r w:rsidR="00C425D9" w:rsidRPr="006D282C">
        <w:t xml:space="preserve">bjednatele a </w:t>
      </w:r>
      <w:r w:rsidR="00263E47" w:rsidRPr="006D282C">
        <w:t>Z</w:t>
      </w:r>
      <w:r w:rsidR="00D6473C" w:rsidRPr="006D282C">
        <w:t>hotovitele</w:t>
      </w:r>
      <w:r w:rsidR="00FF666F" w:rsidRPr="006D282C">
        <w:t>. Objednatel</w:t>
      </w:r>
      <w:r w:rsidRPr="006D282C">
        <w:t xml:space="preserve"> je povinen zajistit, aby se</w:t>
      </w:r>
      <w:r w:rsidR="006D282C" w:rsidRPr="006D282C">
        <w:t xml:space="preserve"> předání díla zúčastnil zástupce oddělení hospodářské správy</w:t>
      </w:r>
      <w:r w:rsidRPr="006D282C">
        <w:t xml:space="preserve"> a</w:t>
      </w:r>
      <w:r w:rsidR="006D282C" w:rsidRPr="006D282C">
        <w:t xml:space="preserve"> vedoucí střediska – Velká Hleďsebe</w:t>
      </w:r>
      <w:r w:rsidRPr="006D282C">
        <w:t>.</w:t>
      </w:r>
    </w:p>
    <w:p w:rsidR="0080239C" w:rsidRPr="006D282C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>
        <w:t xml:space="preserve"> se uskuteční v místě plnění, </w:t>
      </w:r>
      <w:r w:rsidRPr="006D282C">
        <w:t>tj. na adrese</w:t>
      </w:r>
      <w:r w:rsidR="00D6473C" w:rsidRPr="006D282C">
        <w:t xml:space="preserve"> </w:t>
      </w:r>
      <w:r w:rsidR="00F6595E" w:rsidRPr="001A322D">
        <w:t xml:space="preserve">ÚSKK, a. s., středisko </w:t>
      </w:r>
      <w:r w:rsidR="00F6595E">
        <w:t xml:space="preserve">Velká Hleďsebe, </w:t>
      </w:r>
      <w:r w:rsidR="00D6473C" w:rsidRPr="006D282C">
        <w:t>U Potoka 396, 354 71 Velká Hleďsebe</w:t>
      </w:r>
      <w:r w:rsidR="00263E47" w:rsidRPr="006D282C">
        <w:t>.</w:t>
      </w:r>
    </w:p>
    <w:p w:rsidR="0080239C" w:rsidRPr="0080239C" w:rsidRDefault="0080239C" w:rsidP="001E2C22">
      <w:pPr>
        <w:pStyle w:val="Nadpis2"/>
      </w:pPr>
      <w:r w:rsidRPr="006D282C">
        <w:t>Předání a převzetí díla, jehož součástí je vytknutí případných</w:t>
      </w:r>
      <w:r>
        <w:t xml:space="preserve">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 xml:space="preserve">bjednatel dílo </w:t>
      </w:r>
      <w:r w:rsidR="00D22A18" w:rsidRPr="00773329">
        <w:lastRenderedPageBreak/>
        <w:t>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>Zhotovitel poskytuje Objednateli smluvní zá</w:t>
      </w:r>
      <w:r w:rsidR="00D6473C">
        <w:t>ruku za bezvadnost díla v délce 36</w:t>
      </w:r>
      <w:r w:rsidR="00773329" w:rsidRPr="00773329">
        <w:t xml:space="preserve">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</w:t>
      </w:r>
      <w:r w:rsidR="00D6473C" w:rsidRPr="00305575">
        <w:t>díla</w:t>
      </w:r>
      <w:r w:rsidR="0080239C" w:rsidRPr="00305575">
        <w:t xml:space="preserve">, </w:t>
      </w:r>
      <w:r w:rsidR="00263E47" w:rsidRPr="00305575">
        <w:t>tj</w:t>
      </w:r>
      <w:r w:rsidR="00263E47">
        <w:t>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této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Default="0080239C" w:rsidP="00323B76">
      <w:pPr>
        <w:pStyle w:val="Nadpis2"/>
        <w:keepLines/>
        <w:tabs>
          <w:tab w:val="left" w:pos="284"/>
        </w:tabs>
        <w:spacing w:after="120"/>
        <w:ind w:right="283"/>
      </w:pPr>
      <w:r>
        <w:t xml:space="preserve">Zhotovitel se zavazuje k zajištění pozáručních oprav na základě řádné objednávky Objednatele. </w:t>
      </w:r>
    </w:p>
    <w:p w:rsidR="001E7045" w:rsidRPr="001E7045" w:rsidRDefault="001E7045" w:rsidP="001E7045"/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305575">
        <w:t>bjednatel v souladu s článkem 6</w:t>
      </w:r>
      <w:r w:rsidR="0080239C" w:rsidRPr="0080239C">
        <w:t xml:space="preserve"> odst. 4 této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305575" w:rsidRDefault="0080239C" w:rsidP="001E2C22">
      <w:pPr>
        <w:pStyle w:val="Nadpis2"/>
      </w:pPr>
      <w:r w:rsidRPr="00305575">
        <w:t>Tato smlouva nabývá platnosti okamžikem jejího podpisu oběma smluvními stranami. Účinnosti smlouva nabývá dnem jejího uveřejnění v registru smluv ve smyslu ust</w:t>
      </w:r>
      <w:r w:rsidR="0063098B" w:rsidRPr="00305575">
        <w:t>anovení</w:t>
      </w:r>
      <w:r w:rsidRPr="00305575">
        <w:t xml:space="preserve"> § 6 odst. 1 zák. č. 340/2015 Sb., o zvláštních podmínkách </w:t>
      </w:r>
      <w:r w:rsidRPr="00305575">
        <w:lastRenderedPageBreak/>
        <w:t>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6D3D22" w:rsidRPr="006D3D22" w:rsidRDefault="006D3D22" w:rsidP="006D3D22"/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BA5F8A" w:rsidP="0080239C">
      <w:pPr>
        <w:pStyle w:val="Normlnweb"/>
        <w:keepNext/>
        <w:keepLines/>
        <w:ind w:right="-108"/>
      </w:pPr>
      <w:r>
        <w:t>V</w:t>
      </w:r>
      <w:r w:rsidR="00330573">
        <w:t> Karlových Varech</w:t>
      </w:r>
      <w:r w:rsidR="004F302A">
        <w:t xml:space="preserve">      dne:</w:t>
      </w:r>
      <w:r>
        <w:t xml:space="preserve"> </w:t>
      </w:r>
      <w:r w:rsidR="00330573">
        <w:t>22.11.2017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BA5F8A" w:rsidRDefault="004F302A" w:rsidP="0080239C">
      <w:pPr>
        <w:pStyle w:val="Normlnweb"/>
        <w:keepNext/>
        <w:keepLines/>
        <w:ind w:right="-108"/>
      </w:pPr>
      <w:r>
        <w:t>Za</w:t>
      </w:r>
      <w:r w:rsidR="006D3D22">
        <w:t xml:space="preserve"> Moravec a syn spol. s.r.o.</w:t>
      </w:r>
      <w:r w:rsidR="00C425D9" w:rsidRPr="00BA5F8A">
        <w:t xml:space="preserve">  </w:t>
      </w: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  <w:r w:rsidRPr="00BA5F8A">
        <w:t>………………………………………..</w:t>
      </w:r>
    </w:p>
    <w:p w:rsidR="0080239C" w:rsidRPr="006D3D22" w:rsidRDefault="006D3D22" w:rsidP="006D3D22">
      <w:pPr>
        <w:pStyle w:val="Normlnweb"/>
        <w:keepNext/>
        <w:keepLines/>
        <w:ind w:right="-108" w:firstLine="709"/>
      </w:pPr>
      <w:r>
        <w:t>Ing. Jan Moravec</w:t>
      </w:r>
    </w:p>
    <w:p w:rsidR="0080239C" w:rsidRDefault="006D3D22" w:rsidP="006D3D22">
      <w:pPr>
        <w:pStyle w:val="Normlnweb"/>
        <w:keepNext/>
        <w:keepLines/>
        <w:ind w:right="-108"/>
      </w:pPr>
      <w:r>
        <w:t xml:space="preserve"> </w:t>
      </w:r>
      <w:r>
        <w:tab/>
        <w:t xml:space="preserve">       jednatel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Otovicích dne</w:t>
      </w:r>
      <w:r w:rsidR="00330573">
        <w:t xml:space="preserve"> 21.11.2017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>Za Údržba silnic Karlovarského kraje, a.s.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Ing. </w:t>
      </w:r>
      <w:r w:rsidR="00EF519E">
        <w:t>Martin Leichter, MBA</w:t>
      </w:r>
      <w:r>
        <w:tab/>
      </w:r>
      <w:r>
        <w:tab/>
      </w:r>
      <w:r>
        <w:tab/>
      </w:r>
      <w:r>
        <w:tab/>
      </w:r>
      <w:r w:rsidR="00EF519E">
        <w:t xml:space="preserve">       Ing. </w:t>
      </w:r>
      <w:r w:rsidR="00225730">
        <w:t>Pavel Raška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předseda </w:t>
      </w:r>
      <w:r w:rsidR="00225730">
        <w:t>představenstva</w:t>
      </w:r>
      <w:r w:rsidR="00225730">
        <w:tab/>
      </w:r>
      <w:r w:rsidR="00225730">
        <w:tab/>
      </w:r>
      <w:r w:rsidR="00225730">
        <w:tab/>
      </w:r>
      <w:r w:rsidR="00225730">
        <w:tab/>
        <w:t xml:space="preserve">    člen</w:t>
      </w:r>
      <w:r>
        <w:t xml:space="preserve"> představenstva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80239C" w:rsidP="0080239C">
      <w:pPr>
        <w:keepNext/>
        <w:keepLines/>
        <w:rPr>
          <w:i/>
        </w:rPr>
      </w:pPr>
      <w:r w:rsidRPr="0080239C">
        <w:rPr>
          <w:i/>
        </w:rPr>
        <w:t xml:space="preserve">Příloha č. 1 - </w:t>
      </w:r>
      <w:r w:rsidR="00C425D9" w:rsidRPr="004C7E85">
        <w:rPr>
          <w:i/>
        </w:rPr>
        <w:t>Doplňující kontaktní údaje</w:t>
      </w:r>
    </w:p>
    <w:p w:rsidR="00CC0EE7" w:rsidRDefault="0080239C" w:rsidP="00330573">
      <w:pPr>
        <w:keepNext/>
        <w:keepLines/>
        <w:rPr>
          <w:i/>
        </w:rPr>
      </w:pPr>
      <w:r w:rsidRPr="0080239C">
        <w:rPr>
          <w:i/>
        </w:rPr>
        <w:t xml:space="preserve">Příloha č. 2 - </w:t>
      </w:r>
      <w:r w:rsidR="004C7E85">
        <w:rPr>
          <w:i/>
        </w:rPr>
        <w:t>K</w:t>
      </w:r>
      <w:r w:rsidRPr="0080239C">
        <w:rPr>
          <w:i/>
        </w:rPr>
        <w:t>rycí list</w:t>
      </w:r>
      <w:r w:rsidR="004D009E">
        <w:rPr>
          <w:i/>
        </w:rPr>
        <w:t xml:space="preserve"> </w:t>
      </w:r>
      <w:bookmarkStart w:id="1" w:name="_GoBack"/>
      <w:bookmarkEnd w:id="1"/>
    </w:p>
    <w:sectPr w:rsidR="00CC0EE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9F" w:rsidRDefault="003A269F">
      <w:r>
        <w:separator/>
      </w:r>
    </w:p>
  </w:endnote>
  <w:endnote w:type="continuationSeparator" w:id="0">
    <w:p w:rsidR="003A269F" w:rsidRDefault="003A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6B1B2C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6B1B2C" w:rsidP="00841BD3">
    <w:pPr>
      <w:pStyle w:val="Zpat"/>
      <w:framePr w:wrap="around" w:vAnchor="text" w:hAnchor="margin" w:xAlign="center" w:y="1"/>
    </w:pPr>
    <w:r>
      <w:fldChar w:fldCharType="begin"/>
    </w:r>
    <w:r w:rsidR="00EF519E">
      <w:instrText xml:space="preserve">PAGE  </w:instrText>
    </w:r>
    <w:r>
      <w:fldChar w:fldCharType="separate"/>
    </w:r>
    <w:r w:rsidR="00330573">
      <w:rPr>
        <w:noProof/>
      </w:rPr>
      <w:t>2</w:t>
    </w:r>
    <w:r>
      <w:rPr>
        <w:noProof/>
      </w:rPr>
      <w:fldChar w:fldCharType="end"/>
    </w:r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9F" w:rsidRDefault="003A269F">
      <w:r>
        <w:separator/>
      </w:r>
    </w:p>
  </w:footnote>
  <w:footnote w:type="continuationSeparator" w:id="0">
    <w:p w:rsidR="003A269F" w:rsidRDefault="003A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 w15:restartNumberingAfterBreak="0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E2008"/>
    <w:rsid w:val="000E3E63"/>
    <w:rsid w:val="000F11EE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1A04"/>
    <w:rsid w:val="001542D6"/>
    <w:rsid w:val="001568BE"/>
    <w:rsid w:val="00170D32"/>
    <w:rsid w:val="0017103C"/>
    <w:rsid w:val="001825F0"/>
    <w:rsid w:val="0018319F"/>
    <w:rsid w:val="001973BE"/>
    <w:rsid w:val="001A08B8"/>
    <w:rsid w:val="001A7307"/>
    <w:rsid w:val="001B0620"/>
    <w:rsid w:val="001D44B9"/>
    <w:rsid w:val="001D5A62"/>
    <w:rsid w:val="001D6419"/>
    <w:rsid w:val="001E0E97"/>
    <w:rsid w:val="001E2636"/>
    <w:rsid w:val="001E2C22"/>
    <w:rsid w:val="001E7045"/>
    <w:rsid w:val="00204F3B"/>
    <w:rsid w:val="00215545"/>
    <w:rsid w:val="00225730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74753"/>
    <w:rsid w:val="00294664"/>
    <w:rsid w:val="002A2B24"/>
    <w:rsid w:val="002D63C2"/>
    <w:rsid w:val="002E0499"/>
    <w:rsid w:val="002F1B06"/>
    <w:rsid w:val="003024C0"/>
    <w:rsid w:val="00305575"/>
    <w:rsid w:val="003104C0"/>
    <w:rsid w:val="00310887"/>
    <w:rsid w:val="00312984"/>
    <w:rsid w:val="00314553"/>
    <w:rsid w:val="003248E3"/>
    <w:rsid w:val="0032574D"/>
    <w:rsid w:val="00330573"/>
    <w:rsid w:val="003308B2"/>
    <w:rsid w:val="00330DEF"/>
    <w:rsid w:val="003344C4"/>
    <w:rsid w:val="00336280"/>
    <w:rsid w:val="00336331"/>
    <w:rsid w:val="0036100B"/>
    <w:rsid w:val="0036228E"/>
    <w:rsid w:val="00373E78"/>
    <w:rsid w:val="0038277F"/>
    <w:rsid w:val="00382B1F"/>
    <w:rsid w:val="00383174"/>
    <w:rsid w:val="00394C73"/>
    <w:rsid w:val="00395E85"/>
    <w:rsid w:val="00396678"/>
    <w:rsid w:val="003A269F"/>
    <w:rsid w:val="003A6F47"/>
    <w:rsid w:val="003B1986"/>
    <w:rsid w:val="003C709D"/>
    <w:rsid w:val="003D5AAC"/>
    <w:rsid w:val="003D73ED"/>
    <w:rsid w:val="003F239B"/>
    <w:rsid w:val="003F708C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385"/>
    <w:rsid w:val="00431C16"/>
    <w:rsid w:val="00432360"/>
    <w:rsid w:val="0044445E"/>
    <w:rsid w:val="00445227"/>
    <w:rsid w:val="004457FB"/>
    <w:rsid w:val="00465937"/>
    <w:rsid w:val="00473DB2"/>
    <w:rsid w:val="00481342"/>
    <w:rsid w:val="004A55AD"/>
    <w:rsid w:val="004B12E1"/>
    <w:rsid w:val="004B37F2"/>
    <w:rsid w:val="004B723E"/>
    <w:rsid w:val="004C7E85"/>
    <w:rsid w:val="004D009E"/>
    <w:rsid w:val="004D1D2E"/>
    <w:rsid w:val="004E7AC5"/>
    <w:rsid w:val="004F23AE"/>
    <w:rsid w:val="004F302A"/>
    <w:rsid w:val="004F4DF7"/>
    <w:rsid w:val="00503DD0"/>
    <w:rsid w:val="00515DE7"/>
    <w:rsid w:val="005262B2"/>
    <w:rsid w:val="00526482"/>
    <w:rsid w:val="005507CA"/>
    <w:rsid w:val="00550BAE"/>
    <w:rsid w:val="00571C9A"/>
    <w:rsid w:val="00574983"/>
    <w:rsid w:val="005859A2"/>
    <w:rsid w:val="005863DC"/>
    <w:rsid w:val="00586906"/>
    <w:rsid w:val="005931A5"/>
    <w:rsid w:val="005A1DC8"/>
    <w:rsid w:val="005A780D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112FF"/>
    <w:rsid w:val="00617E9B"/>
    <w:rsid w:val="00621574"/>
    <w:rsid w:val="0063098B"/>
    <w:rsid w:val="00642C01"/>
    <w:rsid w:val="0064436A"/>
    <w:rsid w:val="006445E0"/>
    <w:rsid w:val="00655D6D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1B2C"/>
    <w:rsid w:val="006B51D2"/>
    <w:rsid w:val="006C527F"/>
    <w:rsid w:val="006D0C21"/>
    <w:rsid w:val="006D1758"/>
    <w:rsid w:val="006D282C"/>
    <w:rsid w:val="006D3D22"/>
    <w:rsid w:val="006E0E84"/>
    <w:rsid w:val="006E4DB1"/>
    <w:rsid w:val="006F0A59"/>
    <w:rsid w:val="006F3343"/>
    <w:rsid w:val="00712D40"/>
    <w:rsid w:val="00732D27"/>
    <w:rsid w:val="00734BAB"/>
    <w:rsid w:val="00736372"/>
    <w:rsid w:val="00754DD2"/>
    <w:rsid w:val="00771E0A"/>
    <w:rsid w:val="00773329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47C47"/>
    <w:rsid w:val="00855D92"/>
    <w:rsid w:val="00856019"/>
    <w:rsid w:val="008618EE"/>
    <w:rsid w:val="00861CEC"/>
    <w:rsid w:val="00885890"/>
    <w:rsid w:val="00897288"/>
    <w:rsid w:val="00897781"/>
    <w:rsid w:val="008B0BCE"/>
    <w:rsid w:val="008B1A1B"/>
    <w:rsid w:val="008D7101"/>
    <w:rsid w:val="008E2DBD"/>
    <w:rsid w:val="008E44E9"/>
    <w:rsid w:val="008F0271"/>
    <w:rsid w:val="008F24E4"/>
    <w:rsid w:val="008F76A1"/>
    <w:rsid w:val="009001AB"/>
    <w:rsid w:val="00902188"/>
    <w:rsid w:val="009120C4"/>
    <w:rsid w:val="00920593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8"/>
    <w:rsid w:val="009E3CEC"/>
    <w:rsid w:val="009E510E"/>
    <w:rsid w:val="009E5A6A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B1339C"/>
    <w:rsid w:val="00B25548"/>
    <w:rsid w:val="00B269DC"/>
    <w:rsid w:val="00B35B1C"/>
    <w:rsid w:val="00B409B1"/>
    <w:rsid w:val="00B43415"/>
    <w:rsid w:val="00B50BEC"/>
    <w:rsid w:val="00B51432"/>
    <w:rsid w:val="00B57E05"/>
    <w:rsid w:val="00B64705"/>
    <w:rsid w:val="00B66E36"/>
    <w:rsid w:val="00B92C64"/>
    <w:rsid w:val="00B960D8"/>
    <w:rsid w:val="00B96DDB"/>
    <w:rsid w:val="00BA3980"/>
    <w:rsid w:val="00BA5F8A"/>
    <w:rsid w:val="00BB1E04"/>
    <w:rsid w:val="00BB75E7"/>
    <w:rsid w:val="00BD0209"/>
    <w:rsid w:val="00BE0F3F"/>
    <w:rsid w:val="00BE6CEF"/>
    <w:rsid w:val="00BF0B65"/>
    <w:rsid w:val="00BF629B"/>
    <w:rsid w:val="00BF698A"/>
    <w:rsid w:val="00C111EB"/>
    <w:rsid w:val="00C118FD"/>
    <w:rsid w:val="00C12981"/>
    <w:rsid w:val="00C13129"/>
    <w:rsid w:val="00C22C58"/>
    <w:rsid w:val="00C425D9"/>
    <w:rsid w:val="00C605C6"/>
    <w:rsid w:val="00C61F60"/>
    <w:rsid w:val="00C62118"/>
    <w:rsid w:val="00C64FE4"/>
    <w:rsid w:val="00C659F8"/>
    <w:rsid w:val="00C73546"/>
    <w:rsid w:val="00C7738B"/>
    <w:rsid w:val="00C8039E"/>
    <w:rsid w:val="00C83588"/>
    <w:rsid w:val="00C860E0"/>
    <w:rsid w:val="00C865F0"/>
    <w:rsid w:val="00C870B8"/>
    <w:rsid w:val="00C910CF"/>
    <w:rsid w:val="00C92B24"/>
    <w:rsid w:val="00CA5EB2"/>
    <w:rsid w:val="00CB15CB"/>
    <w:rsid w:val="00CB5814"/>
    <w:rsid w:val="00CC0EE7"/>
    <w:rsid w:val="00CC163F"/>
    <w:rsid w:val="00CD1F9A"/>
    <w:rsid w:val="00CD295C"/>
    <w:rsid w:val="00CF12D0"/>
    <w:rsid w:val="00CF3658"/>
    <w:rsid w:val="00CF5AB3"/>
    <w:rsid w:val="00D10614"/>
    <w:rsid w:val="00D10F2C"/>
    <w:rsid w:val="00D22A18"/>
    <w:rsid w:val="00D255F3"/>
    <w:rsid w:val="00D25C18"/>
    <w:rsid w:val="00D41E2A"/>
    <w:rsid w:val="00D43304"/>
    <w:rsid w:val="00D43B78"/>
    <w:rsid w:val="00D45DDB"/>
    <w:rsid w:val="00D50097"/>
    <w:rsid w:val="00D6473C"/>
    <w:rsid w:val="00D73BDE"/>
    <w:rsid w:val="00D817FF"/>
    <w:rsid w:val="00D84AB8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E47B8"/>
    <w:rsid w:val="00DF5532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519E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515C7"/>
    <w:rsid w:val="00F6595E"/>
    <w:rsid w:val="00F700AF"/>
    <w:rsid w:val="00F74A79"/>
    <w:rsid w:val="00F834A1"/>
    <w:rsid w:val="00F85F6B"/>
    <w:rsid w:val="00F95F3D"/>
    <w:rsid w:val="00FA0D96"/>
    <w:rsid w:val="00FA0FF0"/>
    <w:rsid w:val="00FA2FF0"/>
    <w:rsid w:val="00FA6B97"/>
    <w:rsid w:val="00FB65CE"/>
    <w:rsid w:val="00FC1B6B"/>
    <w:rsid w:val="00FE2394"/>
    <w:rsid w:val="00FE291C"/>
    <w:rsid w:val="00FE5D74"/>
    <w:rsid w:val="00FF1F11"/>
    <w:rsid w:val="00FF2439"/>
    <w:rsid w:val="00FF666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771F45-E1D8-46A7-8D5A-B599175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10</TotalTime>
  <Pages>1</Pages>
  <Words>1898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Hewlett-Packard Company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5</cp:revision>
  <cp:lastPrinted>2017-10-23T10:11:00Z</cp:lastPrinted>
  <dcterms:created xsi:type="dcterms:W3CDTF">2017-11-20T11:37:00Z</dcterms:created>
  <dcterms:modified xsi:type="dcterms:W3CDTF">2017-11-22T09:49:00Z</dcterms:modified>
</cp:coreProperties>
</file>