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E5" w:rsidRDefault="005465E5" w:rsidP="00DA6627">
      <w:pPr>
        <w:pStyle w:val="Nzevsmlouvytitulnstrana"/>
        <w:spacing w:after="120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Dodatek č. 2 ke Smlouvě</w:t>
      </w:r>
      <w:r w:rsidRPr="00E40947">
        <w:rPr>
          <w:caps w:val="0"/>
          <w:sz w:val="32"/>
          <w:szCs w:val="32"/>
        </w:rPr>
        <w:t xml:space="preserve"> o dílo</w:t>
      </w:r>
    </w:p>
    <w:p w:rsidR="005465E5" w:rsidRPr="001B40D1" w:rsidRDefault="005465E5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 xml:space="preserve">č. </w:t>
      </w:r>
      <w:r>
        <w:rPr>
          <w:i w:val="0"/>
          <w:caps w:val="0"/>
        </w:rPr>
        <w:t>0375/D3000/15</w:t>
      </w:r>
      <w:r w:rsidRPr="001B40D1">
        <w:rPr>
          <w:i w:val="0"/>
          <w:caps w:val="0"/>
        </w:rPr>
        <w:t xml:space="preserve"> (objednatele)</w:t>
      </w:r>
    </w:p>
    <w:p w:rsidR="005465E5" w:rsidRDefault="005465E5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Pr="000A73DA">
        <w:rPr>
          <w:caps w:val="0"/>
          <w:sz w:val="22"/>
          <w:szCs w:val="22"/>
        </w:rPr>
        <w:t>3016050 (zhotovitele</w:t>
      </w:r>
      <w:r w:rsidRPr="0017301F">
        <w:rPr>
          <w:caps w:val="0"/>
          <w:sz w:val="22"/>
          <w:szCs w:val="22"/>
        </w:rPr>
        <w:t>)</w:t>
      </w:r>
    </w:p>
    <w:p w:rsidR="005465E5" w:rsidRPr="006C4319" w:rsidRDefault="005465E5" w:rsidP="006C4319">
      <w:pPr>
        <w:pStyle w:val="Titulnstranapomocn"/>
        <w:rPr>
          <w:i w:val="0"/>
        </w:rPr>
      </w:pPr>
      <w:r w:rsidRPr="006C4319">
        <w:rPr>
          <w:i w:val="0"/>
          <w:caps w:val="0"/>
        </w:rPr>
        <w:t>ze dne 12.5.2016</w:t>
      </w:r>
    </w:p>
    <w:p w:rsidR="005465E5" w:rsidRPr="00941716" w:rsidRDefault="005465E5" w:rsidP="00DA6627">
      <w:pPr>
        <w:pStyle w:val="Nzevsmlouvytitulnstrana"/>
        <w:spacing w:after="120"/>
        <w:rPr>
          <w:b w:val="0"/>
          <w:caps w:val="0"/>
          <w:sz w:val="24"/>
          <w:szCs w:val="24"/>
        </w:rPr>
      </w:pPr>
      <w:r w:rsidRPr="00941716">
        <w:rPr>
          <w:b w:val="0"/>
          <w:caps w:val="0"/>
          <w:sz w:val="24"/>
          <w:szCs w:val="24"/>
        </w:rPr>
        <w:t>na provedení Stavebních prací</w:t>
      </w:r>
    </w:p>
    <w:p w:rsidR="005465E5" w:rsidRPr="00941716" w:rsidRDefault="005465E5" w:rsidP="00BC2077">
      <w:pPr>
        <w:pStyle w:val="Titulnstranapomocn"/>
        <w:rPr>
          <w:b/>
          <w:i w:val="0"/>
          <w:caps w:val="0"/>
          <w:sz w:val="24"/>
          <w:szCs w:val="24"/>
        </w:rPr>
      </w:pPr>
      <w:r w:rsidRPr="00941716">
        <w:rPr>
          <w:b/>
          <w:i w:val="0"/>
          <w:caps w:val="0"/>
          <w:sz w:val="24"/>
          <w:szCs w:val="24"/>
        </w:rPr>
        <w:t>„Rekonstrukce ČS Hrnčíře, ul. K Hrnčířům, Praha 11“</w:t>
      </w:r>
    </w:p>
    <w:p w:rsidR="005465E5" w:rsidRPr="000D57AB" w:rsidRDefault="005465E5" w:rsidP="006C4319">
      <w:pPr>
        <w:pStyle w:val="Smluvnstrany123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  <w:r w:rsidRPr="000D57AB">
        <w:rPr>
          <w:sz w:val="24"/>
          <w:szCs w:val="24"/>
        </w:rPr>
        <w:t>Smluvní strany:</w:t>
      </w:r>
    </w:p>
    <w:p w:rsidR="005465E5" w:rsidRPr="000D57AB" w:rsidRDefault="005465E5" w:rsidP="006C4319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</w:rPr>
      </w:pPr>
    </w:p>
    <w:p w:rsidR="005465E5" w:rsidRPr="00427C5E" w:rsidRDefault="005465E5" w:rsidP="006C4319">
      <w:pPr>
        <w:pStyle w:val="Smluvnstrany123"/>
        <w:spacing w:after="0"/>
        <w:rPr>
          <w:sz w:val="24"/>
          <w:szCs w:val="24"/>
        </w:rPr>
      </w:pPr>
      <w:r w:rsidRPr="00427C5E">
        <w:rPr>
          <w:b/>
          <w:sz w:val="24"/>
          <w:szCs w:val="24"/>
          <w:lang w:eastAsia="en-US"/>
        </w:rPr>
        <w:t xml:space="preserve">Pražská vodohospodářská společnost a.s., </w:t>
      </w:r>
      <w:r w:rsidRPr="00427C5E">
        <w:rPr>
          <w:sz w:val="24"/>
          <w:szCs w:val="24"/>
          <w:lang w:eastAsia="en-US"/>
        </w:rPr>
        <w:t>IČ: 256 56 112, DIČ: CZ25656112</w:t>
      </w:r>
    </w:p>
    <w:p w:rsidR="005465E5" w:rsidRPr="00427C5E" w:rsidRDefault="005465E5" w:rsidP="006C4319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427C5E">
        <w:rPr>
          <w:sz w:val="24"/>
          <w:szCs w:val="24"/>
          <w:lang w:eastAsia="en-US"/>
        </w:rPr>
        <w:t>se sídlem Praha 1 - Staré Město, Žatecká 110/2, PSČ 110 00</w:t>
      </w:r>
    </w:p>
    <w:p w:rsidR="005465E5" w:rsidRPr="00427C5E" w:rsidRDefault="005465E5" w:rsidP="006C4319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427C5E">
        <w:rPr>
          <w:sz w:val="24"/>
          <w:szCs w:val="24"/>
          <w:lang w:eastAsia="en-US"/>
        </w:rPr>
        <w:t>zapsaná v obchodním rejstříku vedeném Městským soudem v Praze, oddíl B, vložka 5290</w:t>
      </w:r>
    </w:p>
    <w:p w:rsidR="005465E5" w:rsidRPr="00427C5E" w:rsidRDefault="005465E5" w:rsidP="006C4319">
      <w:pPr>
        <w:pStyle w:val="Smluvnstrany123"/>
        <w:numPr>
          <w:ilvl w:val="0"/>
          <w:numId w:val="0"/>
        </w:numPr>
        <w:spacing w:after="0"/>
        <w:ind w:left="2127" w:hanging="1560"/>
        <w:rPr>
          <w:sz w:val="24"/>
          <w:szCs w:val="24"/>
          <w:lang w:eastAsia="en-US"/>
        </w:rPr>
      </w:pPr>
      <w:r w:rsidRPr="00427C5E">
        <w:rPr>
          <w:sz w:val="24"/>
          <w:szCs w:val="24"/>
          <w:lang w:eastAsia="en-US"/>
        </w:rPr>
        <w:t>zastoupena:</w:t>
      </w:r>
      <w:r w:rsidRPr="00427C5E">
        <w:rPr>
          <w:sz w:val="24"/>
          <w:szCs w:val="24"/>
          <w:lang w:eastAsia="en-US"/>
        </w:rPr>
        <w:tab/>
      </w:r>
      <w:r w:rsidRPr="00427C5E">
        <w:rPr>
          <w:sz w:val="24"/>
          <w:szCs w:val="24"/>
        </w:rPr>
        <w:t>dle obchodního rejstříku z</w:t>
      </w:r>
      <w:r w:rsidRPr="00427C5E">
        <w:rPr>
          <w:rStyle w:val="platne1"/>
          <w:sz w:val="24"/>
          <w:szCs w:val="24"/>
        </w:rPr>
        <w:t>a společnost podepisují dva členové představenstva společně</w:t>
      </w:r>
    </w:p>
    <w:p w:rsidR="005465E5" w:rsidRPr="00427C5E" w:rsidRDefault="005465E5" w:rsidP="006C4319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427C5E">
        <w:rPr>
          <w:sz w:val="24"/>
          <w:szCs w:val="24"/>
        </w:rPr>
        <w:t>(dále jen „</w:t>
      </w:r>
      <w:r w:rsidRPr="00427C5E">
        <w:rPr>
          <w:b/>
          <w:sz w:val="24"/>
          <w:szCs w:val="24"/>
        </w:rPr>
        <w:t>Objednatel</w:t>
      </w:r>
      <w:r w:rsidRPr="00427C5E">
        <w:rPr>
          <w:sz w:val="24"/>
          <w:szCs w:val="24"/>
        </w:rPr>
        <w:t>“),</w:t>
      </w:r>
    </w:p>
    <w:p w:rsidR="005465E5" w:rsidRPr="00427C5E" w:rsidRDefault="005465E5" w:rsidP="006C4319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427C5E">
        <w:rPr>
          <w:sz w:val="24"/>
          <w:szCs w:val="24"/>
        </w:rPr>
        <w:t>a</w:t>
      </w:r>
    </w:p>
    <w:p w:rsidR="005465E5" w:rsidRPr="00427C5E" w:rsidRDefault="005465E5" w:rsidP="006C4319">
      <w:pPr>
        <w:pStyle w:val="Smluvnstrany123"/>
        <w:spacing w:after="0"/>
        <w:rPr>
          <w:sz w:val="24"/>
          <w:szCs w:val="24"/>
          <w:lang w:eastAsia="en-US"/>
        </w:rPr>
      </w:pPr>
      <w:r w:rsidRPr="00427C5E">
        <w:rPr>
          <w:b/>
          <w:sz w:val="24"/>
          <w:szCs w:val="24"/>
          <w:lang w:eastAsia="en-US"/>
        </w:rPr>
        <w:t>POHL cz, a.s. odštěpný závod Roztoky</w:t>
      </w:r>
      <w:r w:rsidRPr="00427C5E">
        <w:rPr>
          <w:sz w:val="24"/>
          <w:szCs w:val="24"/>
          <w:lang w:eastAsia="en-US"/>
        </w:rPr>
        <w:t>, IČ: 25606468, DIČ: CZ25606468</w:t>
      </w:r>
    </w:p>
    <w:p w:rsidR="005465E5" w:rsidRPr="00427C5E" w:rsidRDefault="005465E5" w:rsidP="006C4319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427C5E">
        <w:rPr>
          <w:sz w:val="24"/>
          <w:szCs w:val="24"/>
          <w:lang w:eastAsia="en-US"/>
        </w:rPr>
        <w:t>se sídlem Nádražní 25, 252 63 Roztoky</w:t>
      </w:r>
    </w:p>
    <w:p w:rsidR="005465E5" w:rsidRPr="00427C5E" w:rsidRDefault="005465E5" w:rsidP="006C4319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427C5E">
        <w:rPr>
          <w:sz w:val="24"/>
          <w:szCs w:val="24"/>
          <w:lang w:eastAsia="en-US"/>
        </w:rPr>
        <w:t>zapsaná v obchodním rejstříku vedeném Městským soudem v Praze, oddíl </w:t>
      </w:r>
      <w:r w:rsidRPr="00427C5E">
        <w:rPr>
          <w:sz w:val="24"/>
          <w:szCs w:val="24"/>
        </w:rPr>
        <w:t>B, vložka 4934</w:t>
      </w:r>
    </w:p>
    <w:p w:rsidR="005465E5" w:rsidRPr="00427C5E" w:rsidRDefault="005465E5" w:rsidP="006C4319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427C5E">
        <w:rPr>
          <w:sz w:val="24"/>
          <w:szCs w:val="24"/>
          <w:lang w:eastAsia="en-US"/>
        </w:rPr>
        <w:t xml:space="preserve">zastoupená </w:t>
      </w:r>
    </w:p>
    <w:p w:rsidR="005465E5" w:rsidRPr="00427C5E" w:rsidRDefault="005465E5" w:rsidP="006C4319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427C5E">
        <w:rPr>
          <w:sz w:val="24"/>
          <w:szCs w:val="24"/>
        </w:rPr>
        <w:t>(dále jen „</w:t>
      </w:r>
      <w:r w:rsidRPr="00427C5E">
        <w:rPr>
          <w:b/>
          <w:sz w:val="24"/>
          <w:szCs w:val="24"/>
        </w:rPr>
        <w:t>Zhotovitel</w:t>
      </w:r>
      <w:r w:rsidRPr="00427C5E">
        <w:rPr>
          <w:sz w:val="24"/>
          <w:szCs w:val="24"/>
        </w:rPr>
        <w:t>“),</w:t>
      </w:r>
    </w:p>
    <w:p w:rsidR="005465E5" w:rsidRPr="00427C5E" w:rsidRDefault="005465E5" w:rsidP="006C4319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427C5E">
        <w:rPr>
          <w:sz w:val="24"/>
          <w:szCs w:val="24"/>
        </w:rPr>
        <w:t xml:space="preserve"> (Objednatel a Zhotovitel dále společně jen „</w:t>
      </w:r>
      <w:r w:rsidRPr="00427C5E">
        <w:rPr>
          <w:b/>
          <w:sz w:val="24"/>
          <w:szCs w:val="24"/>
        </w:rPr>
        <w:t>Smluvní strany</w:t>
      </w:r>
      <w:r w:rsidRPr="00427C5E">
        <w:rPr>
          <w:sz w:val="24"/>
          <w:szCs w:val="24"/>
        </w:rPr>
        <w:t>“ a jednotlivě jen „</w:t>
      </w:r>
      <w:r w:rsidRPr="00427C5E">
        <w:rPr>
          <w:b/>
          <w:sz w:val="24"/>
          <w:szCs w:val="24"/>
        </w:rPr>
        <w:t>Smluvní strana</w:t>
      </w:r>
      <w:r w:rsidRPr="00427C5E">
        <w:rPr>
          <w:sz w:val="24"/>
          <w:szCs w:val="24"/>
        </w:rPr>
        <w:t>“).</w:t>
      </w:r>
    </w:p>
    <w:p w:rsidR="005465E5" w:rsidRPr="00427C5E" w:rsidRDefault="005465E5" w:rsidP="006C4319">
      <w:pPr>
        <w:pStyle w:val="Smluvnstrany123"/>
        <w:numPr>
          <w:ilvl w:val="0"/>
          <w:numId w:val="0"/>
        </w:numPr>
        <w:ind w:left="567"/>
        <w:jc w:val="center"/>
        <w:rPr>
          <w:b/>
          <w:sz w:val="24"/>
          <w:szCs w:val="24"/>
        </w:rPr>
      </w:pPr>
      <w:r w:rsidRPr="00427C5E">
        <w:rPr>
          <w:b/>
          <w:sz w:val="24"/>
          <w:szCs w:val="24"/>
        </w:rPr>
        <w:t>Preambule</w:t>
      </w:r>
    </w:p>
    <w:p w:rsidR="005465E5" w:rsidRPr="00427C5E" w:rsidRDefault="005465E5" w:rsidP="006C4319">
      <w:pPr>
        <w:pStyle w:val="BodyText"/>
        <w:tabs>
          <w:tab w:val="left" w:pos="0"/>
        </w:tabs>
        <w:spacing w:after="100" w:afterAutospacing="1"/>
        <w:ind w:firstLine="0"/>
        <w:rPr>
          <w:sz w:val="24"/>
          <w:szCs w:val="24"/>
        </w:rPr>
      </w:pPr>
      <w:r w:rsidRPr="00427C5E">
        <w:rPr>
          <w:sz w:val="24"/>
          <w:szCs w:val="24"/>
        </w:rPr>
        <w:t>Smluvní strany se dohodly na sepsání tohoto dodatku č.</w:t>
      </w:r>
      <w:r>
        <w:rPr>
          <w:sz w:val="24"/>
          <w:szCs w:val="24"/>
        </w:rPr>
        <w:t xml:space="preserve"> 2</w:t>
      </w:r>
      <w:r w:rsidRPr="00427C5E">
        <w:rPr>
          <w:sz w:val="24"/>
          <w:szCs w:val="24"/>
        </w:rPr>
        <w:t>. Předmětem dodatku jsou dodatečné stavební práce, které vznikly během provádění díla. Pro zprovoznění čerpací stanice je nutné vybudovat propojení mezi stávající podtlakovou stanicí a nově realizovanou čerpací stanicí</w:t>
      </w:r>
    </w:p>
    <w:p w:rsidR="005465E5" w:rsidRPr="00427C5E" w:rsidRDefault="005465E5" w:rsidP="00160D8C">
      <w:pPr>
        <w:pStyle w:val="PreambuleABC"/>
        <w:numPr>
          <w:ilvl w:val="0"/>
          <w:numId w:val="0"/>
        </w:numPr>
        <w:rPr>
          <w:sz w:val="24"/>
          <w:szCs w:val="24"/>
        </w:rPr>
      </w:pPr>
      <w:r w:rsidRPr="00427C5E">
        <w:rPr>
          <w:sz w:val="24"/>
          <w:szCs w:val="24"/>
        </w:rPr>
        <w:t>Dodatečné stavební práce jsou nezbytné pro uvedení díla do užívání a provozování vodohospodářské infrastruktury a pro dokončení díla.</w:t>
      </w:r>
    </w:p>
    <w:p w:rsidR="005465E5" w:rsidRPr="00427C5E" w:rsidRDefault="005465E5" w:rsidP="00160D8C">
      <w:pPr>
        <w:pStyle w:val="PrvnrovesmlouvyNadpis"/>
        <w:numPr>
          <w:ilvl w:val="0"/>
          <w:numId w:val="0"/>
        </w:numPr>
        <w:jc w:val="center"/>
        <w:rPr>
          <w:sz w:val="24"/>
          <w:szCs w:val="24"/>
        </w:rPr>
      </w:pPr>
      <w:r w:rsidRPr="00427C5E">
        <w:rPr>
          <w:sz w:val="24"/>
          <w:szCs w:val="24"/>
        </w:rPr>
        <w:t>Článek I.</w:t>
      </w: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360" w:hanging="360"/>
        <w:rPr>
          <w:sz w:val="24"/>
          <w:szCs w:val="24"/>
        </w:rPr>
      </w:pPr>
      <w:r w:rsidRPr="00427C5E">
        <w:rPr>
          <w:b/>
          <w:sz w:val="24"/>
          <w:szCs w:val="24"/>
        </w:rPr>
        <w:t>1</w:t>
      </w:r>
      <w:r w:rsidRPr="00427C5E">
        <w:rPr>
          <w:sz w:val="24"/>
          <w:szCs w:val="24"/>
        </w:rPr>
        <w:t xml:space="preserve">. Ustanovení </w:t>
      </w:r>
      <w:r w:rsidRPr="00427C5E">
        <w:rPr>
          <w:b/>
          <w:sz w:val="24"/>
          <w:szCs w:val="24"/>
        </w:rPr>
        <w:t>čl. 2. PŘEDMĚT SMLOUVY</w:t>
      </w:r>
      <w:r w:rsidRPr="00427C5E">
        <w:rPr>
          <w:sz w:val="24"/>
          <w:szCs w:val="24"/>
        </w:rPr>
        <w:t xml:space="preserve"> se rozšiřuje o nový odstavec 2.1.1, který zní:</w:t>
      </w: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567" w:hanging="207"/>
        <w:rPr>
          <w:sz w:val="24"/>
          <w:szCs w:val="24"/>
        </w:rPr>
      </w:pPr>
      <w:r w:rsidRPr="00427C5E">
        <w:rPr>
          <w:sz w:val="24"/>
          <w:szCs w:val="24"/>
        </w:rPr>
        <w:t>„2.1.1 zhotovitel provede tyto dodatečné stavební práce:</w:t>
      </w: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567" w:hanging="207"/>
        <w:rPr>
          <w:bCs/>
          <w:sz w:val="24"/>
          <w:szCs w:val="24"/>
        </w:rPr>
      </w:pPr>
    </w:p>
    <w:p w:rsidR="005465E5" w:rsidRPr="00427C5E" w:rsidRDefault="005465E5" w:rsidP="00FB7BB8">
      <w:pPr>
        <w:pStyle w:val="Druhrovesmlouvy"/>
        <w:numPr>
          <w:ilvl w:val="0"/>
          <w:numId w:val="38"/>
        </w:numPr>
        <w:ind w:left="1418" w:hanging="567"/>
        <w:rPr>
          <w:rFonts w:eastAsia="Arial Unicode MS"/>
          <w:sz w:val="24"/>
          <w:szCs w:val="24"/>
        </w:rPr>
      </w:pPr>
      <w:r w:rsidRPr="00427C5E">
        <w:rPr>
          <w:rFonts w:eastAsia="Arial Unicode MS"/>
          <w:sz w:val="24"/>
          <w:szCs w:val="24"/>
        </w:rPr>
        <w:t xml:space="preserve">propojení mezi stávající podtlakové stanice (PS) a nově vybudovanou ČS1 Hrnčíře, </w:t>
      </w:r>
    </w:p>
    <w:p w:rsidR="005465E5" w:rsidRPr="00427C5E" w:rsidRDefault="005465E5" w:rsidP="00FB7BB8">
      <w:pPr>
        <w:pStyle w:val="Druhrovesmlouvy"/>
        <w:numPr>
          <w:ilvl w:val="0"/>
          <w:numId w:val="38"/>
        </w:numPr>
        <w:ind w:left="1418" w:hanging="567"/>
        <w:rPr>
          <w:rFonts w:eastAsia="Arial Unicode MS"/>
          <w:sz w:val="24"/>
          <w:szCs w:val="24"/>
        </w:rPr>
      </w:pPr>
      <w:r w:rsidRPr="00427C5E">
        <w:rPr>
          <w:rFonts w:eastAsia="Arial Unicode MS"/>
          <w:sz w:val="24"/>
          <w:szCs w:val="24"/>
        </w:rPr>
        <w:t>doplnění konstrukčních a elektronických prvků ČS1,</w:t>
      </w:r>
    </w:p>
    <w:p w:rsidR="005465E5" w:rsidRPr="00427C5E" w:rsidRDefault="005465E5" w:rsidP="00FB7BB8">
      <w:pPr>
        <w:pStyle w:val="Druhrove1"/>
        <w:numPr>
          <w:ilvl w:val="0"/>
          <w:numId w:val="38"/>
        </w:numPr>
        <w:spacing w:after="0"/>
        <w:ind w:left="1418" w:hanging="567"/>
        <w:rPr>
          <w:sz w:val="24"/>
          <w:szCs w:val="24"/>
        </w:rPr>
      </w:pPr>
      <w:r w:rsidRPr="00427C5E">
        <w:rPr>
          <w:rFonts w:eastAsia="Arial Unicode MS"/>
          <w:sz w:val="24"/>
          <w:szCs w:val="24"/>
        </w:rPr>
        <w:t>přetřídění horniny a navýšení její objemové hmotnosti (změna technologie rozpojování horniny a s tím spojená zvýšená časová náročnost při výkopu stavební jámy)</w:t>
      </w: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</w:p>
    <w:p w:rsidR="005465E5" w:rsidRPr="00427C5E" w:rsidRDefault="005465E5" w:rsidP="00160D8C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427C5E">
        <w:rPr>
          <w:b/>
          <w:sz w:val="24"/>
          <w:szCs w:val="24"/>
        </w:rPr>
        <w:t>.</w:t>
      </w:r>
      <w:r w:rsidRPr="00427C5E">
        <w:rPr>
          <w:sz w:val="24"/>
          <w:szCs w:val="24"/>
        </w:rPr>
        <w:t xml:space="preserve"> Ustanovení </w:t>
      </w:r>
      <w:r w:rsidRPr="00427C5E">
        <w:rPr>
          <w:b/>
          <w:sz w:val="24"/>
          <w:szCs w:val="24"/>
        </w:rPr>
        <w:t>čl. 5. CENA ZA PROVEDENÍ DÍLA</w:t>
      </w:r>
      <w:r w:rsidRPr="00427C5E">
        <w:rPr>
          <w:sz w:val="24"/>
          <w:szCs w:val="24"/>
        </w:rPr>
        <w:t xml:space="preserve"> se rozšiřuje o nový odstavec 5.1.1, který zní:</w:t>
      </w:r>
    </w:p>
    <w:p w:rsidR="005465E5" w:rsidRPr="00427C5E" w:rsidRDefault="005465E5" w:rsidP="00427C5E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hanging="141"/>
        <w:rPr>
          <w:sz w:val="24"/>
          <w:szCs w:val="24"/>
        </w:rPr>
      </w:pPr>
      <w:r w:rsidRPr="00427C5E">
        <w:rPr>
          <w:sz w:val="24"/>
          <w:szCs w:val="24"/>
        </w:rPr>
        <w:t>„5.1.1 Cena díla dle ustanovení čl. 2.1.1 činí bez DPH</w:t>
      </w:r>
      <w:r w:rsidRPr="00427C5E">
        <w:rPr>
          <w:sz w:val="24"/>
          <w:szCs w:val="24"/>
        </w:rPr>
        <w:tab/>
      </w:r>
      <w:r w:rsidRPr="00427C5E">
        <w:rPr>
          <w:b/>
          <w:bCs/>
          <w:sz w:val="24"/>
          <w:szCs w:val="24"/>
        </w:rPr>
        <w:t>3.923.635,79 Kč</w:t>
      </w:r>
      <w:r w:rsidRPr="00427C5E">
        <w:rPr>
          <w:sz w:val="24"/>
          <w:szCs w:val="24"/>
        </w:rPr>
        <w:t>“</w:t>
      </w: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425"/>
        <w:rPr>
          <w:sz w:val="24"/>
          <w:szCs w:val="24"/>
        </w:rPr>
      </w:pPr>
      <w:r w:rsidRPr="00427C5E">
        <w:rPr>
          <w:sz w:val="24"/>
          <w:szCs w:val="24"/>
        </w:rPr>
        <w:t>Položkový rozpočet dodatečných stavebních prací – viz příloha č.1.</w:t>
      </w:r>
      <w:r w:rsidRPr="00427C5E">
        <w:rPr>
          <w:sz w:val="24"/>
          <w:szCs w:val="24"/>
        </w:rPr>
        <w:tab/>
      </w: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425" w:hanging="425"/>
        <w:rPr>
          <w:sz w:val="24"/>
          <w:szCs w:val="24"/>
        </w:rPr>
      </w:pP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427C5E">
        <w:rPr>
          <w:sz w:val="24"/>
          <w:szCs w:val="24"/>
        </w:rPr>
        <w:t>Celková cena díla ve znění SoD a dodatku č.1 pak činí</w:t>
      </w: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427C5E">
        <w:rPr>
          <w:sz w:val="24"/>
          <w:szCs w:val="24"/>
        </w:rPr>
        <w:t>Původní cena za dílo bez DPH</w:t>
      </w:r>
      <w:r w:rsidRPr="00427C5E">
        <w:rPr>
          <w:sz w:val="24"/>
          <w:szCs w:val="24"/>
        </w:rPr>
        <w:tab/>
      </w:r>
      <w:r w:rsidRPr="00427C5E">
        <w:rPr>
          <w:sz w:val="24"/>
          <w:szCs w:val="24"/>
        </w:rPr>
        <w:tab/>
      </w:r>
      <w:r w:rsidRPr="00427C5E">
        <w:rPr>
          <w:sz w:val="24"/>
          <w:szCs w:val="24"/>
        </w:rPr>
        <w:tab/>
      </w:r>
      <w:r w:rsidRPr="00427C5E">
        <w:rPr>
          <w:sz w:val="24"/>
          <w:szCs w:val="24"/>
        </w:rPr>
        <w:tab/>
        <w:t xml:space="preserve">           8.297.214,00 Kč</w:t>
      </w: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427C5E">
        <w:rPr>
          <w:sz w:val="24"/>
          <w:szCs w:val="24"/>
        </w:rPr>
        <w:t>Cena dle dodatku č. 1. bez DPH</w:t>
      </w:r>
      <w:r w:rsidRPr="00427C5E">
        <w:rPr>
          <w:sz w:val="24"/>
          <w:szCs w:val="24"/>
        </w:rPr>
        <w:tab/>
      </w:r>
      <w:r w:rsidRPr="00427C5E">
        <w:rPr>
          <w:sz w:val="24"/>
          <w:szCs w:val="24"/>
        </w:rPr>
        <w:tab/>
      </w:r>
      <w:r w:rsidRPr="00427C5E">
        <w:rPr>
          <w:sz w:val="24"/>
          <w:szCs w:val="24"/>
        </w:rPr>
        <w:tab/>
      </w:r>
      <w:r w:rsidRPr="00427C5E">
        <w:rPr>
          <w:sz w:val="24"/>
          <w:szCs w:val="24"/>
        </w:rPr>
        <w:tab/>
      </w:r>
      <w:r w:rsidRPr="00427C5E">
        <w:rPr>
          <w:sz w:val="24"/>
          <w:szCs w:val="24"/>
        </w:rPr>
        <w:tab/>
      </w:r>
      <w:r w:rsidRPr="00427C5E">
        <w:rPr>
          <w:bCs/>
          <w:sz w:val="24"/>
          <w:szCs w:val="24"/>
        </w:rPr>
        <w:t xml:space="preserve">3.923.635,79 </w:t>
      </w:r>
      <w:r w:rsidRPr="00427C5E">
        <w:rPr>
          <w:sz w:val="24"/>
          <w:szCs w:val="24"/>
        </w:rPr>
        <w:t>Kč</w:t>
      </w: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425" w:firstLine="1"/>
        <w:rPr>
          <w:b/>
          <w:sz w:val="24"/>
          <w:szCs w:val="24"/>
        </w:rPr>
      </w:pPr>
      <w:r w:rsidRPr="00427C5E">
        <w:rPr>
          <w:sz w:val="24"/>
          <w:szCs w:val="24"/>
        </w:rPr>
        <w:t>Celková cena bez DPH</w:t>
      </w:r>
      <w:r w:rsidRPr="00427C5E">
        <w:rPr>
          <w:sz w:val="24"/>
          <w:szCs w:val="24"/>
        </w:rPr>
        <w:tab/>
      </w:r>
      <w:r w:rsidRPr="00427C5E">
        <w:rPr>
          <w:sz w:val="24"/>
          <w:szCs w:val="24"/>
        </w:rPr>
        <w:tab/>
      </w:r>
      <w:r w:rsidRPr="00427C5E">
        <w:rPr>
          <w:sz w:val="24"/>
          <w:szCs w:val="24"/>
        </w:rPr>
        <w:tab/>
      </w:r>
      <w:r w:rsidRPr="00427C5E">
        <w:rPr>
          <w:sz w:val="24"/>
          <w:szCs w:val="24"/>
        </w:rPr>
        <w:tab/>
      </w:r>
      <w:r w:rsidRPr="00427C5E">
        <w:rPr>
          <w:sz w:val="24"/>
          <w:szCs w:val="24"/>
        </w:rPr>
        <w:tab/>
        <w:t xml:space="preserve">          </w:t>
      </w:r>
      <w:r w:rsidRPr="00427C5E">
        <w:rPr>
          <w:b/>
          <w:sz w:val="24"/>
          <w:szCs w:val="24"/>
        </w:rPr>
        <w:t>12.220.849,79</w:t>
      </w:r>
      <w:r w:rsidRPr="00427C5E">
        <w:rPr>
          <w:sz w:val="24"/>
          <w:szCs w:val="24"/>
        </w:rPr>
        <w:t xml:space="preserve"> Kč</w:t>
      </w:r>
    </w:p>
    <w:p w:rsidR="005465E5" w:rsidRPr="00427C5E" w:rsidRDefault="005465E5" w:rsidP="00160D8C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427C5E">
        <w:rPr>
          <w:sz w:val="24"/>
          <w:szCs w:val="24"/>
        </w:rPr>
        <w:t>DPH 21%</w:t>
      </w:r>
    </w:p>
    <w:p w:rsidR="005465E5" w:rsidRDefault="005465E5" w:rsidP="00160D8C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</w:p>
    <w:p w:rsidR="005465E5" w:rsidRPr="00427C5E" w:rsidRDefault="005465E5" w:rsidP="00160D8C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427C5E">
        <w:rPr>
          <w:b/>
          <w:sz w:val="24"/>
          <w:szCs w:val="24"/>
        </w:rPr>
        <w:t>ČLÁNEK II.</w:t>
      </w:r>
    </w:p>
    <w:p w:rsidR="005465E5" w:rsidRPr="00427C5E" w:rsidRDefault="005465E5" w:rsidP="00160D8C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  <w:r w:rsidRPr="00427C5E">
        <w:rPr>
          <w:sz w:val="24"/>
          <w:szCs w:val="24"/>
        </w:rPr>
        <w:t>Ostatní ustanovení Smlouvy o dílo se nemění.</w:t>
      </w:r>
    </w:p>
    <w:p w:rsidR="005465E5" w:rsidRDefault="005465E5" w:rsidP="00160D8C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</w:p>
    <w:p w:rsidR="005465E5" w:rsidRPr="00427C5E" w:rsidRDefault="005465E5" w:rsidP="00160D8C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427C5E">
        <w:rPr>
          <w:b/>
          <w:sz w:val="24"/>
          <w:szCs w:val="24"/>
        </w:rPr>
        <w:t>ČLÁNEK III.</w:t>
      </w:r>
    </w:p>
    <w:p w:rsidR="005465E5" w:rsidRPr="00427C5E" w:rsidRDefault="005465E5" w:rsidP="00160D8C">
      <w:pPr>
        <w:pStyle w:val="Druhrovesmlouvy"/>
        <w:numPr>
          <w:ilvl w:val="0"/>
          <w:numId w:val="0"/>
        </w:numPr>
        <w:spacing w:after="0"/>
        <w:rPr>
          <w:sz w:val="24"/>
          <w:szCs w:val="24"/>
        </w:rPr>
      </w:pPr>
      <w:r w:rsidRPr="009970AE">
        <w:rPr>
          <w:b/>
          <w:sz w:val="24"/>
          <w:szCs w:val="24"/>
        </w:rPr>
        <w:t>1</w:t>
      </w:r>
      <w:r w:rsidRPr="00427C5E">
        <w:rPr>
          <w:sz w:val="24"/>
          <w:szCs w:val="24"/>
        </w:rPr>
        <w:t xml:space="preserve">. Tento Dodatek nabývá platnosti a účinnosti podpisem oběma Smluvními stranami. </w:t>
      </w:r>
    </w:p>
    <w:p w:rsidR="005465E5" w:rsidRPr="00427C5E" w:rsidRDefault="005465E5" w:rsidP="00160D8C">
      <w:pPr>
        <w:pStyle w:val="Druhrovesmlouvy"/>
        <w:numPr>
          <w:ilvl w:val="0"/>
          <w:numId w:val="0"/>
        </w:numPr>
        <w:spacing w:after="0"/>
        <w:ind w:left="284" w:hanging="284"/>
        <w:rPr>
          <w:sz w:val="24"/>
          <w:szCs w:val="24"/>
        </w:rPr>
      </w:pPr>
      <w:r w:rsidRPr="009970AE">
        <w:rPr>
          <w:b/>
          <w:sz w:val="24"/>
          <w:szCs w:val="24"/>
        </w:rPr>
        <w:t>2</w:t>
      </w:r>
      <w:r w:rsidRPr="00427C5E">
        <w:rPr>
          <w:sz w:val="24"/>
          <w:szCs w:val="24"/>
        </w:rPr>
        <w:t>. Tento Dodatek je vyhotoven ve dvou (2) vyhotoveních v českém jazyce. Každá ze Smluvních stran obdrží po jednom (1) vyhotovení.</w:t>
      </w:r>
    </w:p>
    <w:p w:rsidR="005465E5" w:rsidRPr="00427C5E" w:rsidRDefault="005465E5" w:rsidP="00160D8C">
      <w:pPr>
        <w:pStyle w:val="Druhrovesmlouvy"/>
        <w:numPr>
          <w:ilvl w:val="0"/>
          <w:numId w:val="0"/>
        </w:numPr>
        <w:spacing w:after="0"/>
        <w:ind w:left="284" w:hanging="284"/>
        <w:rPr>
          <w:sz w:val="24"/>
          <w:szCs w:val="24"/>
        </w:rPr>
      </w:pPr>
      <w:r w:rsidRPr="009970AE">
        <w:rPr>
          <w:b/>
          <w:sz w:val="24"/>
          <w:szCs w:val="24"/>
        </w:rPr>
        <w:t>3</w:t>
      </w:r>
      <w:r w:rsidRPr="00427C5E">
        <w:rPr>
          <w:sz w:val="24"/>
          <w:szCs w:val="24"/>
        </w:rPr>
        <w:t xml:space="preserve">.  Nedílnou součástí tohoto Dodatku je příloha č. 1 – položkový rozpočet dodatečných stavebních prací a příloha č. 2 - </w:t>
      </w:r>
      <w:r w:rsidRPr="00427C5E">
        <w:rPr>
          <w:color w:val="000000"/>
          <w:sz w:val="24"/>
          <w:szCs w:val="24"/>
        </w:rPr>
        <w:t>Seznam Odpovědných osob a čísla účtů zveřejněných v registru plátců DPH.</w:t>
      </w:r>
    </w:p>
    <w:p w:rsidR="005465E5" w:rsidRPr="00427C5E" w:rsidRDefault="005465E5" w:rsidP="00160D8C">
      <w:pPr>
        <w:pStyle w:val="Druhrovesmlouvy"/>
        <w:numPr>
          <w:ilvl w:val="0"/>
          <w:numId w:val="0"/>
        </w:numPr>
        <w:spacing w:after="0"/>
        <w:ind w:left="284" w:hanging="284"/>
        <w:rPr>
          <w:sz w:val="24"/>
          <w:szCs w:val="24"/>
        </w:rPr>
      </w:pPr>
    </w:p>
    <w:p w:rsidR="005465E5" w:rsidRPr="00427C5E" w:rsidRDefault="005465E5" w:rsidP="00160D8C">
      <w:pPr>
        <w:pStyle w:val="Neodsazentext"/>
        <w:spacing w:after="0"/>
        <w:rPr>
          <w:b/>
          <w:sz w:val="24"/>
          <w:szCs w:val="24"/>
        </w:rPr>
      </w:pPr>
    </w:p>
    <w:tbl>
      <w:tblPr>
        <w:tblW w:w="8928" w:type="dxa"/>
        <w:tblLook w:val="00A0"/>
      </w:tblPr>
      <w:tblGrid>
        <w:gridCol w:w="4464"/>
        <w:gridCol w:w="4464"/>
      </w:tblGrid>
      <w:tr w:rsidR="005465E5" w:rsidRPr="00427C5E" w:rsidTr="00847F00">
        <w:trPr>
          <w:trHeight w:val="2060"/>
        </w:trPr>
        <w:tc>
          <w:tcPr>
            <w:tcW w:w="4464" w:type="dxa"/>
          </w:tcPr>
          <w:p w:rsidR="005465E5" w:rsidRPr="00847F00" w:rsidRDefault="005465E5" w:rsidP="00847F00">
            <w:pPr>
              <w:pStyle w:val="BodyText"/>
              <w:spacing w:after="0"/>
              <w:ind w:firstLine="0"/>
              <w:rPr>
                <w:sz w:val="24"/>
                <w:szCs w:val="24"/>
              </w:rPr>
            </w:pPr>
            <w:r w:rsidRPr="00847F00">
              <w:rPr>
                <w:sz w:val="24"/>
                <w:szCs w:val="24"/>
              </w:rPr>
              <w:t>Za Objednatele,</w:t>
            </w:r>
          </w:p>
          <w:p w:rsidR="005465E5" w:rsidRPr="00847F00" w:rsidRDefault="005465E5" w:rsidP="00847F00">
            <w:pPr>
              <w:pStyle w:val="BodyText"/>
              <w:spacing w:after="0"/>
              <w:ind w:firstLine="0"/>
              <w:rPr>
                <w:sz w:val="24"/>
                <w:szCs w:val="24"/>
              </w:rPr>
            </w:pPr>
            <w:r w:rsidRPr="00847F00">
              <w:rPr>
                <w:sz w:val="24"/>
                <w:szCs w:val="24"/>
              </w:rPr>
              <w:t>v Praze, dne</w:t>
            </w:r>
          </w:p>
          <w:p w:rsidR="005465E5" w:rsidRPr="00847F00" w:rsidRDefault="005465E5" w:rsidP="00847F00">
            <w:pPr>
              <w:pStyle w:val="BodyText"/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  <w:rPr>
                <w:sz w:val="24"/>
                <w:szCs w:val="24"/>
              </w:rPr>
            </w:pPr>
            <w:r w:rsidRPr="00847F00">
              <w:rPr>
                <w:sz w:val="24"/>
                <w:szCs w:val="24"/>
              </w:rPr>
              <w:tab/>
            </w:r>
          </w:p>
          <w:p w:rsidR="005465E5" w:rsidRPr="00847F00" w:rsidRDefault="005465E5" w:rsidP="00847F00">
            <w:pPr>
              <w:pStyle w:val="BodyText"/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5465E5" w:rsidRPr="00847F00" w:rsidRDefault="005465E5" w:rsidP="00847F00">
            <w:pPr>
              <w:pStyle w:val="BodyText"/>
              <w:spacing w:after="0"/>
              <w:ind w:firstLine="0"/>
              <w:rPr>
                <w:sz w:val="24"/>
                <w:szCs w:val="24"/>
              </w:rPr>
            </w:pPr>
            <w:r w:rsidRPr="00847F00">
              <w:rPr>
                <w:sz w:val="24"/>
                <w:szCs w:val="24"/>
              </w:rPr>
              <w:t>Za Zhotovitele,</w:t>
            </w:r>
          </w:p>
          <w:p w:rsidR="005465E5" w:rsidRPr="00847F00" w:rsidRDefault="005465E5" w:rsidP="00847F00">
            <w:pPr>
              <w:pStyle w:val="BodyText"/>
              <w:spacing w:after="0"/>
              <w:ind w:firstLine="0"/>
              <w:rPr>
                <w:sz w:val="24"/>
                <w:szCs w:val="24"/>
              </w:rPr>
            </w:pPr>
            <w:r w:rsidRPr="00847F00">
              <w:rPr>
                <w:sz w:val="24"/>
                <w:szCs w:val="24"/>
              </w:rPr>
              <w:t xml:space="preserve">v Roztokách, dne </w:t>
            </w:r>
          </w:p>
          <w:p w:rsidR="005465E5" w:rsidRPr="00847F00" w:rsidRDefault="005465E5" w:rsidP="00847F00">
            <w:pPr>
              <w:pStyle w:val="BodyText"/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  <w:rPr>
                <w:sz w:val="24"/>
                <w:szCs w:val="24"/>
              </w:rPr>
            </w:pPr>
          </w:p>
          <w:p w:rsidR="005465E5" w:rsidRPr="00847F00" w:rsidRDefault="005465E5" w:rsidP="00847F00">
            <w:pPr>
              <w:pStyle w:val="BodyText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847F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465E5" w:rsidRPr="005D0885" w:rsidRDefault="005465E5" w:rsidP="00536935">
      <w:pPr>
        <w:pStyle w:val="Neodsazentext"/>
        <w:spacing w:after="0"/>
      </w:pPr>
    </w:p>
    <w:sectPr w:rsidR="005465E5" w:rsidRPr="005D0885" w:rsidSect="00941716">
      <w:headerReference w:type="default" r:id="rId7"/>
      <w:footerReference w:type="default" r:id="rId8"/>
      <w:pgSz w:w="11907" w:h="16839" w:code="9"/>
      <w:pgMar w:top="1418" w:right="1418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5E5" w:rsidRDefault="005465E5" w:rsidP="00FA7B21">
      <w:pPr>
        <w:spacing w:after="0"/>
      </w:pPr>
      <w:r>
        <w:separator/>
      </w:r>
    </w:p>
  </w:endnote>
  <w:endnote w:type="continuationSeparator" w:id="0">
    <w:p w:rsidR="005465E5" w:rsidRDefault="005465E5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E5" w:rsidRDefault="005465E5" w:rsidP="00723B70">
    <w:pPr>
      <w:pStyle w:val="Footer"/>
      <w:jc w:val="right"/>
    </w:pPr>
    <w:fldSimple w:instr=" PAGE   \* MERGEFORMAT ">
      <w:r>
        <w:rPr>
          <w:noProof/>
        </w:rPr>
        <w:t>2</w:t>
      </w:r>
    </w:fldSimple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5E5" w:rsidRDefault="005465E5" w:rsidP="00FA7B21">
      <w:pPr>
        <w:spacing w:after="0"/>
      </w:pPr>
      <w:r>
        <w:separator/>
      </w:r>
    </w:p>
  </w:footnote>
  <w:footnote w:type="continuationSeparator" w:id="0">
    <w:p w:rsidR="005465E5" w:rsidRDefault="005465E5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E5" w:rsidRPr="00EE7A08" w:rsidRDefault="005465E5" w:rsidP="00EE7A08">
    <w:pPr>
      <w:pStyle w:val="Header"/>
      <w:ind w:firstLine="0"/>
      <w:rPr>
        <w:sz w:val="20"/>
        <w:szCs w:val="20"/>
      </w:rPr>
    </w:pPr>
    <w:r w:rsidRPr="00FD3452">
      <w:rPr>
        <w:sz w:val="20"/>
        <w:szCs w:val="20"/>
      </w:rPr>
      <w:t>Rekonstrukce ČS Hrnčíře, ul. K Hrnčířům, P11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EE7A08">
      <w:rPr>
        <w:sz w:val="20"/>
        <w:szCs w:val="20"/>
      </w:rPr>
      <w:t xml:space="preserve">číslo akce </w:t>
    </w:r>
    <w:r>
      <w:rPr>
        <w:sz w:val="20"/>
        <w:szCs w:val="20"/>
      </w:rPr>
      <w:t>1/1/D30/00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1">
    <w:nsid w:val="05507D38"/>
    <w:multiLevelType w:val="hybridMultilevel"/>
    <w:tmpl w:val="018A81F8"/>
    <w:lvl w:ilvl="0" w:tplc="0405000F">
      <w:start w:val="1"/>
      <w:numFmt w:val="decimal"/>
      <w:lvlText w:val="%1."/>
      <w:lvlJc w:val="left"/>
      <w:pPr>
        <w:ind w:left="19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7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8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E304FB"/>
    <w:multiLevelType w:val="hybridMultilevel"/>
    <w:tmpl w:val="16C4DF4C"/>
    <w:lvl w:ilvl="0" w:tplc="C284DACA">
      <w:start w:val="12"/>
      <w:numFmt w:val="bullet"/>
      <w:lvlText w:val="-"/>
      <w:lvlJc w:val="left"/>
      <w:pPr>
        <w:ind w:left="1637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36C319A7"/>
    <w:multiLevelType w:val="hybridMultilevel"/>
    <w:tmpl w:val="C61A834A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13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0C9B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44B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D15F3"/>
    <w:multiLevelType w:val="multilevel"/>
    <w:tmpl w:val="36C0D71C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48680ABC"/>
    <w:multiLevelType w:val="hybridMultilevel"/>
    <w:tmpl w:val="018A81F8"/>
    <w:lvl w:ilvl="0" w:tplc="0405000F">
      <w:start w:val="1"/>
      <w:numFmt w:val="decimal"/>
      <w:lvlText w:val="%1."/>
      <w:lvlJc w:val="left"/>
      <w:pPr>
        <w:ind w:left="19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18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9">
    <w:nsid w:val="543B2B4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cs="Times New Roman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cs="Times New Roman" w:hint="default"/>
      </w:rPr>
    </w:lvl>
  </w:abstractNum>
  <w:abstractNum w:abstractNumId="21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22">
    <w:nsid w:val="6EE9396B"/>
    <w:multiLevelType w:val="hybridMultilevel"/>
    <w:tmpl w:val="E1A2BB50"/>
    <w:lvl w:ilvl="0" w:tplc="F3409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5"/>
  </w:num>
  <w:num w:numId="7">
    <w:abstractNumId w:val="3"/>
  </w:num>
  <w:num w:numId="8">
    <w:abstractNumId w:val="7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8"/>
  </w:num>
  <w:num w:numId="13">
    <w:abstractNumId w:val="18"/>
  </w:num>
  <w:num w:numId="14">
    <w:abstractNumId w:val="5"/>
  </w:num>
  <w:num w:numId="15">
    <w:abstractNumId w:val="18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cs="Times New Roman"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</w:num>
  <w:num w:numId="24">
    <w:abstractNumId w:val="24"/>
  </w:num>
  <w:num w:numId="25">
    <w:abstractNumId w:val="20"/>
  </w:num>
  <w:num w:numId="26">
    <w:abstractNumId w:val="21"/>
  </w:num>
  <w:num w:numId="27">
    <w:abstractNumId w:val="14"/>
  </w:num>
  <w:num w:numId="28">
    <w:abstractNumId w:val="9"/>
  </w:num>
  <w:num w:numId="29">
    <w:abstractNumId w:val="13"/>
  </w:num>
  <w:num w:numId="30">
    <w:abstractNumId w:val="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</w:num>
  <w:num w:numId="34">
    <w:abstractNumId w:val="18"/>
  </w:num>
  <w:num w:numId="35">
    <w:abstractNumId w:val="23"/>
  </w:num>
  <w:num w:numId="36">
    <w:abstractNumId w:val="18"/>
    <w:lvlOverride w:ilvl="0">
      <w:startOverride w:val="7"/>
    </w:lvlOverride>
    <w:lvlOverride w:ilvl="1">
      <w:startOverride w:val="3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7"/>
  </w:num>
  <w:num w:numId="40">
    <w:abstractNumId w:val="18"/>
  </w:num>
  <w:num w:numId="41">
    <w:abstractNumId w:val="1"/>
  </w:num>
  <w:num w:numId="42">
    <w:abstractNumId w:val="11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1213E"/>
    <w:rsid w:val="0001555E"/>
    <w:rsid w:val="00017B42"/>
    <w:rsid w:val="00030BCF"/>
    <w:rsid w:val="00036FAC"/>
    <w:rsid w:val="00050C49"/>
    <w:rsid w:val="000519F4"/>
    <w:rsid w:val="000537AB"/>
    <w:rsid w:val="000604FE"/>
    <w:rsid w:val="000628AB"/>
    <w:rsid w:val="000656D6"/>
    <w:rsid w:val="00070CF4"/>
    <w:rsid w:val="00070E4D"/>
    <w:rsid w:val="00072910"/>
    <w:rsid w:val="00073C26"/>
    <w:rsid w:val="00080E5C"/>
    <w:rsid w:val="00081EA3"/>
    <w:rsid w:val="00086D81"/>
    <w:rsid w:val="00096B3F"/>
    <w:rsid w:val="00097E53"/>
    <w:rsid w:val="000A1562"/>
    <w:rsid w:val="000A2178"/>
    <w:rsid w:val="000A73DA"/>
    <w:rsid w:val="000B1EA1"/>
    <w:rsid w:val="000B50CD"/>
    <w:rsid w:val="000B6A9C"/>
    <w:rsid w:val="000B72C1"/>
    <w:rsid w:val="000B74A7"/>
    <w:rsid w:val="000C4F84"/>
    <w:rsid w:val="000D319F"/>
    <w:rsid w:val="000D488D"/>
    <w:rsid w:val="000D57AB"/>
    <w:rsid w:val="000D594C"/>
    <w:rsid w:val="000E072F"/>
    <w:rsid w:val="000E4454"/>
    <w:rsid w:val="000F1062"/>
    <w:rsid w:val="000F402E"/>
    <w:rsid w:val="0010286F"/>
    <w:rsid w:val="00102B21"/>
    <w:rsid w:val="00105735"/>
    <w:rsid w:val="00113342"/>
    <w:rsid w:val="00122C85"/>
    <w:rsid w:val="00125D13"/>
    <w:rsid w:val="00134B21"/>
    <w:rsid w:val="0013547B"/>
    <w:rsid w:val="001358D7"/>
    <w:rsid w:val="001367F7"/>
    <w:rsid w:val="00140D77"/>
    <w:rsid w:val="00150DCA"/>
    <w:rsid w:val="00151499"/>
    <w:rsid w:val="00152D71"/>
    <w:rsid w:val="00160D8C"/>
    <w:rsid w:val="001656FB"/>
    <w:rsid w:val="0017301F"/>
    <w:rsid w:val="00182A92"/>
    <w:rsid w:val="00190F16"/>
    <w:rsid w:val="00192D63"/>
    <w:rsid w:val="001A395D"/>
    <w:rsid w:val="001A665A"/>
    <w:rsid w:val="001B40D1"/>
    <w:rsid w:val="001C489C"/>
    <w:rsid w:val="001C7143"/>
    <w:rsid w:val="001D409B"/>
    <w:rsid w:val="001E41F6"/>
    <w:rsid w:val="001F3432"/>
    <w:rsid w:val="00200D7F"/>
    <w:rsid w:val="002149DC"/>
    <w:rsid w:val="002235BA"/>
    <w:rsid w:val="00226B39"/>
    <w:rsid w:val="002418B0"/>
    <w:rsid w:val="00256949"/>
    <w:rsid w:val="0026023A"/>
    <w:rsid w:val="00263959"/>
    <w:rsid w:val="0026709F"/>
    <w:rsid w:val="00272CC1"/>
    <w:rsid w:val="00291A88"/>
    <w:rsid w:val="00292BE2"/>
    <w:rsid w:val="00297CC2"/>
    <w:rsid w:val="002A51F8"/>
    <w:rsid w:val="002B06C0"/>
    <w:rsid w:val="002C10E0"/>
    <w:rsid w:val="002D6E2D"/>
    <w:rsid w:val="002F00D4"/>
    <w:rsid w:val="00310CA5"/>
    <w:rsid w:val="003266FA"/>
    <w:rsid w:val="00352DF0"/>
    <w:rsid w:val="00354767"/>
    <w:rsid w:val="00360806"/>
    <w:rsid w:val="003712D9"/>
    <w:rsid w:val="0037429A"/>
    <w:rsid w:val="00387404"/>
    <w:rsid w:val="003874B1"/>
    <w:rsid w:val="00387DB4"/>
    <w:rsid w:val="00395FE5"/>
    <w:rsid w:val="003A0F8B"/>
    <w:rsid w:val="003A22B6"/>
    <w:rsid w:val="003A7D29"/>
    <w:rsid w:val="003D1228"/>
    <w:rsid w:val="003D2E2E"/>
    <w:rsid w:val="003D7124"/>
    <w:rsid w:val="003E0C92"/>
    <w:rsid w:val="003E144A"/>
    <w:rsid w:val="003F11EB"/>
    <w:rsid w:val="0041066B"/>
    <w:rsid w:val="00410C17"/>
    <w:rsid w:val="00411769"/>
    <w:rsid w:val="00420546"/>
    <w:rsid w:val="00422F71"/>
    <w:rsid w:val="00427C5E"/>
    <w:rsid w:val="00436CB7"/>
    <w:rsid w:val="00443723"/>
    <w:rsid w:val="00446F30"/>
    <w:rsid w:val="00447475"/>
    <w:rsid w:val="00450481"/>
    <w:rsid w:val="0045457B"/>
    <w:rsid w:val="004566F1"/>
    <w:rsid w:val="004573E0"/>
    <w:rsid w:val="0046462B"/>
    <w:rsid w:val="004725DC"/>
    <w:rsid w:val="00483EA4"/>
    <w:rsid w:val="00484C4D"/>
    <w:rsid w:val="004927DD"/>
    <w:rsid w:val="004A399F"/>
    <w:rsid w:val="004B083A"/>
    <w:rsid w:val="004B79B2"/>
    <w:rsid w:val="004C1F3D"/>
    <w:rsid w:val="004C27DF"/>
    <w:rsid w:val="004D425F"/>
    <w:rsid w:val="004E295E"/>
    <w:rsid w:val="004E64A1"/>
    <w:rsid w:val="00501CA8"/>
    <w:rsid w:val="00502F83"/>
    <w:rsid w:val="005069BF"/>
    <w:rsid w:val="005101C3"/>
    <w:rsid w:val="00510467"/>
    <w:rsid w:val="0051378D"/>
    <w:rsid w:val="00523B56"/>
    <w:rsid w:val="00531DAD"/>
    <w:rsid w:val="005358B7"/>
    <w:rsid w:val="00536935"/>
    <w:rsid w:val="00536CC0"/>
    <w:rsid w:val="00540561"/>
    <w:rsid w:val="0054556B"/>
    <w:rsid w:val="005465E5"/>
    <w:rsid w:val="00547511"/>
    <w:rsid w:val="005475AF"/>
    <w:rsid w:val="00555C8C"/>
    <w:rsid w:val="00581D0C"/>
    <w:rsid w:val="00582E3F"/>
    <w:rsid w:val="00593488"/>
    <w:rsid w:val="00593D96"/>
    <w:rsid w:val="005A0B9B"/>
    <w:rsid w:val="005A6EF5"/>
    <w:rsid w:val="005A762B"/>
    <w:rsid w:val="005C283E"/>
    <w:rsid w:val="005C4FF7"/>
    <w:rsid w:val="005C6C14"/>
    <w:rsid w:val="005D0885"/>
    <w:rsid w:val="005D3BB4"/>
    <w:rsid w:val="005D76F6"/>
    <w:rsid w:val="005F07B1"/>
    <w:rsid w:val="005F56DC"/>
    <w:rsid w:val="0060337C"/>
    <w:rsid w:val="0061371C"/>
    <w:rsid w:val="006274DB"/>
    <w:rsid w:val="00631CF9"/>
    <w:rsid w:val="0063244F"/>
    <w:rsid w:val="00633112"/>
    <w:rsid w:val="0064062D"/>
    <w:rsid w:val="006435BC"/>
    <w:rsid w:val="00647472"/>
    <w:rsid w:val="0065578C"/>
    <w:rsid w:val="00655DCD"/>
    <w:rsid w:val="00660511"/>
    <w:rsid w:val="00687BA2"/>
    <w:rsid w:val="006A3615"/>
    <w:rsid w:val="006A4EB5"/>
    <w:rsid w:val="006A6990"/>
    <w:rsid w:val="006B659F"/>
    <w:rsid w:val="006C4319"/>
    <w:rsid w:val="006D16BA"/>
    <w:rsid w:val="006D3922"/>
    <w:rsid w:val="006E1CC0"/>
    <w:rsid w:val="006F222F"/>
    <w:rsid w:val="006F495E"/>
    <w:rsid w:val="006F7DA8"/>
    <w:rsid w:val="007108A7"/>
    <w:rsid w:val="0071300B"/>
    <w:rsid w:val="00714800"/>
    <w:rsid w:val="00721181"/>
    <w:rsid w:val="00723B70"/>
    <w:rsid w:val="00726E2A"/>
    <w:rsid w:val="0073055A"/>
    <w:rsid w:val="007454E5"/>
    <w:rsid w:val="007678B1"/>
    <w:rsid w:val="00775C78"/>
    <w:rsid w:val="007857DD"/>
    <w:rsid w:val="00787D03"/>
    <w:rsid w:val="007A1A85"/>
    <w:rsid w:val="007A64B5"/>
    <w:rsid w:val="007A6A0E"/>
    <w:rsid w:val="007A6A14"/>
    <w:rsid w:val="007B1EB5"/>
    <w:rsid w:val="007D215E"/>
    <w:rsid w:val="007D63E5"/>
    <w:rsid w:val="007D6B74"/>
    <w:rsid w:val="007E34D4"/>
    <w:rsid w:val="007E7C4B"/>
    <w:rsid w:val="007F3A18"/>
    <w:rsid w:val="007F40C1"/>
    <w:rsid w:val="007F43BF"/>
    <w:rsid w:val="007F452F"/>
    <w:rsid w:val="0080390A"/>
    <w:rsid w:val="00806C82"/>
    <w:rsid w:val="0080760A"/>
    <w:rsid w:val="008257CB"/>
    <w:rsid w:val="00827D41"/>
    <w:rsid w:val="0084607F"/>
    <w:rsid w:val="00847F00"/>
    <w:rsid w:val="00854C33"/>
    <w:rsid w:val="0085572C"/>
    <w:rsid w:val="00856294"/>
    <w:rsid w:val="0086151F"/>
    <w:rsid w:val="00864D3E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A6305"/>
    <w:rsid w:val="008B2FBF"/>
    <w:rsid w:val="008B3697"/>
    <w:rsid w:val="008B5AF7"/>
    <w:rsid w:val="008C553A"/>
    <w:rsid w:val="008D73EF"/>
    <w:rsid w:val="008E19C1"/>
    <w:rsid w:val="008F13FF"/>
    <w:rsid w:val="008F1896"/>
    <w:rsid w:val="008F386E"/>
    <w:rsid w:val="008F7F3D"/>
    <w:rsid w:val="00901F60"/>
    <w:rsid w:val="00904C31"/>
    <w:rsid w:val="00914AFE"/>
    <w:rsid w:val="00915750"/>
    <w:rsid w:val="00916970"/>
    <w:rsid w:val="009230C0"/>
    <w:rsid w:val="0093129E"/>
    <w:rsid w:val="009325C5"/>
    <w:rsid w:val="009341B4"/>
    <w:rsid w:val="009352AC"/>
    <w:rsid w:val="00941716"/>
    <w:rsid w:val="0094278A"/>
    <w:rsid w:val="009433B1"/>
    <w:rsid w:val="00955B39"/>
    <w:rsid w:val="00963B92"/>
    <w:rsid w:val="009672EA"/>
    <w:rsid w:val="009726DA"/>
    <w:rsid w:val="009777B7"/>
    <w:rsid w:val="00981C96"/>
    <w:rsid w:val="00990778"/>
    <w:rsid w:val="009970AE"/>
    <w:rsid w:val="009B4537"/>
    <w:rsid w:val="009B52ED"/>
    <w:rsid w:val="009C2294"/>
    <w:rsid w:val="009C7C95"/>
    <w:rsid w:val="009E0915"/>
    <w:rsid w:val="009F1138"/>
    <w:rsid w:val="009F24A5"/>
    <w:rsid w:val="009F501B"/>
    <w:rsid w:val="009F5267"/>
    <w:rsid w:val="00A03F9F"/>
    <w:rsid w:val="00A065D1"/>
    <w:rsid w:val="00A106AD"/>
    <w:rsid w:val="00A11480"/>
    <w:rsid w:val="00A229CC"/>
    <w:rsid w:val="00A24AA0"/>
    <w:rsid w:val="00A31079"/>
    <w:rsid w:val="00A4327C"/>
    <w:rsid w:val="00A624A6"/>
    <w:rsid w:val="00A63C40"/>
    <w:rsid w:val="00A7301C"/>
    <w:rsid w:val="00A73209"/>
    <w:rsid w:val="00A81FA8"/>
    <w:rsid w:val="00A82E10"/>
    <w:rsid w:val="00A840CA"/>
    <w:rsid w:val="00A92185"/>
    <w:rsid w:val="00A92C09"/>
    <w:rsid w:val="00AA22EE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3C03"/>
    <w:rsid w:val="00B14778"/>
    <w:rsid w:val="00B14FFC"/>
    <w:rsid w:val="00B15A32"/>
    <w:rsid w:val="00B21AE9"/>
    <w:rsid w:val="00B35462"/>
    <w:rsid w:val="00B35BA4"/>
    <w:rsid w:val="00B35F7C"/>
    <w:rsid w:val="00B36849"/>
    <w:rsid w:val="00B443A8"/>
    <w:rsid w:val="00B502FE"/>
    <w:rsid w:val="00B51146"/>
    <w:rsid w:val="00B55359"/>
    <w:rsid w:val="00B62354"/>
    <w:rsid w:val="00B7313A"/>
    <w:rsid w:val="00B77EB9"/>
    <w:rsid w:val="00B81463"/>
    <w:rsid w:val="00B90B92"/>
    <w:rsid w:val="00BA39BF"/>
    <w:rsid w:val="00BA48EE"/>
    <w:rsid w:val="00BA48FE"/>
    <w:rsid w:val="00BA4D41"/>
    <w:rsid w:val="00BB4BB0"/>
    <w:rsid w:val="00BB7F7A"/>
    <w:rsid w:val="00BC1A38"/>
    <w:rsid w:val="00BC2077"/>
    <w:rsid w:val="00BC22A7"/>
    <w:rsid w:val="00BC7679"/>
    <w:rsid w:val="00BD38A5"/>
    <w:rsid w:val="00BD6F76"/>
    <w:rsid w:val="00BE2F00"/>
    <w:rsid w:val="00BE2F7A"/>
    <w:rsid w:val="00BE3E34"/>
    <w:rsid w:val="00BF47F3"/>
    <w:rsid w:val="00C001B8"/>
    <w:rsid w:val="00C0165B"/>
    <w:rsid w:val="00C05A99"/>
    <w:rsid w:val="00C12427"/>
    <w:rsid w:val="00C24903"/>
    <w:rsid w:val="00C25D36"/>
    <w:rsid w:val="00C40FC6"/>
    <w:rsid w:val="00C4746C"/>
    <w:rsid w:val="00C47691"/>
    <w:rsid w:val="00C51F67"/>
    <w:rsid w:val="00C52369"/>
    <w:rsid w:val="00C613BD"/>
    <w:rsid w:val="00C77B37"/>
    <w:rsid w:val="00C77F7F"/>
    <w:rsid w:val="00C8409B"/>
    <w:rsid w:val="00C97AB7"/>
    <w:rsid w:val="00CA4367"/>
    <w:rsid w:val="00CB0D8E"/>
    <w:rsid w:val="00CB71B6"/>
    <w:rsid w:val="00CC06A9"/>
    <w:rsid w:val="00CC108A"/>
    <w:rsid w:val="00CC19E6"/>
    <w:rsid w:val="00CC23BD"/>
    <w:rsid w:val="00CC2CD6"/>
    <w:rsid w:val="00CD292C"/>
    <w:rsid w:val="00CE3E04"/>
    <w:rsid w:val="00CE4221"/>
    <w:rsid w:val="00CE450D"/>
    <w:rsid w:val="00D00E3C"/>
    <w:rsid w:val="00D018E1"/>
    <w:rsid w:val="00D21785"/>
    <w:rsid w:val="00D22A24"/>
    <w:rsid w:val="00D23955"/>
    <w:rsid w:val="00D24967"/>
    <w:rsid w:val="00D24ED5"/>
    <w:rsid w:val="00D25617"/>
    <w:rsid w:val="00D30588"/>
    <w:rsid w:val="00D3091B"/>
    <w:rsid w:val="00D310D8"/>
    <w:rsid w:val="00D34250"/>
    <w:rsid w:val="00D3551A"/>
    <w:rsid w:val="00D35F7A"/>
    <w:rsid w:val="00D36AA2"/>
    <w:rsid w:val="00D37CE4"/>
    <w:rsid w:val="00D46C44"/>
    <w:rsid w:val="00D476A1"/>
    <w:rsid w:val="00D47BA8"/>
    <w:rsid w:val="00D51B0B"/>
    <w:rsid w:val="00D74315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7327"/>
    <w:rsid w:val="00DE1B02"/>
    <w:rsid w:val="00DF38A2"/>
    <w:rsid w:val="00DF6CED"/>
    <w:rsid w:val="00E076D0"/>
    <w:rsid w:val="00E07C84"/>
    <w:rsid w:val="00E13159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63AC5"/>
    <w:rsid w:val="00E91C48"/>
    <w:rsid w:val="00EB0858"/>
    <w:rsid w:val="00EB4A47"/>
    <w:rsid w:val="00EC29D3"/>
    <w:rsid w:val="00EC7C4B"/>
    <w:rsid w:val="00ED6F71"/>
    <w:rsid w:val="00EE0626"/>
    <w:rsid w:val="00EE2862"/>
    <w:rsid w:val="00EE32D1"/>
    <w:rsid w:val="00EE5E5C"/>
    <w:rsid w:val="00EE6E58"/>
    <w:rsid w:val="00EE7598"/>
    <w:rsid w:val="00EE7A08"/>
    <w:rsid w:val="00F05AA2"/>
    <w:rsid w:val="00F128F5"/>
    <w:rsid w:val="00F242E4"/>
    <w:rsid w:val="00F25C33"/>
    <w:rsid w:val="00F30B70"/>
    <w:rsid w:val="00F41C4D"/>
    <w:rsid w:val="00F45592"/>
    <w:rsid w:val="00F473A0"/>
    <w:rsid w:val="00F53ADF"/>
    <w:rsid w:val="00F7366F"/>
    <w:rsid w:val="00F74B99"/>
    <w:rsid w:val="00F807B9"/>
    <w:rsid w:val="00F83F82"/>
    <w:rsid w:val="00F85A1E"/>
    <w:rsid w:val="00F91BFB"/>
    <w:rsid w:val="00F92821"/>
    <w:rsid w:val="00FA7B21"/>
    <w:rsid w:val="00FB0CD5"/>
    <w:rsid w:val="00FB1148"/>
    <w:rsid w:val="00FB6E19"/>
    <w:rsid w:val="00FB7BB8"/>
    <w:rsid w:val="00FD3452"/>
    <w:rsid w:val="00FE0B70"/>
    <w:rsid w:val="00FE634D"/>
    <w:rsid w:val="00FE69C4"/>
    <w:rsid w:val="00FF3B47"/>
    <w:rsid w:val="00FF4C30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clear" w:pos="1135"/>
        <w:tab w:val="num" w:pos="1276"/>
      </w:tabs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398</Words>
  <Characters>2352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9</cp:revision>
  <cp:lastPrinted>2017-11-09T12:37:00Z</cp:lastPrinted>
  <dcterms:created xsi:type="dcterms:W3CDTF">2017-11-09T12:24:00Z</dcterms:created>
  <dcterms:modified xsi:type="dcterms:W3CDTF">2017-11-21T13:14:00Z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